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636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伊宁市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特殊教育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资源中心工作制度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36" w:lineRule="exact"/>
        <w:ind w:right="104" w:firstLine="672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加强对普通学校随班就读的过程性指导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和技术支持，对本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市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的随班就读教育安置、课程安排、康复训练、个案训练、评价方式、测试评估等工作进行指导。帮助学校制定个别化教育计划，协同召开学生能力发展综合分析研究会，指导随班就读教师开展随班就读学生的个别化教育，对随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班就读学生进行跟踪管理和个案指导。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636" w:lineRule="exact"/>
        <w:ind w:right="104"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组织开展本市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特克斯县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普通学校随班就读、送教上门师资培训，提升普通学校教师特殊教育理论水平和随班就读、送教上门专业能力。加强教科研工作，组建随班就读学校教研网络，每学期定期开展随班就读、送教上门等教研活动；深入学校听课、评课，了解和指导随班就读课堂教学，对随班就读、送教上门工作的热点、难点问题进行研究；加强校际联系，搭建交流平台，总结实践经验，交流经验，推广学校的随班就读、送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教上门工作成果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636" w:lineRule="exact"/>
        <w:ind w:right="104" w:firstLine="672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提供专业测试与服务。特殊教育中心应协助普通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学校开展随班就读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、送教上门学生的筛查与诊断，指导普通学校开展随班就读、送教上门教</w:t>
      </w:r>
      <w:r>
        <w:rPr>
          <w:rFonts w:hint="eastAsia" w:ascii="方正仿宋简体" w:hAnsi="方正仿宋简体" w:eastAsia="方正仿宋简体" w:cs="方正仿宋简体"/>
          <w:spacing w:val="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育评估，提出教育建议，满足随班就读、送教上门学生的教育需求。根据随班就读、送教上门学生康复需求，利用区域内康复资源，为随班就读、送教上门学校提出教育康复训练建议和康复训练服务。与随班就读、送教上门学生家长建立经常性的联系，对随班就读、送教上门家长进行培训，指导家庭训练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为有需要的家长提供咨询服务。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636" w:lineRule="exact"/>
        <w:ind w:right="104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伊宁市特殊教育资源中心巡回指导教师管理制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/>
          <w:bCs/>
          <w:spacing w:val="-4"/>
          <w:sz w:val="32"/>
          <w:szCs w:val="32"/>
        </w:rPr>
        <w:t>巡回指导教师任职条件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敬业爱岗，师德良好，理解和尊重每一个特殊学生的差异需要。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36" w:lineRule="exact"/>
        <w:ind w:right="104" w:firstLine="668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身心健康，具有较强的组织、沟通、协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调能力和良好的团队合作精</w:t>
      </w:r>
      <w:r>
        <w:rPr>
          <w:rFonts w:hint="eastAsia" w:ascii="方正仿宋简体" w:hAnsi="方正仿宋简体" w:eastAsia="方正仿宋简体" w:cs="方正仿宋简体"/>
          <w:spacing w:val="-9"/>
          <w:sz w:val="32"/>
          <w:szCs w:val="32"/>
        </w:rPr>
        <w:t>神。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right="104" w:firstLine="668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具有专科及以上学历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或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高级以上职称，持有教师资格证书且有从事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特殊教育和普通学校双重教学经历。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636" w:lineRule="exact"/>
        <w:ind w:left="23" w:right="104" w:firstLine="668" w:firstLineChars="200"/>
        <w:textAlignment w:val="baseline"/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熟悉随班就读工作的制度和流程，从事过班主任、教研等工作的人员优先。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（二）巡回指导教师岗位职责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承担对普通学校随班就读教师的指导与服务，包括随班就读学生个别化教育计划的制订、随班就读课堂教学、随班就读学生发展情况分析、随班就读学生家庭教育指导等，为资源教师在随班就读工作中及康复训练中遇到的困难答疑解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加强普通学校与特殊教育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资源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中心的联系。向普通学校传达随班就读工作的精神和要求，向特殊教育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资源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中心反馈普通学校随班就读工作的情况。为普通学校随班就读工作的开展提供支持。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参与随班就读学生的鉴定、安置、转介等工作。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参与随班就读研究工作，配合教研人员开展随班就读教育教学的研究。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参与特殊教育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资源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中心开展的教师和家长培训活动，承担所负责学校随班就读教师和随班就读学生家长的咨询工作。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参与普通学校随班就读工作的评估和考核。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（三）巡回指导工作流程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每学期开学后一个月内完成对本学期巡访工作的安排及内容交特教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val="en-US" w:eastAsia="zh-CN"/>
        </w:rPr>
        <w:t>资源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中心备案，并将要求告知各随班就读学校。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每学期对普通学校开展2-3次随班就读工作的指导，内容包括：指导随班就读学生个别化教育计划的制订、指导随班就读课堂教学、随班就读学生家庭教育指导等，解答（解决）学校在随班就读工作中及康复训练中遇到的困难和疑惑。及时对每次巡访过程进行记录并向中心进行反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负责对学校的随班就读日常工作的管理。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（1）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向普通学校宣传特殊教育政策、制度和要求。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（2）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参与随班就读学生的鉴定、安置、转介等工作。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（3）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参与随班就读研究工作，配合教研人员开展随班就读教育教学的研究。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（4）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参与特教中心组织开展的教师和家长培训活动。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（5）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接受所负责学校随班就读教师和学生家长的咨询。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（6）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收集和整理学校开展随班就读工作的各项资料。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按时参加中心的工作例会，反馈当月的工作情况，提出工作推进和整改意见。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668" w:firstLineChars="200"/>
        <w:textAlignment w:val="baseline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每学期期末对负责普通学校的随班就读学校工作进行评估和考核，作出书面评价。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636" w:lineRule="exact"/>
        <w:ind w:firstLine="93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伊宁市特殊教育资源中心各功能室管理制度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蒙台梭利室管理制度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定期打扫整理，保持室内整洁、温馨。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顺应儿童个体自然成长的规律指导操作，可引导，不强求、不施压、不包揽、不替代。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使用后按要求填写操作记录。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爱护室内的一切设施，不破坏、污损，如有损坏，照价赔偿。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节约用电，不开无人灯、无人电扇、无人空调。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二、资源教室的管理制度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、保持室内整洁，设施摆放有序。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、训练需在老师指导下进行，并注意安全。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、记录每次使用的教学用具和学生人数、姓名及相关信息。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、室内禁止吸烟，禁止随地吐痰，禁止乱扔果皮纸屑，禁止在雨雪天把雨具带入室内。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、按期检查活动教具使用情况，做好活动教具的保养、维修工作，杜绝安全隐患。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、将使用过的教具、评估仪器等用完后，摆放在指定的地点或原处，为下一次使用提供便利。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、科学与合理开展每一堂课，体现资源教室的特色课程建设。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leftChars="0"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、外人未经允许不得进入资源教室，学生在资源教室上课、做康复训练时，不得随意外出。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三、器械训练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室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管理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制度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进入室内请脱鞋，并整齐地摆放好鞋物。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、有秩序地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出入室内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讲文明，讲礼貌，不准拥挤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不得喧哗打闹。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器械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训练须在老师指导下进行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安全地进行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器械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训练。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认真做好使用及学生训练情况记载。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保持室内卫生，不得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吃零食、吸烟、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随地吐痰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乱扔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  <w:t>果皮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Hans"/>
        </w:rPr>
        <w:t>纸屑。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禁止在雨雪天把雨具带入室内。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经常检查活动器械使用情况，做好活动器械保养、维修工作，杜绝事故隐患。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四、感统训练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室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管理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制度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、进入室内请脱鞋，并整齐地摆放好鞋物。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、有秩序地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出入室内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讲文明，讲礼貌，不准拥挤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不得喧哗打闹。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、有针对性地指导学生，安全地进行感统训练。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保持室内卫生，不得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吃零食、吸烟、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随地吐痰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乱扔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果皮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Hans"/>
        </w:rPr>
        <w:t>纸屑。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、爱护室内的一切设施，不破坏、污损，如有损坏，照价赔偿。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、注意安全，离开前自觉关锁门窗，切断电源。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、节约用电，不开无人灯、无人电扇、无人空调。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五、个训室管理制度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、定期打扫整理，保持室内整洁、温馨。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、有针对性地指导学生，科学地进行语言训练，要将听觉训练、语言训练和认知训练等相互结合。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、使用后按要求填写操作记录。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、注意安全，离开前自觉关锁门窗，切断电源。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、爱护室内的一切设施和用品，室内所有益智玩具不得带离该室。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636" w:lineRule="exact"/>
        <w:ind w:left="1" w:right="1516" w:firstLine="672" w:firstLineChars="200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六、康复训练室管理制度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、康复室保持整洁，定期打扫卫生。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、遵守纪律，必须在老师指导下有秩序地进行器械训练。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、爱护康复器械，学习正确使用。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、室内禁止吸烟，禁止随地吐痰，禁止乱丢瓜皮果壳纸屑，禁止在雨雪天把雨具带入室内。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6" w:lineRule="exact"/>
        <w:ind w:firstLine="66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3" w:type="default"/>
          <w:pgSz w:w="11906" w:h="16840"/>
          <w:pgMar w:top="2098" w:right="1531" w:bottom="1984" w:left="1531" w:header="0" w:footer="947" w:gutter="0"/>
          <w:pgNumType w:fmt="numberInDash"/>
          <w:cols w:space="0" w:num="1"/>
          <w:rtlGutter w:val="0"/>
          <w:docGrid w:type="linesAndChars" w:linePitch="490" w:charSpace="3434"/>
        </w:sect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、经常检查活动器械使用情况，做好活动器械保养、维修工作，杜绝事故隐患。</w:t>
      </w:r>
      <w:bookmarkStart w:id="0" w:name="_GoBack"/>
      <w:bookmarkEnd w:id="0"/>
    </w:p>
    <w:p>
      <w:pPr>
        <w:pStyle w:val="2"/>
        <w:spacing w:before="23" w:line="231" w:lineRule="auto"/>
        <w:ind w:right="104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jc w:val="right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3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RmYTJkYjQ2ZDQwY2NiNTk4ZjFmM2M2NWYxNzcifQ=="/>
  </w:docVars>
  <w:rsids>
    <w:rsidRoot w:val="00000000"/>
    <w:rsid w:val="018F05C5"/>
    <w:rsid w:val="389E034A"/>
    <w:rsid w:val="3A0C48D4"/>
    <w:rsid w:val="7C8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2023-09-19T12:20:00Z</dcterms:created>
  <dc:creator>win 10</dc:creator>
  <cp:lastModifiedBy>Administrator</cp:lastModifiedBy>
  <dcterms:modified xsi:type="dcterms:W3CDTF">2012-12-31T17:22:38Z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C1E6469099B44F1B845D75B62F0C080F_12</vt:lpwstr>
  </property>
</Properties>
</file>