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仿宋_GB2312"/>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w:t>
      </w:r>
      <w:r>
        <w:rPr>
          <w:rFonts w:hint="eastAsia" w:ascii="黑体" w:hAnsi="黑体" w:eastAsia="黑体" w:cs="仿宋_GB2312"/>
          <w:sz w:val="32"/>
          <w:szCs w:val="32"/>
        </w:rPr>
        <w:t>：</w:t>
      </w:r>
    </w:p>
    <w:p>
      <w:pPr>
        <w:spacing w:line="560" w:lineRule="exact"/>
        <w:jc w:val="center"/>
        <w:rPr>
          <w:rFonts w:ascii="仿宋_GB2312" w:hAnsi="仿宋_GB2312" w:eastAsia="仿宋_GB2312" w:cs="仿宋_GB2312"/>
          <w:sz w:val="32"/>
          <w:szCs w:val="32"/>
        </w:rPr>
      </w:pPr>
    </w:p>
    <w:p>
      <w:pPr>
        <w:spacing w:line="560" w:lineRule="exact"/>
        <w:jc w:val="center"/>
        <w:rPr>
          <w:rFonts w:ascii="方正小标宋_GBK" w:hAnsi="仿宋_GB2312" w:eastAsia="方正小标宋_GBK" w:cs="仿宋_GB2312"/>
          <w:sz w:val="44"/>
          <w:szCs w:val="44"/>
        </w:rPr>
      </w:pPr>
      <w:r>
        <w:rPr>
          <w:rFonts w:hint="eastAsia" w:ascii="方正小标宋_GBK" w:hAnsi="仿宋_GB2312" w:eastAsia="方正小标宋_GBK" w:cs="仿宋_GB2312"/>
          <w:sz w:val="44"/>
          <w:szCs w:val="44"/>
          <w:lang w:eastAsia="zh-CN"/>
        </w:rPr>
        <w:t>伊宁市农业农村局</w:t>
      </w:r>
      <w:bookmarkStart w:id="0" w:name="_GoBack"/>
      <w:bookmarkEnd w:id="0"/>
      <w:r>
        <w:rPr>
          <w:rFonts w:hint="eastAsia" w:ascii="方正小标宋_GBK" w:hAnsi="仿宋_GB2312" w:eastAsia="方正小标宋_GBK" w:cs="仿宋_GB2312"/>
          <w:sz w:val="44"/>
          <w:szCs w:val="44"/>
        </w:rPr>
        <w:t>信息公开工作年度报告</w:t>
      </w:r>
    </w:p>
    <w:p>
      <w:pPr>
        <w:spacing w:line="560" w:lineRule="exact"/>
        <w:jc w:val="center"/>
        <w:rPr>
          <w:rFonts w:ascii="方正小标宋_GBK" w:hAnsi="仿宋_GB2312" w:eastAsia="方正小标宋_GBK" w:cs="仿宋_GB2312"/>
          <w:sz w:val="44"/>
          <w:szCs w:val="44"/>
        </w:rPr>
      </w:pP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一、总体情况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仿宋_GB2312" w:hAnsi="宋体" w:eastAsia="仿宋_GB2312" w:cs="宋体"/>
          <w:kern w:val="2"/>
          <w:sz w:val="32"/>
          <w:szCs w:val="32"/>
          <w:lang w:val="en-US" w:eastAsia="zh-CN" w:bidi="ar-SA"/>
        </w:rPr>
      </w:pPr>
      <w:r>
        <w:rPr>
          <w:rFonts w:hint="eastAsia" w:ascii="微软雅黑" w:hAnsi="微软雅黑" w:eastAsia="微软雅黑" w:cs="微软雅黑"/>
          <w:i w:val="0"/>
          <w:caps w:val="0"/>
          <w:color w:val="424242"/>
          <w:spacing w:val="0"/>
          <w:sz w:val="27"/>
          <w:szCs w:val="27"/>
          <w:shd w:val="clear" w:fill="FFFFFF"/>
        </w:rPr>
        <w:t>　</w:t>
      </w:r>
      <w:r>
        <w:rPr>
          <w:rFonts w:hint="eastAsia" w:ascii="微软雅黑" w:hAnsi="微软雅黑" w:eastAsia="微软雅黑" w:cs="微软雅黑"/>
          <w:i w:val="0"/>
          <w:caps w:val="0"/>
          <w:color w:val="424242"/>
          <w:spacing w:val="0"/>
          <w:sz w:val="27"/>
          <w:szCs w:val="27"/>
          <w:shd w:val="clear" w:fill="FFFFFF"/>
          <w:lang w:val="en-US" w:eastAsia="zh-CN"/>
        </w:rPr>
        <w:t xml:space="preserve">   </w:t>
      </w:r>
      <w:r>
        <w:rPr>
          <w:rFonts w:hint="eastAsia" w:ascii="仿宋_GB2312" w:hAnsi="宋体" w:eastAsia="仿宋_GB2312" w:cs="宋体"/>
          <w:kern w:val="2"/>
          <w:sz w:val="32"/>
          <w:szCs w:val="32"/>
          <w:lang w:val="en-US" w:eastAsia="zh-CN" w:bidi="ar-SA"/>
        </w:rPr>
        <w:t>2022年，我局认真贯彻落实《中华人民共和国政府信息公开条例》的各项要求，加强组织领导，健全工作机制，结合农业农村工作实际，全面、准确、及时地将信息向社会公开，扎实推进政府信息公开工作，确保政府信息公开工作健康有序、全面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432" w:lineRule="atLeast"/>
        <w:ind w:left="0" w:right="0" w:firstLine="643" w:firstLineChars="200"/>
        <w:jc w:val="left"/>
        <w:textAlignment w:val="auto"/>
        <w:rPr>
          <w:rFonts w:hint="eastAsia" w:ascii="仿宋_GB2312" w:hAnsi="宋体" w:eastAsia="仿宋_GB2312" w:cs="宋体"/>
          <w:b/>
          <w:bCs/>
          <w:kern w:val="2"/>
          <w:sz w:val="32"/>
          <w:szCs w:val="32"/>
          <w:lang w:val="en-US" w:eastAsia="zh-CN" w:bidi="ar-SA"/>
        </w:rPr>
      </w:pPr>
      <w:r>
        <w:rPr>
          <w:rFonts w:hint="eastAsia" w:ascii="仿宋_GB2312" w:hAnsi="宋体" w:eastAsia="仿宋_GB2312" w:cs="宋体"/>
          <w:b/>
          <w:bCs/>
          <w:kern w:val="2"/>
          <w:sz w:val="32"/>
          <w:szCs w:val="32"/>
          <w:lang w:val="en-US" w:eastAsia="zh-CN" w:bidi="ar-SA"/>
        </w:rPr>
        <w:t>（一）主动公开政府信息情况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640" w:firstLineChars="200"/>
        <w:jc w:val="left"/>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伊宁市人民政府网站市农业农村局机构发布政府信息共计24条，涉农补贴1条，农业农村业务工作6条，农村宅基地改革2条，招标投标1条，重大项目10条，行政执法4条。</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二、主动公开政府信息情况</w:t>
      </w:r>
    </w:p>
    <w:p>
      <w:pPr>
        <w:pStyle w:val="4"/>
        <w:widowControl/>
        <w:spacing w:before="0" w:beforeAutospacing="0" w:after="0" w:afterAutospacing="0" w:line="560" w:lineRule="exact"/>
        <w:ind w:firstLine="640" w:firstLineChars="200"/>
        <w:jc w:val="both"/>
        <w:rPr>
          <w:rFonts w:hint="eastAsia"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8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2185"/>
        <w:gridCol w:w="1559"/>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2185" w:type="dxa"/>
            <w:shd w:val="clear" w:color="auto" w:fill="auto"/>
          </w:tcPr>
          <w:p>
            <w:pPr>
              <w:widowControl/>
              <w:spacing w:after="144" w:line="300" w:lineRule="exact"/>
              <w:jc w:val="center"/>
              <w:rPr>
                <w:sz w:val="24"/>
              </w:rPr>
            </w:pPr>
            <w:r>
              <w:rPr>
                <w:rFonts w:hint="eastAsia" w:ascii="宋体" w:hAnsi="宋体" w:cs="宋体"/>
                <w:kern w:val="0"/>
                <w:sz w:val="24"/>
              </w:rPr>
              <w:t>本年新</w:t>
            </w:r>
            <w:r>
              <w:rPr>
                <w:rFonts w:hint="eastAsia" w:ascii="宋体" w:hAnsi="宋体" w:cs="宋体"/>
                <w:kern w:val="0"/>
                <w:sz w:val="24"/>
              </w:rPr>
              <w:br w:type="textWrapping"/>
            </w:r>
            <w:r>
              <w:rPr>
                <w:kern w:val="0"/>
                <w:sz w:val="24"/>
              </w:rPr>
              <w:t>制</w:t>
            </w:r>
            <w:r>
              <w:rPr>
                <w:rFonts w:hint="eastAsia"/>
                <w:kern w:val="0"/>
                <w:sz w:val="24"/>
                <w:lang w:val="en-US" w:eastAsia="zh-CN"/>
              </w:rPr>
              <w:t>发</w:t>
            </w:r>
            <w:r>
              <w:rPr>
                <w:kern w:val="0"/>
                <w:sz w:val="24"/>
              </w:rPr>
              <w:t>数量</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rPr>
              <w:t>本年</w:t>
            </w:r>
            <w:r>
              <w:rPr>
                <w:rFonts w:hint="eastAsia" w:ascii="宋体" w:hAnsi="宋体" w:cs="宋体"/>
                <w:kern w:val="0"/>
                <w:sz w:val="24"/>
                <w:lang w:val="en-US" w:eastAsia="zh-CN"/>
              </w:rPr>
              <w:t>废止件数</w:t>
            </w:r>
          </w:p>
        </w:tc>
        <w:tc>
          <w:tcPr>
            <w:tcW w:w="1688" w:type="dxa"/>
            <w:shd w:val="clear" w:color="auto" w:fill="auto"/>
          </w:tcPr>
          <w:p>
            <w:pPr>
              <w:widowControl/>
              <w:spacing w:after="144" w:line="300" w:lineRule="exact"/>
              <w:jc w:val="center"/>
              <w:rPr>
                <w:rFonts w:hint="eastAsia" w:eastAsia="宋体"/>
                <w:sz w:val="24"/>
                <w:lang w:val="en-US" w:eastAsia="zh-CN"/>
              </w:rPr>
            </w:pPr>
            <w:r>
              <w:rPr>
                <w:rFonts w:hint="eastAsia" w:ascii="宋体" w:hAnsi="宋体" w:cs="宋体"/>
                <w:kern w:val="0"/>
                <w:sz w:val="24"/>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规章</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规范性文件</w:t>
            </w:r>
          </w:p>
        </w:tc>
        <w:tc>
          <w:tcPr>
            <w:tcW w:w="2185"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559" w:type="dxa"/>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c>
          <w:tcPr>
            <w:tcW w:w="1688" w:type="dxa"/>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4"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行政许可</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行政处罚</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行政强制</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4" w:hRule="atLeast"/>
          <w:jc w:val="center"/>
        </w:trPr>
        <w:tc>
          <w:tcPr>
            <w:tcW w:w="8140" w:type="dxa"/>
            <w:gridSpan w:val="4"/>
            <w:shd w:val="clear" w:color="auto" w:fill="auto"/>
          </w:tcPr>
          <w:p>
            <w:pPr>
              <w:widowControl/>
              <w:spacing w:after="144" w:line="300" w:lineRule="exact"/>
              <w:jc w:val="center"/>
              <w:rPr>
                <w:sz w:val="24"/>
              </w:rPr>
            </w:pPr>
            <w:r>
              <w:rPr>
                <w:rFonts w:hint="eastAsia" w:ascii="宋体" w:hAnsi="宋体" w:cs="宋体"/>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2708" w:type="dxa"/>
            <w:shd w:val="clear" w:color="auto" w:fill="auto"/>
          </w:tcPr>
          <w:p>
            <w:pPr>
              <w:widowControl/>
              <w:spacing w:after="144" w:line="300" w:lineRule="exact"/>
              <w:jc w:val="center"/>
              <w:rPr>
                <w:sz w:val="24"/>
              </w:rPr>
            </w:pPr>
            <w:r>
              <w:rPr>
                <w:rFonts w:hint="eastAsia" w:ascii="宋体" w:hAnsi="宋体" w:cs="宋体"/>
                <w:kern w:val="0"/>
                <w:sz w:val="24"/>
              </w:rPr>
              <w:t>信息内容</w:t>
            </w:r>
          </w:p>
        </w:tc>
        <w:tc>
          <w:tcPr>
            <w:tcW w:w="5432" w:type="dxa"/>
            <w:gridSpan w:val="3"/>
            <w:shd w:val="clear" w:color="auto" w:fill="auto"/>
          </w:tcPr>
          <w:p>
            <w:pPr>
              <w:widowControl/>
              <w:spacing w:after="144" w:line="300" w:lineRule="exact"/>
              <w:jc w:val="center"/>
              <w:rPr>
                <w:rFonts w:hint="eastAsia" w:eastAsia="宋体"/>
                <w:sz w:val="24"/>
                <w:lang w:val="en-US" w:eastAsia="zh-CN"/>
              </w:rPr>
            </w:pPr>
            <w:r>
              <w:rPr>
                <w:rFonts w:hint="eastAsia"/>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2708" w:type="dxa"/>
            <w:shd w:val="clear" w:color="auto" w:fill="auto"/>
          </w:tcPr>
          <w:p>
            <w:pPr>
              <w:widowControl/>
              <w:spacing w:after="144" w:line="300" w:lineRule="exact"/>
              <w:jc w:val="left"/>
              <w:rPr>
                <w:sz w:val="24"/>
              </w:rPr>
            </w:pPr>
            <w:r>
              <w:rPr>
                <w:rFonts w:hint="eastAsia" w:ascii="宋体" w:hAnsi="宋体" w:cs="宋体"/>
                <w:kern w:val="0"/>
                <w:sz w:val="24"/>
              </w:rPr>
              <w:t>行政事业性收费</w:t>
            </w:r>
          </w:p>
        </w:tc>
        <w:tc>
          <w:tcPr>
            <w:tcW w:w="5432" w:type="dxa"/>
            <w:gridSpan w:val="3"/>
            <w:shd w:val="clear" w:color="auto" w:fill="auto"/>
          </w:tcPr>
          <w:p>
            <w:pPr>
              <w:widowControl/>
              <w:spacing w:after="144" w:line="300" w:lineRule="exact"/>
              <w:jc w:val="center"/>
              <w:rPr>
                <w:rFonts w:hint="default" w:eastAsia="宋体"/>
                <w:sz w:val="24"/>
                <w:lang w:val="en-US" w:eastAsia="zh-CN"/>
              </w:rPr>
            </w:pPr>
            <w:r>
              <w:rPr>
                <w:rFonts w:hint="eastAsia"/>
                <w:sz w:val="24"/>
                <w:lang w:val="en-US" w:eastAsia="zh-CN"/>
              </w:rPr>
              <w:t>681.1927</w:t>
            </w:r>
          </w:p>
        </w:tc>
      </w:tr>
    </w:tbl>
    <w:p>
      <w:pPr>
        <w:pStyle w:val="4"/>
        <w:widowControl/>
        <w:spacing w:before="0" w:beforeAutospacing="0" w:after="0" w:afterAutospacing="0" w:line="560" w:lineRule="exact"/>
        <w:ind w:firstLine="640" w:firstLineChars="200"/>
        <w:jc w:val="both"/>
        <w:rPr>
          <w:rFonts w:ascii="黑体" w:hAnsi="黑体" w:eastAsia="黑体" w:cs="宋体"/>
          <w:sz w:val="32"/>
          <w:szCs w:val="30"/>
        </w:rPr>
      </w:pPr>
      <w:r>
        <w:rPr>
          <w:rFonts w:hint="eastAsia" w:ascii="黑体" w:hAnsi="黑体" w:eastAsia="黑体" w:cs="宋体"/>
          <w:sz w:val="32"/>
          <w:szCs w:val="30"/>
        </w:rPr>
        <w:t>三、收到和处理政府信息公开申请情况</w:t>
      </w:r>
    </w:p>
    <w:p>
      <w:pPr>
        <w:pStyle w:val="4"/>
        <w:widowControl/>
        <w:spacing w:before="0" w:beforeAutospacing="0" w:after="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92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456"/>
        <w:gridCol w:w="707"/>
        <w:gridCol w:w="707"/>
        <w:gridCol w:w="706"/>
        <w:gridCol w:w="707"/>
        <w:gridCol w:w="465"/>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（本列数据的勾稽关系为：第一项加第二项之和，等于第三项加第四项之和）</w:t>
            </w:r>
          </w:p>
        </w:tc>
        <w:tc>
          <w:tcPr>
            <w:tcW w:w="4204" w:type="dxa"/>
            <w:gridSpan w:val="7"/>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自然人</w:t>
            </w:r>
          </w:p>
        </w:tc>
        <w:tc>
          <w:tcPr>
            <w:tcW w:w="3292" w:type="dxa"/>
            <w:gridSpan w:val="5"/>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法人或其他组织</w:t>
            </w:r>
          </w:p>
        </w:tc>
        <w:tc>
          <w:tcPr>
            <w:tcW w:w="456"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4" w:hRule="atLeast"/>
          <w:jc w:val="center"/>
        </w:trPr>
        <w:tc>
          <w:tcPr>
            <w:tcW w:w="5010" w:type="dxa"/>
            <w:gridSpan w:val="3"/>
            <w:vMerge w:val="continue"/>
            <w:tcMar>
              <w:left w:w="108" w:type="dxa"/>
              <w:right w:w="108" w:type="dxa"/>
            </w:tcMar>
            <w:vAlign w:val="center"/>
          </w:tcPr>
          <w:p>
            <w:pPr>
              <w:spacing w:line="260" w:lineRule="exact"/>
              <w:rPr>
                <w:rFonts w:ascii="宋体"/>
                <w:sz w:val="24"/>
              </w:rPr>
            </w:pPr>
          </w:p>
        </w:tc>
        <w:tc>
          <w:tcPr>
            <w:tcW w:w="456" w:type="dxa"/>
            <w:vMerge w:val="continue"/>
            <w:tcMar>
              <w:left w:w="108" w:type="dxa"/>
              <w:right w:w="108" w:type="dxa"/>
            </w:tcMar>
            <w:vAlign w:val="center"/>
          </w:tcPr>
          <w:p>
            <w:pPr>
              <w:spacing w:line="260" w:lineRule="exact"/>
              <w:rPr>
                <w:rFonts w:ascii="宋体"/>
                <w:sz w:val="24"/>
              </w:rPr>
            </w:pP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商业企业</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科研机构</w:t>
            </w:r>
          </w:p>
        </w:tc>
        <w:tc>
          <w:tcPr>
            <w:tcW w:w="706"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社会公益组织</w:t>
            </w:r>
          </w:p>
        </w:tc>
        <w:tc>
          <w:tcPr>
            <w:tcW w:w="707"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法律服务机构</w:t>
            </w:r>
          </w:p>
        </w:tc>
        <w:tc>
          <w:tcPr>
            <w:tcW w:w="465" w:type="dxa"/>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其他</w:t>
            </w:r>
          </w:p>
        </w:tc>
        <w:tc>
          <w:tcPr>
            <w:tcW w:w="456" w:type="dxa"/>
            <w:vMerge w:val="continue"/>
            <w:tcMar>
              <w:left w:w="108" w:type="dxa"/>
              <w:right w:w="108" w:type="dxa"/>
            </w:tcMar>
            <w:vAlign w:val="center"/>
          </w:tcPr>
          <w:p>
            <w:pPr>
              <w:spacing w:line="26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一、本年新收政府信息公开申请数量</w:t>
            </w:r>
          </w:p>
        </w:tc>
        <w:tc>
          <w:tcPr>
            <w:tcW w:w="456" w:type="dxa"/>
            <w:tcMar>
              <w:left w:w="108" w:type="dxa"/>
              <w:right w:w="108" w:type="dxa"/>
            </w:tcMar>
            <w:vAlign w:val="center"/>
          </w:tcPr>
          <w:p>
            <w:pPr>
              <w:widowControl/>
              <w:spacing w:after="144" w:line="260" w:lineRule="exact"/>
              <w:jc w:val="center"/>
              <w:rPr>
                <w:sz w:val="24"/>
              </w:rPr>
            </w:pPr>
          </w:p>
        </w:tc>
        <w:tc>
          <w:tcPr>
            <w:tcW w:w="707" w:type="dxa"/>
            <w:tcMar>
              <w:left w:w="108" w:type="dxa"/>
              <w:right w:w="108" w:type="dxa"/>
            </w:tcMar>
            <w:vAlign w:val="center"/>
          </w:tcPr>
          <w:p>
            <w:pPr>
              <w:widowControl/>
              <w:spacing w:after="144" w:line="260" w:lineRule="exact"/>
              <w:jc w:val="center"/>
              <w:rPr>
                <w:sz w:val="24"/>
              </w:rPr>
            </w:pP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二、上年结转政府信息公开申请数量</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697" w:type="dxa"/>
            <w:vMerge w:val="restart"/>
            <w:tcMar>
              <w:left w:w="108" w:type="dxa"/>
              <w:right w:w="108" w:type="dxa"/>
            </w:tcMar>
            <w:vAlign w:val="center"/>
          </w:tcPr>
          <w:p>
            <w:pPr>
              <w:widowControl/>
              <w:spacing w:after="144" w:line="260" w:lineRule="exact"/>
              <w:jc w:val="center"/>
              <w:rPr>
                <w:sz w:val="24"/>
              </w:rPr>
            </w:pPr>
            <w:r>
              <w:rPr>
                <w:rFonts w:hint="eastAsia" w:ascii="宋体" w:hAnsi="宋体" w:cs="宋体"/>
                <w:kern w:val="0"/>
                <w:sz w:val="24"/>
              </w:rPr>
              <w:t>三、本年度办理结果</w:t>
            </w: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（一）予以公开</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（二）部分公开（区分处理的，只计这一情形，不计其他情形）</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（三）不予公开</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1.属于国家秘密</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2.其他法律行政法规禁止公开</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3.危及“三安全一稳定”</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4.保护第三方合法权益</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5.属于三类内部事务信息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6.属于四类过程性信息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7.属于行政执法案卷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8.属于行政查询事项</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（四）无法提供</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1.本机关不掌握相关政府信息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2.没有现成信息需要另行制作</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3.补正后申请内容仍不明确</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（五）不予处理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1.信访举报投诉类申请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2.重复申请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sz w:val="24"/>
              </w:rPr>
            </w:pPr>
            <w:r>
              <w:rPr>
                <w:rFonts w:hint="eastAsia" w:cs="Calibri"/>
                <w:kern w:val="0"/>
                <w:sz w:val="24"/>
                <w:lang w:val="en-US" w:eastAsia="zh-CN"/>
              </w:rPr>
              <w:t>0</w:t>
            </w: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3.要求提供公开出版物</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default"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4.无正当理由大量反复申请</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5.要求行政机关确认或重新出具已获取信息</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restart"/>
            <w:tcMar>
              <w:left w:w="108" w:type="dxa"/>
              <w:right w:w="108" w:type="dxa"/>
            </w:tcMar>
            <w:vAlign w:val="center"/>
          </w:tcPr>
          <w:p>
            <w:pPr>
              <w:widowControl/>
              <w:spacing w:after="144" w:line="260" w:lineRule="exact"/>
              <w:jc w:val="left"/>
              <w:rPr>
                <w:rFonts w:hint="eastAsia" w:ascii="宋体" w:hAnsi="宋体" w:cs="宋体"/>
                <w:kern w:val="0"/>
                <w:sz w:val="24"/>
                <w:lang w:val="en-US" w:eastAsia="zh-CN"/>
              </w:rPr>
            </w:pPr>
            <w:r>
              <w:rPr>
                <w:rFonts w:hint="eastAsia" w:ascii="宋体" w:hAnsi="宋体" w:cs="宋体"/>
                <w:kern w:val="0"/>
                <w:sz w:val="24"/>
              </w:rPr>
              <w:t>（</w:t>
            </w:r>
            <w:r>
              <w:rPr>
                <w:rFonts w:hint="eastAsia" w:ascii="宋体" w:hAnsi="宋体" w:cs="宋体"/>
                <w:kern w:val="0"/>
                <w:sz w:val="24"/>
                <w:lang w:val="en-US" w:eastAsia="zh-CN"/>
              </w:rPr>
              <w:t>六</w:t>
            </w:r>
            <w:r>
              <w:rPr>
                <w:rFonts w:hint="eastAsia" w:ascii="宋体" w:hAnsi="宋体" w:cs="宋体"/>
                <w:kern w:val="0"/>
                <w:sz w:val="24"/>
              </w:rPr>
              <w:t>）</w:t>
            </w:r>
            <w:r>
              <w:rPr>
                <w:rFonts w:hint="eastAsia" w:ascii="宋体" w:hAnsi="宋体" w:cs="宋体"/>
                <w:kern w:val="0"/>
                <w:sz w:val="24"/>
                <w:lang w:val="en-US" w:eastAsia="zh-CN"/>
              </w:rPr>
              <w:t>其他处理</w:t>
            </w: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1.申请人无正当理由逾期不补正、行政机关不再处理其政府信息公开申请</w:t>
            </w:r>
          </w:p>
        </w:tc>
        <w:tc>
          <w:tcPr>
            <w:tcW w:w="45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465" w:type="dxa"/>
            <w:tcMar>
              <w:left w:w="108" w:type="dxa"/>
              <w:right w:w="108" w:type="dxa"/>
            </w:tcMar>
            <w:vAlign w:val="center"/>
          </w:tcPr>
          <w:p>
            <w:pPr>
              <w:widowControl/>
              <w:spacing w:after="144" w:line="260" w:lineRule="exact"/>
              <w:jc w:val="center"/>
              <w:rPr>
                <w:rFonts w:cs="Calibri"/>
                <w:kern w:val="0"/>
                <w:sz w:val="24"/>
              </w:rPr>
            </w:pP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2.申请人逾期未按收费通知要求缴纳费用、行政机关不再处理其政府信息公开申请</w:t>
            </w:r>
          </w:p>
        </w:tc>
        <w:tc>
          <w:tcPr>
            <w:tcW w:w="45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465" w:type="dxa"/>
            <w:tcMar>
              <w:left w:w="108" w:type="dxa"/>
              <w:right w:w="108" w:type="dxa"/>
            </w:tcMar>
            <w:vAlign w:val="center"/>
          </w:tcPr>
          <w:p>
            <w:pPr>
              <w:widowControl/>
              <w:spacing w:after="144" w:line="260" w:lineRule="exact"/>
              <w:jc w:val="center"/>
              <w:rPr>
                <w:rFonts w:cs="Calibri"/>
                <w:kern w:val="0"/>
                <w:sz w:val="24"/>
              </w:rPr>
            </w:pP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spacing w:line="260" w:lineRule="exact"/>
              <w:rPr>
                <w:rFonts w:ascii="宋体"/>
                <w:sz w:val="24"/>
              </w:rPr>
            </w:pPr>
          </w:p>
        </w:tc>
        <w:tc>
          <w:tcPr>
            <w:tcW w:w="936" w:type="dxa"/>
            <w:vMerge w:val="continue"/>
            <w:tcMar>
              <w:left w:w="108" w:type="dxa"/>
              <w:right w:w="108" w:type="dxa"/>
            </w:tcMar>
            <w:vAlign w:val="center"/>
          </w:tcPr>
          <w:p>
            <w:pPr>
              <w:widowControl/>
              <w:spacing w:after="144" w:line="260" w:lineRule="exact"/>
              <w:jc w:val="left"/>
              <w:rPr>
                <w:rFonts w:hint="eastAsia" w:ascii="宋体" w:hAnsi="宋体" w:cs="宋体"/>
                <w:kern w:val="0"/>
                <w:sz w:val="24"/>
              </w:rPr>
            </w:pPr>
          </w:p>
        </w:tc>
        <w:tc>
          <w:tcPr>
            <w:tcW w:w="3377" w:type="dxa"/>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3.其他</w:t>
            </w:r>
          </w:p>
        </w:tc>
        <w:tc>
          <w:tcPr>
            <w:tcW w:w="45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706" w:type="dxa"/>
            <w:tcMar>
              <w:left w:w="108" w:type="dxa"/>
              <w:right w:w="108" w:type="dxa"/>
            </w:tcMar>
            <w:vAlign w:val="center"/>
          </w:tcPr>
          <w:p>
            <w:pPr>
              <w:widowControl/>
              <w:spacing w:after="144" w:line="260" w:lineRule="exact"/>
              <w:jc w:val="center"/>
              <w:rPr>
                <w:rFonts w:cs="Calibri"/>
                <w:kern w:val="0"/>
                <w:sz w:val="24"/>
              </w:rPr>
            </w:pPr>
          </w:p>
        </w:tc>
        <w:tc>
          <w:tcPr>
            <w:tcW w:w="707" w:type="dxa"/>
            <w:tcMar>
              <w:left w:w="108" w:type="dxa"/>
              <w:right w:w="108" w:type="dxa"/>
            </w:tcMar>
            <w:vAlign w:val="center"/>
          </w:tcPr>
          <w:p>
            <w:pPr>
              <w:widowControl/>
              <w:spacing w:after="144" w:line="260" w:lineRule="exact"/>
              <w:jc w:val="center"/>
              <w:rPr>
                <w:rFonts w:cs="Calibri"/>
                <w:kern w:val="0"/>
                <w:sz w:val="24"/>
              </w:rPr>
            </w:pPr>
          </w:p>
        </w:tc>
        <w:tc>
          <w:tcPr>
            <w:tcW w:w="465" w:type="dxa"/>
            <w:tcMar>
              <w:left w:w="108" w:type="dxa"/>
              <w:right w:w="108" w:type="dxa"/>
            </w:tcMar>
            <w:vAlign w:val="center"/>
          </w:tcPr>
          <w:p>
            <w:pPr>
              <w:widowControl/>
              <w:spacing w:after="144" w:line="260" w:lineRule="exact"/>
              <w:jc w:val="center"/>
              <w:rPr>
                <w:rFonts w:cs="Calibri"/>
                <w:kern w:val="0"/>
                <w:sz w:val="24"/>
              </w:rPr>
            </w:pPr>
          </w:p>
        </w:tc>
        <w:tc>
          <w:tcPr>
            <w:tcW w:w="456" w:type="dxa"/>
            <w:tcMar>
              <w:left w:w="108" w:type="dxa"/>
              <w:right w:w="108" w:type="dxa"/>
            </w:tcMar>
            <w:vAlign w:val="center"/>
          </w:tcPr>
          <w:p>
            <w:pPr>
              <w:widowControl/>
              <w:spacing w:after="144" w:line="260" w:lineRule="exact"/>
              <w:jc w:val="center"/>
              <w:rPr>
                <w:rFonts w:hint="eastAsia" w:eastAsia="宋体" w:cs="Calibri"/>
                <w:kern w:val="0"/>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spacing w:line="260" w:lineRule="exact"/>
              <w:rPr>
                <w:rFonts w:ascii="宋体"/>
                <w:sz w:val="24"/>
              </w:rPr>
            </w:pPr>
          </w:p>
        </w:tc>
        <w:tc>
          <w:tcPr>
            <w:tcW w:w="4313" w:type="dxa"/>
            <w:gridSpan w:val="2"/>
            <w:tcMar>
              <w:left w:w="108" w:type="dxa"/>
              <w:right w:w="108" w:type="dxa"/>
            </w:tcMar>
            <w:vAlign w:val="center"/>
          </w:tcPr>
          <w:p>
            <w:pPr>
              <w:widowControl/>
              <w:spacing w:after="144" w:line="260" w:lineRule="exact"/>
              <w:jc w:val="left"/>
              <w:rPr>
                <w:rFonts w:hint="eastAsia" w:ascii="宋体" w:hAnsi="宋体" w:cs="宋体"/>
                <w:kern w:val="0"/>
                <w:sz w:val="24"/>
              </w:rPr>
            </w:pPr>
            <w:r>
              <w:rPr>
                <w:rFonts w:hint="eastAsia" w:ascii="宋体" w:hAnsi="宋体" w:cs="宋体"/>
                <w:kern w:val="0"/>
                <w:sz w:val="24"/>
              </w:rPr>
              <w:t>（七）总计</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widowControl/>
              <w:spacing w:after="144" w:line="260" w:lineRule="exact"/>
              <w:jc w:val="center"/>
              <w:rPr>
                <w:rFonts w:hint="eastAsia" w:eastAsia="宋体"/>
                <w:sz w:val="24"/>
                <w:lang w:val="en-US" w:eastAsia="zh-CN"/>
              </w:rPr>
            </w:pPr>
            <w:r>
              <w:rPr>
                <w:rFonts w:cs="Calibri"/>
                <w:kern w:val="0"/>
                <w:sz w:val="24"/>
              </w:rPr>
              <w:t> </w:t>
            </w: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10" w:type="dxa"/>
            <w:gridSpan w:val="3"/>
            <w:tcMar>
              <w:left w:w="108" w:type="dxa"/>
              <w:right w:w="108" w:type="dxa"/>
            </w:tcMar>
            <w:vAlign w:val="center"/>
          </w:tcPr>
          <w:p>
            <w:pPr>
              <w:widowControl/>
              <w:spacing w:after="144" w:line="260" w:lineRule="exact"/>
              <w:jc w:val="left"/>
              <w:rPr>
                <w:sz w:val="24"/>
              </w:rPr>
            </w:pPr>
            <w:r>
              <w:rPr>
                <w:rFonts w:hint="eastAsia" w:ascii="宋体" w:hAnsi="宋体" w:cs="宋体"/>
                <w:kern w:val="0"/>
                <w:sz w:val="24"/>
              </w:rPr>
              <w:t>四、结转下年度继续办理</w:t>
            </w:r>
          </w:p>
        </w:tc>
        <w:tc>
          <w:tcPr>
            <w:tcW w:w="45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6"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707"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65" w:type="dxa"/>
            <w:tcMar>
              <w:left w:w="108" w:type="dxa"/>
              <w:right w:w="108" w:type="dxa"/>
            </w:tcMar>
            <w:vAlign w:val="center"/>
          </w:tcPr>
          <w:p>
            <w:pPr>
              <w:widowControl/>
              <w:spacing w:after="144" w:line="260" w:lineRule="exact"/>
              <w:jc w:val="center"/>
              <w:rPr>
                <w:sz w:val="24"/>
              </w:rPr>
            </w:pPr>
            <w:r>
              <w:rPr>
                <w:rFonts w:cs="Calibri"/>
                <w:kern w:val="0"/>
                <w:sz w:val="24"/>
              </w:rPr>
              <w:t> </w:t>
            </w:r>
          </w:p>
        </w:tc>
        <w:tc>
          <w:tcPr>
            <w:tcW w:w="456" w:type="dxa"/>
            <w:tcMar>
              <w:left w:w="108" w:type="dxa"/>
              <w:right w:w="108" w:type="dxa"/>
            </w:tcMar>
            <w:vAlign w:val="center"/>
          </w:tcPr>
          <w:p>
            <w:pPr>
              <w:spacing w:line="260" w:lineRule="exact"/>
              <w:rPr>
                <w:rFonts w:hint="eastAsia" w:ascii="宋体" w:eastAsia="宋体"/>
                <w:sz w:val="24"/>
                <w:lang w:val="en-US" w:eastAsia="zh-CN"/>
              </w:rPr>
            </w:pPr>
            <w:r>
              <w:rPr>
                <w:rFonts w:hint="eastAsia" w:ascii="宋体"/>
                <w:sz w:val="24"/>
                <w:lang w:val="en-US" w:eastAsia="zh-CN"/>
              </w:rPr>
              <w:t>0</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四、政府信息公开行政复议、行政诉讼情况</w:t>
      </w:r>
    </w:p>
    <w:p>
      <w:pPr>
        <w:pStyle w:val="4"/>
        <w:widowControl/>
        <w:spacing w:before="0" w:beforeAutospacing="0" w:after="0" w:afterAutospacing="0" w:line="560" w:lineRule="exact"/>
        <w:ind w:firstLine="640" w:firstLineChars="200"/>
        <w:jc w:val="both"/>
        <w:rPr>
          <w:rFonts w:ascii="仿宋_GB2312" w:hAnsi="宋体" w:eastAsia="仿宋_GB2312" w:cs="宋体"/>
          <w:sz w:val="32"/>
          <w:szCs w:val="32"/>
        </w:rPr>
      </w:pPr>
      <w:r>
        <w:rPr>
          <w:rFonts w:hint="eastAsia" w:ascii="仿宋_GB2312" w:hAnsi="宋体" w:eastAsia="仿宋_GB2312" w:cs="宋体"/>
          <w:sz w:val="32"/>
          <w:szCs w:val="32"/>
        </w:rPr>
        <w:t>该部分以表格形式报告。表格如下：</w:t>
      </w:r>
    </w:p>
    <w:tbl>
      <w:tblPr>
        <w:tblStyle w:val="5"/>
        <w:tblW w:w="94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ascii="宋体" w:hAnsi="宋体" w:cs="宋体"/>
                <w:kern w:val="0"/>
                <w:sz w:val="24"/>
              </w:rPr>
            </w:pPr>
          </w:p>
        </w:tc>
        <w:tc>
          <w:tcPr>
            <w:tcW w:w="851"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83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45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4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5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3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1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8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27"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69"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spacing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一是政府信息公开内容、形式的规范性有待于进一步加强。二是信息公开批复时效性不够强。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20" w:afterAutospacing="0" w:line="560" w:lineRule="exact"/>
        <w:ind w:left="0" w:right="0" w:firstLine="640" w:firstLineChars="200"/>
        <w:jc w:val="left"/>
        <w:textAlignment w:val="auto"/>
        <w:rPr>
          <w:rFonts w:hint="eastAsia" w:ascii="仿宋_GB2312" w:hAnsi="宋体" w:eastAsia="仿宋_GB2312" w:cs="宋体"/>
          <w:kern w:val="2"/>
          <w:sz w:val="32"/>
          <w:szCs w:val="32"/>
          <w:lang w:val="en-US" w:eastAsia="zh-CN" w:bidi="ar-SA"/>
        </w:rPr>
      </w:pPr>
      <w:r>
        <w:rPr>
          <w:rFonts w:hint="eastAsia" w:ascii="仿宋_GB2312" w:hAnsi="宋体" w:eastAsia="仿宋_GB2312" w:cs="宋体"/>
          <w:kern w:val="2"/>
          <w:sz w:val="32"/>
          <w:szCs w:val="32"/>
          <w:lang w:val="en-US" w:eastAsia="zh-CN" w:bidi="ar-SA"/>
        </w:rPr>
        <w:t>2023年，我局将进一步深入学习《中华人民共和国政府信息公开条例》和各项规定要求，提高思想认识，不断完善工作制度，及时更新公开信息，拓宽信息公开渠道，保证公开工作真正落到实处。</w:t>
      </w:r>
    </w:p>
    <w:p>
      <w:pPr>
        <w:spacing w:line="560" w:lineRule="exact"/>
        <w:ind w:firstLine="636" w:firstLineChars="199"/>
        <w:rPr>
          <w:rFonts w:ascii="黑体" w:hAnsi="黑体" w:eastAsia="黑体" w:cs="宋体"/>
          <w:sz w:val="32"/>
          <w:szCs w:val="32"/>
        </w:rPr>
      </w:pPr>
      <w:r>
        <w:rPr>
          <w:rFonts w:hint="eastAsia" w:ascii="黑体" w:hAnsi="黑体" w:eastAsia="黑体" w:cs="宋体"/>
          <w:sz w:val="32"/>
          <w:szCs w:val="32"/>
        </w:rPr>
        <w:t>六、其他需要报告的事项</w:t>
      </w:r>
    </w:p>
    <w:p>
      <w:pPr>
        <w:spacing w:line="560" w:lineRule="exact"/>
        <w:ind w:firstLine="636" w:firstLineChars="199"/>
        <w:rPr>
          <w:rFonts w:ascii="仿宋_GB2312" w:hAnsi="宋体" w:eastAsia="仿宋_GB2312" w:cs="宋体"/>
          <w:sz w:val="32"/>
          <w:szCs w:val="32"/>
        </w:rPr>
      </w:pPr>
      <w:r>
        <w:rPr>
          <w:rFonts w:hint="eastAsia" w:ascii="仿宋_GB2312" w:hAnsi="宋体" w:eastAsia="仿宋_GB2312" w:cs="宋体"/>
          <w:sz w:val="32"/>
          <w:szCs w:val="32"/>
        </w:rPr>
        <w:t>该部分采用文字描述。</w:t>
      </w:r>
    </w:p>
    <w:p>
      <w:pPr>
        <w:spacing w:line="560" w:lineRule="exact"/>
        <w:ind w:firstLine="636" w:firstLineChars="199"/>
        <w:rPr>
          <w:rFonts w:hint="eastAsia" w:ascii="仿宋_GB2312" w:hAnsi="宋体" w:eastAsia="仿宋_GB2312" w:cs="宋体"/>
          <w:sz w:val="32"/>
          <w:szCs w:val="32"/>
        </w:rPr>
      </w:pPr>
      <w:r>
        <w:rPr>
          <w:rFonts w:hint="eastAsia" w:ascii="仿宋_GB2312" w:hAnsi="宋体" w:eastAsia="仿宋_GB2312" w:cs="宋体"/>
          <w:sz w:val="32"/>
          <w:szCs w:val="32"/>
        </w:rPr>
        <w:t>这一项主要报告本机关认为需要报告的其他事项，以及其他有关文件专门要求通过政府信息公开工作年度报告予以报告的事项。</w:t>
      </w:r>
    </w:p>
    <w:p>
      <w:pPr>
        <w:spacing w:line="560" w:lineRule="exact"/>
        <w:ind w:firstLine="636" w:firstLineChars="199"/>
        <w:rPr>
          <w:rFonts w:hint="eastAsia"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各行政机关依据《政府信息公开信息处理费管理办法》收取信息处理费的情况，在此处专门报告。</w:t>
      </w:r>
    </w:p>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填报人：胡丹丹             电话：8359560</w:t>
      </w: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eastAsia" w:ascii="仿宋_GB2312" w:hAnsi="宋体" w:eastAsia="仿宋_GB2312" w:cs="宋体"/>
          <w:sz w:val="32"/>
          <w:szCs w:val="32"/>
          <w:lang w:val="en-US" w:eastAsia="zh-CN"/>
        </w:rPr>
      </w:pPr>
    </w:p>
    <w:p>
      <w:pPr>
        <w:spacing w:line="560" w:lineRule="exact"/>
        <w:ind w:firstLine="636" w:firstLineChars="199"/>
        <w:rPr>
          <w:rFonts w:hint="default" w:ascii="仿宋_GB2312" w:hAnsi="宋体" w:eastAsia="仿宋_GB2312" w:cs="宋体"/>
          <w:sz w:val="32"/>
          <w:szCs w:val="32"/>
          <w:lang w:val="en-US" w:eastAsia="zh-CN"/>
        </w:rPr>
      </w:pPr>
      <w:r>
        <w:rPr>
          <w:rFonts w:hint="eastAsia" w:ascii="仿宋_GB2312" w:hAnsi="宋体" w:eastAsia="仿宋_GB2312" w:cs="宋体"/>
          <w:sz w:val="32"/>
          <w:szCs w:val="32"/>
          <w:lang w:val="en-US" w:eastAsia="zh-CN"/>
        </w:rPr>
        <w:t xml:space="preserve">                         单位盖章：</w:t>
      </w: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3000509000000000000"/>
    <w:charset w:val="86"/>
    <w:family w:val="script"/>
    <w:pitch w:val="default"/>
    <w:sig w:usb0="00000000" w:usb1="00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2A2B98"/>
    <w:rsid w:val="031543E7"/>
    <w:rsid w:val="07644625"/>
    <w:rsid w:val="0CA04AFA"/>
    <w:rsid w:val="0CFD7552"/>
    <w:rsid w:val="0D2A2B98"/>
    <w:rsid w:val="1D213799"/>
    <w:rsid w:val="1D395F55"/>
    <w:rsid w:val="1EE67356"/>
    <w:rsid w:val="25984D43"/>
    <w:rsid w:val="270C5A5A"/>
    <w:rsid w:val="29083D32"/>
    <w:rsid w:val="2A9C0CF3"/>
    <w:rsid w:val="2DD60A6D"/>
    <w:rsid w:val="30853529"/>
    <w:rsid w:val="309B0D56"/>
    <w:rsid w:val="318268C6"/>
    <w:rsid w:val="343E0F74"/>
    <w:rsid w:val="375A4AB2"/>
    <w:rsid w:val="37D908D3"/>
    <w:rsid w:val="40311E91"/>
    <w:rsid w:val="40D2565A"/>
    <w:rsid w:val="440627C5"/>
    <w:rsid w:val="46A770F1"/>
    <w:rsid w:val="46FC75BC"/>
    <w:rsid w:val="473328E9"/>
    <w:rsid w:val="4BFD0C08"/>
    <w:rsid w:val="4DAD5B2E"/>
    <w:rsid w:val="516A70DE"/>
    <w:rsid w:val="51961C49"/>
    <w:rsid w:val="520B33DA"/>
    <w:rsid w:val="59CC6FF3"/>
    <w:rsid w:val="6491037C"/>
    <w:rsid w:val="73747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2021-12-23T10:31:00Z</dcterms:created>
  <dc:creator>李静</dc:creator>
  <cp:lastModifiedBy>Administrator</cp:lastModifiedBy>
  <dcterms:modified xsi:type="dcterms:W3CDTF">2023-01-12T10:18:50Z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