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1</w:t>
      </w:r>
      <w:r>
        <w:rPr>
          <w:rFonts w:hint="eastAsia" w:ascii="黑体" w:hAnsi="黑体" w:eastAsia="黑体" w:cs="仿宋_GB2312"/>
          <w:sz w:val="32"/>
          <w:szCs w:val="32"/>
        </w:rPr>
        <w:t>：</w:t>
      </w:r>
    </w:p>
    <w:p>
      <w:pPr>
        <w:spacing w:line="560" w:lineRule="exact"/>
        <w:jc w:val="center"/>
        <w:rPr>
          <w:rFonts w:ascii="仿宋_GB2312" w:hAnsi="仿宋_GB2312" w:eastAsia="仿宋_GB2312" w:cs="仿宋_GB2312"/>
          <w:sz w:val="32"/>
          <w:szCs w:val="32"/>
        </w:rPr>
      </w:pPr>
    </w:p>
    <w:p>
      <w:pPr>
        <w:spacing w:line="560" w:lineRule="exact"/>
        <w:jc w:val="center"/>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lang w:eastAsia="zh-CN"/>
        </w:rPr>
        <w:t>伊宁市国资局</w:t>
      </w:r>
      <w:r>
        <w:rPr>
          <w:rFonts w:hint="eastAsia" w:ascii="方正小标宋_GBK" w:hAnsi="仿宋_GB2312" w:eastAsia="方正小标宋_GBK" w:cs="仿宋_GB2312"/>
          <w:sz w:val="44"/>
          <w:szCs w:val="44"/>
        </w:rPr>
        <w:t>政府信息公开工作</w:t>
      </w:r>
    </w:p>
    <w:p>
      <w:pPr>
        <w:spacing w:line="560" w:lineRule="exact"/>
        <w:jc w:val="center"/>
        <w:rPr>
          <w:rFonts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年度报告</w:t>
      </w:r>
    </w:p>
    <w:p>
      <w:pPr>
        <w:spacing w:line="560" w:lineRule="exact"/>
        <w:jc w:val="center"/>
        <w:rPr>
          <w:rFonts w:ascii="方正小标宋_GBK" w:hAnsi="仿宋_GB2312" w:eastAsia="方正小标宋_GBK" w:cs="仿宋_GB2312"/>
          <w:sz w:val="44"/>
          <w:szCs w:val="44"/>
        </w:rPr>
      </w:pPr>
    </w:p>
    <w:p>
      <w:pPr>
        <w:spacing w:line="560" w:lineRule="exact"/>
        <w:ind w:firstLine="643" w:firstLineChars="200"/>
        <w:jc w:val="left"/>
        <w:rPr>
          <w:rFonts w:ascii="黑体" w:hAnsi="黑体" w:eastAsia="黑体" w:cs="宋体"/>
          <w:b/>
          <w:bCs/>
          <w:sz w:val="32"/>
          <w:szCs w:val="32"/>
        </w:rPr>
      </w:pPr>
      <w:r>
        <w:rPr>
          <w:rFonts w:hint="eastAsia" w:ascii="黑体" w:hAnsi="黑体" w:eastAsia="黑体" w:cs="宋体"/>
          <w:b/>
          <w:bCs/>
          <w:sz w:val="32"/>
          <w:szCs w:val="32"/>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（一）主动公开方面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聚焦</w:t>
      </w:r>
      <w:r>
        <w:rPr>
          <w:rFonts w:hint="eastAsia" w:ascii="仿宋" w:hAnsi="仿宋" w:eastAsia="仿宋" w:cs="仿宋"/>
          <w:i w:val="0"/>
          <w:iCs w:val="0"/>
          <w:caps w:val="0"/>
          <w:color w:val="333333"/>
          <w:spacing w:val="0"/>
          <w:sz w:val="32"/>
          <w:szCs w:val="32"/>
          <w:shd w:val="clear" w:fill="FFFFFF"/>
          <w:lang w:val="en-US" w:eastAsia="zh-CN"/>
        </w:rPr>
        <w:t>市</w:t>
      </w:r>
      <w:r>
        <w:rPr>
          <w:rFonts w:hint="eastAsia" w:ascii="仿宋" w:hAnsi="仿宋" w:eastAsia="仿宋" w:cs="仿宋"/>
          <w:i w:val="0"/>
          <w:iCs w:val="0"/>
          <w:caps w:val="0"/>
          <w:color w:val="333333"/>
          <w:spacing w:val="0"/>
          <w:sz w:val="32"/>
          <w:szCs w:val="32"/>
          <w:shd w:val="clear" w:fill="FFFFFF"/>
        </w:rPr>
        <w:t>委、</w:t>
      </w:r>
      <w:r>
        <w:rPr>
          <w:rFonts w:hint="eastAsia" w:ascii="仿宋" w:hAnsi="仿宋" w:eastAsia="仿宋" w:cs="仿宋"/>
          <w:i w:val="0"/>
          <w:iCs w:val="0"/>
          <w:caps w:val="0"/>
          <w:color w:val="333333"/>
          <w:spacing w:val="0"/>
          <w:sz w:val="32"/>
          <w:szCs w:val="32"/>
          <w:shd w:val="clear" w:fill="FFFFFF"/>
          <w:lang w:val="en-US" w:eastAsia="zh-CN"/>
        </w:rPr>
        <w:t>市</w:t>
      </w:r>
      <w:r>
        <w:rPr>
          <w:rFonts w:hint="eastAsia" w:ascii="仿宋" w:hAnsi="仿宋" w:eastAsia="仿宋" w:cs="仿宋"/>
          <w:i w:val="0"/>
          <w:iCs w:val="0"/>
          <w:caps w:val="0"/>
          <w:color w:val="333333"/>
          <w:spacing w:val="0"/>
          <w:sz w:val="32"/>
          <w:szCs w:val="32"/>
          <w:shd w:val="clear" w:fill="FFFFFF"/>
        </w:rPr>
        <w:t>政府重点工作，</w:t>
      </w:r>
      <w:r>
        <w:rPr>
          <w:rFonts w:hint="eastAsia" w:ascii="仿宋" w:hAnsi="仿宋" w:eastAsia="仿宋" w:cs="仿宋"/>
          <w:i w:val="0"/>
          <w:iCs w:val="0"/>
          <w:caps w:val="0"/>
          <w:color w:val="333333"/>
          <w:spacing w:val="0"/>
          <w:sz w:val="32"/>
          <w:szCs w:val="32"/>
          <w:shd w:val="clear" w:fill="FFFFFF"/>
          <w:lang w:eastAsia="zh-CN"/>
        </w:rPr>
        <w:t>伊宁市国资局</w:t>
      </w:r>
      <w:r>
        <w:rPr>
          <w:rFonts w:hint="eastAsia" w:ascii="仿宋" w:hAnsi="仿宋" w:eastAsia="仿宋" w:cs="仿宋"/>
          <w:i w:val="0"/>
          <w:iCs w:val="0"/>
          <w:caps w:val="0"/>
          <w:color w:val="333333"/>
          <w:spacing w:val="0"/>
          <w:sz w:val="32"/>
          <w:szCs w:val="32"/>
          <w:shd w:val="clear" w:fill="FFFFFF"/>
        </w:rPr>
        <w:t>全年主动公开相关政府信息</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（二）依申请公开方</w:t>
      </w:r>
      <w:bookmarkStart w:id="0" w:name="_GoBack"/>
      <w:bookmarkEnd w:id="0"/>
      <w:r>
        <w:rPr>
          <w:rFonts w:hint="eastAsia" w:ascii="黑体" w:hAnsi="黑体" w:eastAsia="黑体" w:cs="黑体"/>
          <w:b w:val="0"/>
          <w:bCs w:val="0"/>
          <w:i w:val="0"/>
          <w:iCs w:val="0"/>
          <w:caps w:val="0"/>
          <w:color w:val="333333"/>
          <w:spacing w:val="0"/>
          <w:sz w:val="28"/>
          <w:szCs w:val="28"/>
          <w:shd w:val="clear" w:fill="FFFFFF"/>
        </w:rPr>
        <w:t>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全年共办理依申请公开信息</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件，接听各类信息公开咨询电话</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次。一是规范使用工作平台。落实专人负责每日登录工作平台，收取受理申请书，实现工作平台办理答复工作全流程记录。二是依法合规办理答复。充分尊重和保障申请人获取政府信息的合法权益，规范办理、答复、归档流程，进一步提高依申请公开答复的标准化、规范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（三）政府信息管理方面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进一步规范政府信息管理，对公开事项进行科学分类、精细管理。按照“谁制作，谁公开，谁负责”的原则，明确分管领导和政府信息公开管理人员，对需要主动公开的信息严格执行保密审查和信息发布分类分级审查审批机制，确保信息公开内容重点突出、表述严谨。同时，探索建立政府信息管理动态调整机制，结合规范性文件清理结果，重点对应公开未公开的及时公开，对宣布失效、废止和予以修改的规范性文件，及时标注、修改或撤销，确保实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（四）平台建设方面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推进国资监管办理服务事项精准公开。贯彻落实省委、省政府加快“一网通办”有关要求，聚焦“高效办成一件事”的工作目标，精简办事流程，修订办事指南，实现“一件事一次告知”。加强信息发布审核，提高时效性、针对性，把好政治关、政策关、文字关，推进网站优质规范发展，提升信息发布、政策解读的整体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（五）监督保障方面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制发2022年政务公开工作要点，对政务公开年度重点工作进行安排部署。根据全</w:t>
      </w:r>
      <w:r>
        <w:rPr>
          <w:rFonts w:hint="eastAsia" w:ascii="仿宋" w:hAnsi="仿宋" w:eastAsia="仿宋" w:cs="仿宋"/>
          <w:i w:val="0"/>
          <w:iCs w:val="0"/>
          <w:caps w:val="0"/>
          <w:color w:val="333333"/>
          <w:spacing w:val="0"/>
          <w:sz w:val="32"/>
          <w:szCs w:val="32"/>
          <w:shd w:val="clear" w:fill="FFFFFF"/>
          <w:lang w:val="en-US" w:eastAsia="zh-CN"/>
        </w:rPr>
        <w:t>市</w:t>
      </w:r>
      <w:r>
        <w:rPr>
          <w:rFonts w:hint="eastAsia" w:ascii="仿宋" w:hAnsi="仿宋" w:eastAsia="仿宋" w:cs="仿宋"/>
          <w:i w:val="0"/>
          <w:iCs w:val="0"/>
          <w:caps w:val="0"/>
          <w:color w:val="333333"/>
          <w:spacing w:val="0"/>
          <w:sz w:val="32"/>
          <w:szCs w:val="32"/>
          <w:shd w:val="clear" w:fill="FFFFFF"/>
        </w:rPr>
        <w:t>政务公开工作考评结果、政府网站绩效评估考核结果、</w:t>
      </w:r>
      <w:r>
        <w:rPr>
          <w:rFonts w:hint="eastAsia" w:ascii="仿宋" w:hAnsi="仿宋" w:eastAsia="仿宋" w:cs="仿宋"/>
          <w:i w:val="0"/>
          <w:iCs w:val="0"/>
          <w:caps w:val="0"/>
          <w:color w:val="333333"/>
          <w:spacing w:val="0"/>
          <w:sz w:val="32"/>
          <w:szCs w:val="32"/>
          <w:shd w:val="clear" w:fill="FFFFFF"/>
          <w:lang w:val="en-US" w:eastAsia="zh-CN"/>
        </w:rPr>
        <w:t>市</w:t>
      </w:r>
      <w:r>
        <w:rPr>
          <w:rFonts w:hint="eastAsia" w:ascii="仿宋" w:hAnsi="仿宋" w:eastAsia="仿宋" w:cs="仿宋"/>
          <w:i w:val="0"/>
          <w:iCs w:val="0"/>
          <w:caps w:val="0"/>
          <w:color w:val="333333"/>
          <w:spacing w:val="0"/>
          <w:sz w:val="32"/>
          <w:szCs w:val="32"/>
          <w:shd w:val="clear" w:fill="FFFFFF"/>
        </w:rPr>
        <w:t>政府办公</w:t>
      </w:r>
      <w:r>
        <w:rPr>
          <w:rFonts w:hint="eastAsia" w:ascii="仿宋" w:hAnsi="仿宋" w:eastAsia="仿宋" w:cs="仿宋"/>
          <w:i w:val="0"/>
          <w:iCs w:val="0"/>
          <w:caps w:val="0"/>
          <w:color w:val="333333"/>
          <w:spacing w:val="0"/>
          <w:sz w:val="32"/>
          <w:szCs w:val="32"/>
          <w:shd w:val="clear" w:fill="FFFFFF"/>
          <w:lang w:val="en-US" w:eastAsia="zh-CN"/>
        </w:rPr>
        <w:t>室</w:t>
      </w:r>
      <w:r>
        <w:rPr>
          <w:rFonts w:hint="eastAsia" w:ascii="仿宋" w:hAnsi="仿宋" w:eastAsia="仿宋" w:cs="仿宋"/>
          <w:i w:val="0"/>
          <w:iCs w:val="0"/>
          <w:caps w:val="0"/>
          <w:color w:val="333333"/>
          <w:spacing w:val="0"/>
          <w:sz w:val="32"/>
          <w:szCs w:val="32"/>
          <w:shd w:val="clear" w:fill="FFFFFF"/>
        </w:rPr>
        <w:t>季度抽查情况通报情况，及时抓好整改落实。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宋体" w:hAnsi="宋体" w:eastAsia="宋体" w:cs="宋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宋体" w:hAnsi="宋体" w:eastAsia="宋体" w:cs="宋体"/>
          <w:i w:val="0"/>
          <w:iCs w:val="0"/>
          <w:caps w:val="0"/>
          <w:color w:val="333333"/>
          <w:spacing w:val="0"/>
          <w:sz w:val="22"/>
          <w:szCs w:val="2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宋体" w:hAnsi="宋体" w:eastAsia="宋体" w:cs="宋体"/>
          <w:i w:val="0"/>
          <w:iCs w:val="0"/>
          <w:caps w:val="0"/>
          <w:color w:val="333333"/>
          <w:spacing w:val="0"/>
          <w:sz w:val="22"/>
          <w:szCs w:val="22"/>
          <w:shd w:val="clear" w:fill="FFFFFF"/>
        </w:rPr>
      </w:pPr>
    </w:p>
    <w:p>
      <w:pPr>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二、主动公开政府信息情况</w:t>
      </w:r>
    </w:p>
    <w:p>
      <w:pPr>
        <w:pStyle w:val="4"/>
        <w:widowControl/>
        <w:spacing w:before="0" w:beforeAutospacing="0" w:after="0" w:afterAutospacing="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该部分以表格形式报告。表格如下：</w:t>
      </w:r>
    </w:p>
    <w:tbl>
      <w:tblPr>
        <w:tblStyle w:val="5"/>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185"/>
        <w:gridCol w:w="1559"/>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40" w:type="dxa"/>
            <w:gridSpan w:val="4"/>
          </w:tcPr>
          <w:p>
            <w:pPr>
              <w:widowControl/>
              <w:spacing w:after="144" w:line="300" w:lineRule="exact"/>
              <w:jc w:val="center"/>
              <w:rPr>
                <w:sz w:val="24"/>
              </w:rPr>
            </w:pPr>
            <w:r>
              <w:rPr>
                <w:rFonts w:hint="eastAsia" w:ascii="宋体" w:hAnsi="宋体" w:cs="宋体"/>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8" w:type="dxa"/>
          </w:tcPr>
          <w:p>
            <w:pPr>
              <w:widowControl/>
              <w:spacing w:after="144" w:line="300" w:lineRule="exact"/>
              <w:jc w:val="center"/>
              <w:rPr>
                <w:sz w:val="24"/>
              </w:rPr>
            </w:pPr>
            <w:r>
              <w:rPr>
                <w:rFonts w:hint="eastAsia" w:ascii="宋体" w:hAnsi="宋体" w:cs="宋体"/>
                <w:kern w:val="0"/>
                <w:sz w:val="24"/>
              </w:rPr>
              <w:t>信息内容</w:t>
            </w:r>
          </w:p>
        </w:tc>
        <w:tc>
          <w:tcPr>
            <w:tcW w:w="2185" w:type="dxa"/>
          </w:tcPr>
          <w:p>
            <w:pPr>
              <w:widowControl/>
              <w:spacing w:after="144" w:line="300" w:lineRule="exact"/>
              <w:jc w:val="center"/>
              <w:rPr>
                <w:rFonts w:hint="eastAsia" w:ascii="宋体" w:hAnsi="宋体" w:eastAsia="宋体" w:cs="宋体"/>
                <w:kern w:val="0"/>
                <w:sz w:val="24"/>
                <w:lang w:eastAsia="zh-CN"/>
              </w:rPr>
            </w:pPr>
            <w:r>
              <w:rPr>
                <w:rFonts w:hint="eastAsia" w:ascii="宋体" w:hAnsi="宋体" w:cs="宋体"/>
                <w:kern w:val="0"/>
                <w:sz w:val="24"/>
              </w:rPr>
              <w:t>本年新</w:t>
            </w:r>
          </w:p>
          <w:p>
            <w:pPr>
              <w:widowControl/>
              <w:spacing w:after="144" w:line="300" w:lineRule="exact"/>
              <w:jc w:val="center"/>
              <w:rPr>
                <w:sz w:val="24"/>
              </w:rPr>
            </w:pPr>
            <w:r>
              <w:rPr>
                <w:rFonts w:hint="eastAsia"/>
                <w:kern w:val="0"/>
                <w:sz w:val="24"/>
              </w:rPr>
              <w:t>制发数量</w:t>
            </w:r>
          </w:p>
        </w:tc>
        <w:tc>
          <w:tcPr>
            <w:tcW w:w="1559" w:type="dxa"/>
          </w:tcPr>
          <w:p>
            <w:pPr>
              <w:widowControl/>
              <w:spacing w:after="144" w:line="300" w:lineRule="exact"/>
              <w:jc w:val="center"/>
              <w:rPr>
                <w:sz w:val="24"/>
              </w:rPr>
            </w:pPr>
            <w:r>
              <w:rPr>
                <w:rFonts w:hint="eastAsia" w:ascii="宋体" w:hAnsi="宋体" w:cs="宋体"/>
                <w:kern w:val="0"/>
                <w:sz w:val="24"/>
              </w:rPr>
              <w:t>本年废止件数</w:t>
            </w:r>
          </w:p>
        </w:tc>
        <w:tc>
          <w:tcPr>
            <w:tcW w:w="1688" w:type="dxa"/>
          </w:tcPr>
          <w:p>
            <w:pPr>
              <w:widowControl/>
              <w:spacing w:after="144" w:line="300" w:lineRule="exact"/>
              <w:jc w:val="center"/>
              <w:rPr>
                <w:sz w:val="24"/>
              </w:rPr>
            </w:pPr>
            <w:r>
              <w:rPr>
                <w:rFonts w:hint="eastAsia" w:ascii="宋体" w:hAnsi="宋体" w:cs="宋体"/>
                <w:kern w:val="0"/>
                <w:sz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08" w:type="dxa"/>
          </w:tcPr>
          <w:p>
            <w:pPr>
              <w:widowControl/>
              <w:spacing w:after="144" w:line="300" w:lineRule="exact"/>
              <w:jc w:val="left"/>
              <w:rPr>
                <w:sz w:val="24"/>
              </w:rPr>
            </w:pPr>
            <w:r>
              <w:rPr>
                <w:rFonts w:hint="eastAsia" w:ascii="宋体" w:hAnsi="宋体" w:cs="宋体"/>
                <w:kern w:val="0"/>
                <w:sz w:val="24"/>
              </w:rPr>
              <w:t>规章</w:t>
            </w:r>
          </w:p>
        </w:tc>
        <w:tc>
          <w:tcPr>
            <w:tcW w:w="2185" w:type="dxa"/>
          </w:tcPr>
          <w:p>
            <w:pPr>
              <w:widowControl/>
              <w:spacing w:after="144" w:line="300" w:lineRule="exact"/>
              <w:jc w:val="center"/>
              <w:rPr>
                <w:sz w:val="24"/>
              </w:rPr>
            </w:pPr>
            <w:r>
              <w:rPr>
                <w:sz w:val="24"/>
              </w:rPr>
              <w:t>0</w:t>
            </w:r>
          </w:p>
        </w:tc>
        <w:tc>
          <w:tcPr>
            <w:tcW w:w="1559" w:type="dxa"/>
          </w:tcPr>
          <w:p>
            <w:pPr>
              <w:widowControl/>
              <w:spacing w:after="144" w:line="300" w:lineRule="exact"/>
              <w:jc w:val="center"/>
              <w:rPr>
                <w:sz w:val="24"/>
              </w:rPr>
            </w:pPr>
            <w:r>
              <w:rPr>
                <w:sz w:val="24"/>
              </w:rPr>
              <w:t>0</w:t>
            </w:r>
          </w:p>
        </w:tc>
        <w:tc>
          <w:tcPr>
            <w:tcW w:w="1688" w:type="dxa"/>
          </w:tcPr>
          <w:p>
            <w:pPr>
              <w:widowControl/>
              <w:spacing w:after="144" w:line="300" w:lineRule="exact"/>
              <w:jc w:val="center"/>
              <w:rPr>
                <w:rFonts w:hint="eastAsia" w:eastAsia="宋体"/>
                <w:sz w:val="24"/>
                <w:lang w:val="en-US" w:eastAsia="zh-CN"/>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08" w:type="dxa"/>
          </w:tcPr>
          <w:p>
            <w:pPr>
              <w:widowControl/>
              <w:spacing w:after="144" w:line="300" w:lineRule="exact"/>
              <w:jc w:val="left"/>
              <w:rPr>
                <w:sz w:val="24"/>
              </w:rPr>
            </w:pPr>
            <w:r>
              <w:rPr>
                <w:rFonts w:hint="eastAsia" w:ascii="宋体" w:hAnsi="宋体" w:cs="宋体"/>
                <w:kern w:val="0"/>
                <w:sz w:val="24"/>
              </w:rPr>
              <w:t>规范性文件</w:t>
            </w:r>
          </w:p>
        </w:tc>
        <w:tc>
          <w:tcPr>
            <w:tcW w:w="2185" w:type="dxa"/>
          </w:tcPr>
          <w:p>
            <w:pPr>
              <w:widowControl/>
              <w:spacing w:after="144" w:line="300" w:lineRule="exact"/>
              <w:jc w:val="center"/>
              <w:rPr>
                <w:sz w:val="24"/>
              </w:rPr>
            </w:pPr>
            <w:r>
              <w:rPr>
                <w:sz w:val="24"/>
              </w:rPr>
              <w:t>0</w:t>
            </w:r>
          </w:p>
        </w:tc>
        <w:tc>
          <w:tcPr>
            <w:tcW w:w="1559" w:type="dxa"/>
          </w:tcPr>
          <w:p>
            <w:pPr>
              <w:widowControl/>
              <w:spacing w:after="144" w:line="300" w:lineRule="exact"/>
              <w:jc w:val="center"/>
              <w:rPr>
                <w:sz w:val="24"/>
              </w:rPr>
            </w:pPr>
            <w:r>
              <w:rPr>
                <w:sz w:val="24"/>
              </w:rPr>
              <w:t>0</w:t>
            </w:r>
          </w:p>
        </w:tc>
        <w:tc>
          <w:tcPr>
            <w:tcW w:w="1688" w:type="dxa"/>
          </w:tcPr>
          <w:p>
            <w:pPr>
              <w:widowControl/>
              <w:spacing w:after="144" w:line="300" w:lineRule="exact"/>
              <w:jc w:val="center"/>
              <w:rPr>
                <w:sz w:val="24"/>
              </w:rPr>
            </w:pPr>
            <w:r>
              <w:rPr>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40" w:type="dxa"/>
            <w:gridSpan w:val="4"/>
          </w:tcPr>
          <w:p>
            <w:pPr>
              <w:widowControl/>
              <w:spacing w:after="144" w:line="300" w:lineRule="exact"/>
              <w:jc w:val="center"/>
              <w:rPr>
                <w:sz w:val="24"/>
              </w:rPr>
            </w:pPr>
            <w:r>
              <w:rPr>
                <w:rFonts w:hint="eastAsia" w:ascii="宋体" w:hAnsi="宋体" w:cs="宋体"/>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708" w:type="dxa"/>
          </w:tcPr>
          <w:p>
            <w:pPr>
              <w:widowControl/>
              <w:spacing w:after="144" w:line="300" w:lineRule="exact"/>
              <w:jc w:val="center"/>
              <w:rPr>
                <w:sz w:val="24"/>
              </w:rPr>
            </w:pPr>
            <w:r>
              <w:rPr>
                <w:rFonts w:hint="eastAsia" w:ascii="宋体" w:hAnsi="宋体" w:cs="宋体"/>
                <w:kern w:val="0"/>
                <w:sz w:val="24"/>
              </w:rPr>
              <w:t>信息内容</w:t>
            </w:r>
          </w:p>
        </w:tc>
        <w:tc>
          <w:tcPr>
            <w:tcW w:w="5432" w:type="dxa"/>
            <w:gridSpan w:val="3"/>
          </w:tcPr>
          <w:p>
            <w:pPr>
              <w:widowControl/>
              <w:spacing w:after="144" w:line="300" w:lineRule="exact"/>
              <w:jc w:val="center"/>
              <w:rPr>
                <w:sz w:val="24"/>
              </w:rPr>
            </w:pPr>
            <w:r>
              <w:rPr>
                <w:rFonts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708" w:type="dxa"/>
          </w:tcPr>
          <w:p>
            <w:pPr>
              <w:widowControl/>
              <w:spacing w:after="144" w:line="300" w:lineRule="exact"/>
              <w:jc w:val="left"/>
              <w:rPr>
                <w:sz w:val="24"/>
              </w:rPr>
            </w:pPr>
            <w:r>
              <w:rPr>
                <w:rFonts w:hint="eastAsia" w:ascii="宋体" w:hAnsi="宋体" w:cs="宋体"/>
                <w:kern w:val="0"/>
                <w:sz w:val="24"/>
              </w:rPr>
              <w:t>行政许可</w:t>
            </w:r>
          </w:p>
        </w:tc>
        <w:tc>
          <w:tcPr>
            <w:tcW w:w="5432" w:type="dxa"/>
            <w:gridSpan w:val="3"/>
          </w:tcPr>
          <w:p>
            <w:pPr>
              <w:widowControl/>
              <w:spacing w:after="144" w:line="300" w:lineRule="exact"/>
              <w:jc w:val="center"/>
              <w:rPr>
                <w:sz w:val="24"/>
              </w:rPr>
            </w:pPr>
            <w:r>
              <w:rPr>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40" w:type="dxa"/>
            <w:gridSpan w:val="4"/>
          </w:tcPr>
          <w:p>
            <w:pPr>
              <w:widowControl/>
              <w:spacing w:after="144" w:line="300" w:lineRule="exact"/>
              <w:jc w:val="center"/>
              <w:rPr>
                <w:sz w:val="24"/>
              </w:rPr>
            </w:pPr>
            <w:r>
              <w:rPr>
                <w:rFonts w:hint="eastAsia" w:ascii="宋体" w:hAnsi="宋体" w:cs="宋体"/>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708" w:type="dxa"/>
          </w:tcPr>
          <w:p>
            <w:pPr>
              <w:widowControl/>
              <w:spacing w:after="144" w:line="300" w:lineRule="exact"/>
              <w:jc w:val="center"/>
              <w:rPr>
                <w:sz w:val="24"/>
              </w:rPr>
            </w:pPr>
            <w:r>
              <w:rPr>
                <w:rFonts w:hint="eastAsia" w:ascii="宋体" w:hAnsi="宋体" w:cs="宋体"/>
                <w:kern w:val="0"/>
                <w:sz w:val="24"/>
              </w:rPr>
              <w:t>信息内容</w:t>
            </w:r>
          </w:p>
        </w:tc>
        <w:tc>
          <w:tcPr>
            <w:tcW w:w="5432" w:type="dxa"/>
            <w:gridSpan w:val="3"/>
          </w:tcPr>
          <w:p>
            <w:pPr>
              <w:widowControl/>
              <w:spacing w:after="144" w:line="300" w:lineRule="exact"/>
              <w:jc w:val="center"/>
              <w:rPr>
                <w:sz w:val="24"/>
              </w:rPr>
            </w:pPr>
            <w:r>
              <w:rPr>
                <w:rFonts w:hint="eastAsia" w:ascii="宋体" w:hAnsi="宋体" w:cs="宋体"/>
                <w:kern w:val="0"/>
                <w:sz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08" w:type="dxa"/>
          </w:tcPr>
          <w:p>
            <w:pPr>
              <w:widowControl/>
              <w:spacing w:after="144" w:line="300" w:lineRule="exact"/>
              <w:jc w:val="left"/>
              <w:rPr>
                <w:sz w:val="24"/>
              </w:rPr>
            </w:pPr>
            <w:r>
              <w:rPr>
                <w:rFonts w:hint="eastAsia" w:ascii="宋体" w:hAnsi="宋体" w:cs="宋体"/>
                <w:kern w:val="0"/>
                <w:sz w:val="24"/>
              </w:rPr>
              <w:t>行政处罚</w:t>
            </w:r>
          </w:p>
        </w:tc>
        <w:tc>
          <w:tcPr>
            <w:tcW w:w="5432" w:type="dxa"/>
            <w:gridSpan w:val="3"/>
          </w:tcPr>
          <w:p>
            <w:pPr>
              <w:widowControl/>
              <w:spacing w:after="144" w:line="300" w:lineRule="exact"/>
              <w:jc w:val="center"/>
              <w:rPr>
                <w:sz w:val="24"/>
              </w:rPr>
            </w:pPr>
            <w:r>
              <w:rPr>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708" w:type="dxa"/>
          </w:tcPr>
          <w:p>
            <w:pPr>
              <w:widowControl/>
              <w:spacing w:after="144" w:line="300" w:lineRule="exact"/>
              <w:jc w:val="left"/>
              <w:rPr>
                <w:sz w:val="24"/>
              </w:rPr>
            </w:pPr>
            <w:r>
              <w:rPr>
                <w:rFonts w:hint="eastAsia" w:ascii="宋体" w:hAnsi="宋体" w:cs="宋体"/>
                <w:kern w:val="0"/>
                <w:sz w:val="24"/>
              </w:rPr>
              <w:t>行政强制</w:t>
            </w:r>
          </w:p>
        </w:tc>
        <w:tc>
          <w:tcPr>
            <w:tcW w:w="5432" w:type="dxa"/>
            <w:gridSpan w:val="3"/>
          </w:tcPr>
          <w:p>
            <w:pPr>
              <w:widowControl/>
              <w:spacing w:after="144" w:line="300" w:lineRule="exact"/>
              <w:jc w:val="center"/>
              <w:rPr>
                <w:sz w:val="24"/>
              </w:rPr>
            </w:pPr>
            <w:r>
              <w:rPr>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40" w:type="dxa"/>
            <w:gridSpan w:val="4"/>
          </w:tcPr>
          <w:p>
            <w:pPr>
              <w:widowControl/>
              <w:spacing w:after="144" w:line="300" w:lineRule="exact"/>
              <w:jc w:val="center"/>
              <w:rPr>
                <w:sz w:val="24"/>
              </w:rPr>
            </w:pPr>
            <w:r>
              <w:rPr>
                <w:rFonts w:hint="eastAsia" w:ascii="宋体" w:hAnsi="宋体" w:cs="宋体"/>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708" w:type="dxa"/>
          </w:tcPr>
          <w:p>
            <w:pPr>
              <w:widowControl/>
              <w:spacing w:after="144" w:line="300" w:lineRule="exact"/>
              <w:jc w:val="center"/>
              <w:rPr>
                <w:sz w:val="24"/>
              </w:rPr>
            </w:pPr>
            <w:r>
              <w:rPr>
                <w:rFonts w:hint="eastAsia" w:ascii="宋体" w:hAnsi="宋体" w:cs="宋体"/>
                <w:kern w:val="0"/>
                <w:sz w:val="24"/>
              </w:rPr>
              <w:t>信息内容</w:t>
            </w:r>
          </w:p>
        </w:tc>
        <w:tc>
          <w:tcPr>
            <w:tcW w:w="5432" w:type="dxa"/>
            <w:gridSpan w:val="3"/>
          </w:tcPr>
          <w:p>
            <w:pPr>
              <w:widowControl/>
              <w:spacing w:after="144" w:line="300" w:lineRule="exact"/>
              <w:jc w:val="center"/>
              <w:rPr>
                <w:sz w:val="24"/>
              </w:rPr>
            </w:pPr>
            <w:r>
              <w:rPr>
                <w:rFonts w:hint="eastAsia"/>
                <w:sz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708" w:type="dxa"/>
          </w:tcPr>
          <w:p>
            <w:pPr>
              <w:widowControl/>
              <w:spacing w:after="144" w:line="300" w:lineRule="exact"/>
              <w:jc w:val="left"/>
              <w:rPr>
                <w:sz w:val="24"/>
              </w:rPr>
            </w:pPr>
            <w:r>
              <w:rPr>
                <w:rFonts w:hint="eastAsia" w:ascii="宋体" w:hAnsi="宋体" w:cs="宋体"/>
                <w:kern w:val="0"/>
                <w:sz w:val="24"/>
              </w:rPr>
              <w:t>行政事业性收费</w:t>
            </w:r>
          </w:p>
        </w:tc>
        <w:tc>
          <w:tcPr>
            <w:tcW w:w="5432" w:type="dxa"/>
            <w:gridSpan w:val="3"/>
          </w:tcPr>
          <w:p>
            <w:pPr>
              <w:widowControl/>
              <w:spacing w:after="144" w:line="300" w:lineRule="exact"/>
              <w:jc w:val="center"/>
              <w:rPr>
                <w:sz w:val="24"/>
              </w:rPr>
            </w:pPr>
            <w:r>
              <w:rPr>
                <w:sz w:val="24"/>
              </w:rPr>
              <w:t>0</w:t>
            </w:r>
          </w:p>
        </w:tc>
      </w:tr>
    </w:tbl>
    <w:p>
      <w:pPr>
        <w:pStyle w:val="4"/>
        <w:widowControl/>
        <w:spacing w:before="0" w:beforeAutospacing="0" w:after="0" w:afterAutospacing="0" w:line="560" w:lineRule="exact"/>
        <w:ind w:firstLine="640" w:firstLineChars="200"/>
        <w:jc w:val="both"/>
        <w:rPr>
          <w:rFonts w:ascii="黑体" w:hAnsi="黑体" w:eastAsia="黑体" w:cs="宋体"/>
          <w:sz w:val="32"/>
          <w:szCs w:val="30"/>
        </w:rPr>
      </w:pPr>
      <w:r>
        <w:rPr>
          <w:rFonts w:hint="eastAsia" w:ascii="黑体" w:hAnsi="黑体" w:eastAsia="黑体" w:cs="宋体"/>
          <w:sz w:val="32"/>
          <w:szCs w:val="30"/>
        </w:rPr>
        <w:t>三、收到和处理政府信息公开申请情况</w:t>
      </w:r>
    </w:p>
    <w:p>
      <w:pPr>
        <w:pStyle w:val="4"/>
        <w:widowControl/>
        <w:spacing w:before="0" w:beforeAutospacing="0" w:after="0" w:afterAutospacing="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该部分以表格形式报告。表格如下：</w:t>
      </w:r>
    </w:p>
    <w:tbl>
      <w:tblPr>
        <w:tblStyle w:val="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936"/>
        <w:gridCol w:w="3377"/>
        <w:gridCol w:w="456"/>
        <w:gridCol w:w="707"/>
        <w:gridCol w:w="707"/>
        <w:gridCol w:w="706"/>
        <w:gridCol w:w="707"/>
        <w:gridCol w:w="465"/>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5010" w:type="dxa"/>
            <w:gridSpan w:val="3"/>
            <w:vMerge w:val="restart"/>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（本列数据的勾稽关系为：第一项加第二项之和，等于第三项加第四项之和）</w:t>
            </w:r>
          </w:p>
        </w:tc>
        <w:tc>
          <w:tcPr>
            <w:tcW w:w="4204" w:type="dxa"/>
            <w:gridSpan w:val="7"/>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10" w:type="dxa"/>
            <w:gridSpan w:val="3"/>
            <w:vMerge w:val="continue"/>
            <w:tcMar>
              <w:left w:w="108" w:type="dxa"/>
              <w:right w:w="108" w:type="dxa"/>
            </w:tcMar>
            <w:vAlign w:val="center"/>
          </w:tcPr>
          <w:p>
            <w:pPr>
              <w:spacing w:line="260" w:lineRule="exact"/>
              <w:rPr>
                <w:rFonts w:ascii="宋体"/>
                <w:sz w:val="24"/>
              </w:rPr>
            </w:pPr>
          </w:p>
        </w:tc>
        <w:tc>
          <w:tcPr>
            <w:tcW w:w="456" w:type="dxa"/>
            <w:vMerge w:val="restart"/>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自然人</w:t>
            </w:r>
          </w:p>
        </w:tc>
        <w:tc>
          <w:tcPr>
            <w:tcW w:w="3292" w:type="dxa"/>
            <w:gridSpan w:val="5"/>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法人或其他组织</w:t>
            </w:r>
          </w:p>
        </w:tc>
        <w:tc>
          <w:tcPr>
            <w:tcW w:w="456" w:type="dxa"/>
            <w:vMerge w:val="restart"/>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5010" w:type="dxa"/>
            <w:gridSpan w:val="3"/>
            <w:vMerge w:val="continue"/>
            <w:tcMar>
              <w:left w:w="108" w:type="dxa"/>
              <w:right w:w="108" w:type="dxa"/>
            </w:tcMar>
            <w:vAlign w:val="center"/>
          </w:tcPr>
          <w:p>
            <w:pPr>
              <w:spacing w:line="260" w:lineRule="exact"/>
              <w:rPr>
                <w:rFonts w:ascii="宋体"/>
                <w:sz w:val="24"/>
              </w:rPr>
            </w:pPr>
          </w:p>
        </w:tc>
        <w:tc>
          <w:tcPr>
            <w:tcW w:w="456" w:type="dxa"/>
            <w:vMerge w:val="continue"/>
            <w:tcMar>
              <w:left w:w="108" w:type="dxa"/>
              <w:right w:w="108" w:type="dxa"/>
            </w:tcMar>
            <w:vAlign w:val="center"/>
          </w:tcPr>
          <w:p>
            <w:pPr>
              <w:spacing w:line="260" w:lineRule="exact"/>
              <w:rPr>
                <w:rFonts w:ascii="宋体"/>
                <w:sz w:val="24"/>
              </w:rPr>
            </w:pPr>
          </w:p>
        </w:tc>
        <w:tc>
          <w:tcPr>
            <w:tcW w:w="707" w:type="dxa"/>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商业企业</w:t>
            </w:r>
          </w:p>
        </w:tc>
        <w:tc>
          <w:tcPr>
            <w:tcW w:w="707" w:type="dxa"/>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科研机构</w:t>
            </w:r>
          </w:p>
        </w:tc>
        <w:tc>
          <w:tcPr>
            <w:tcW w:w="706" w:type="dxa"/>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社会公益组织</w:t>
            </w:r>
          </w:p>
        </w:tc>
        <w:tc>
          <w:tcPr>
            <w:tcW w:w="707" w:type="dxa"/>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法律服务机构</w:t>
            </w:r>
          </w:p>
        </w:tc>
        <w:tc>
          <w:tcPr>
            <w:tcW w:w="465" w:type="dxa"/>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其他</w:t>
            </w:r>
          </w:p>
        </w:tc>
        <w:tc>
          <w:tcPr>
            <w:tcW w:w="456" w:type="dxa"/>
            <w:vMerge w:val="continue"/>
            <w:tcMar>
              <w:left w:w="108" w:type="dxa"/>
              <w:right w:w="108" w:type="dxa"/>
            </w:tcMar>
            <w:vAlign w:val="center"/>
          </w:tcPr>
          <w:p>
            <w:pPr>
              <w:spacing w:line="26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010" w:type="dxa"/>
            <w:gridSpan w:val="3"/>
            <w:tcMar>
              <w:left w:w="108" w:type="dxa"/>
              <w:right w:w="108" w:type="dxa"/>
            </w:tcMar>
            <w:vAlign w:val="center"/>
          </w:tcPr>
          <w:p>
            <w:pPr>
              <w:widowControl/>
              <w:spacing w:after="144" w:line="260" w:lineRule="exact"/>
              <w:jc w:val="left"/>
              <w:rPr>
                <w:sz w:val="24"/>
              </w:rPr>
            </w:pPr>
            <w:r>
              <w:rPr>
                <w:rFonts w:hint="eastAsia" w:ascii="宋体" w:hAnsi="宋体" w:cs="宋体"/>
                <w:kern w:val="0"/>
                <w:sz w:val="24"/>
              </w:rPr>
              <w:t>一、本年新收政府信息公开申请数量</w:t>
            </w:r>
          </w:p>
        </w:tc>
        <w:tc>
          <w:tcPr>
            <w:tcW w:w="456" w:type="dxa"/>
            <w:tcMar>
              <w:left w:w="108" w:type="dxa"/>
              <w:right w:w="108" w:type="dxa"/>
            </w:tcMar>
            <w:vAlign w:val="center"/>
          </w:tcPr>
          <w:p>
            <w:pPr>
              <w:widowControl/>
              <w:spacing w:after="144" w:line="260" w:lineRule="exact"/>
              <w:jc w:val="center"/>
              <w:rPr>
                <w:sz w:val="24"/>
              </w:rPr>
            </w:pPr>
            <w:r>
              <w:rPr>
                <w:sz w:val="24"/>
              </w:rPr>
              <w:t>0</w:t>
            </w:r>
          </w:p>
        </w:tc>
        <w:tc>
          <w:tcPr>
            <w:tcW w:w="707" w:type="dxa"/>
            <w:tcMar>
              <w:left w:w="108" w:type="dxa"/>
              <w:right w:w="108" w:type="dxa"/>
            </w:tcMar>
            <w:vAlign w:val="center"/>
          </w:tcPr>
          <w:p>
            <w:pPr>
              <w:widowControl/>
              <w:spacing w:after="144" w:line="260" w:lineRule="exact"/>
              <w:jc w:val="center"/>
              <w:rPr>
                <w:sz w:val="24"/>
              </w:rPr>
            </w:pPr>
            <w:r>
              <w:rPr>
                <w:sz w:val="24"/>
              </w:rPr>
              <w:t>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10" w:type="dxa"/>
            <w:gridSpan w:val="3"/>
            <w:tcMar>
              <w:left w:w="108" w:type="dxa"/>
              <w:right w:w="108" w:type="dxa"/>
            </w:tcMar>
            <w:vAlign w:val="center"/>
          </w:tcPr>
          <w:p>
            <w:pPr>
              <w:widowControl/>
              <w:spacing w:after="144" w:line="260" w:lineRule="exact"/>
              <w:jc w:val="left"/>
              <w:rPr>
                <w:sz w:val="24"/>
              </w:rPr>
            </w:pPr>
            <w:r>
              <w:rPr>
                <w:rFonts w:hint="eastAsia" w:ascii="宋体" w:hAnsi="宋体" w:cs="宋体"/>
                <w:kern w:val="0"/>
                <w:sz w:val="24"/>
              </w:rPr>
              <w:t>二、上年结转政府信息公开申请数量</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697" w:type="dxa"/>
            <w:vMerge w:val="restart"/>
            <w:tcMar>
              <w:left w:w="108" w:type="dxa"/>
              <w:right w:w="108" w:type="dxa"/>
            </w:tcMar>
            <w:vAlign w:val="center"/>
          </w:tcPr>
          <w:p>
            <w:pPr>
              <w:widowControl/>
              <w:spacing w:after="144" w:line="260" w:lineRule="exact"/>
              <w:jc w:val="center"/>
              <w:rPr>
                <w:sz w:val="24"/>
              </w:rPr>
            </w:pPr>
            <w:r>
              <w:rPr>
                <w:rFonts w:hint="eastAsia" w:ascii="宋体" w:hAnsi="宋体" w:cs="宋体"/>
                <w:kern w:val="0"/>
                <w:sz w:val="24"/>
              </w:rPr>
              <w:t>三、本年度办理结果</w:t>
            </w:r>
          </w:p>
        </w:tc>
        <w:tc>
          <w:tcPr>
            <w:tcW w:w="4313" w:type="dxa"/>
            <w:gridSpan w:val="2"/>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（一）予以公开</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697" w:type="dxa"/>
            <w:vMerge w:val="continue"/>
            <w:tcMar>
              <w:left w:w="108" w:type="dxa"/>
              <w:right w:w="108" w:type="dxa"/>
            </w:tcMar>
            <w:vAlign w:val="center"/>
          </w:tcPr>
          <w:p>
            <w:pPr>
              <w:spacing w:line="260" w:lineRule="exact"/>
              <w:rPr>
                <w:rFonts w:ascii="宋体"/>
                <w:sz w:val="24"/>
              </w:rPr>
            </w:pPr>
          </w:p>
        </w:tc>
        <w:tc>
          <w:tcPr>
            <w:tcW w:w="4313" w:type="dxa"/>
            <w:gridSpan w:val="2"/>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（二）部分公开（区分处理的，只计这一情形，不计其他情形）</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（三）不予公开</w:t>
            </w: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1.</w:t>
            </w:r>
            <w:r>
              <w:rPr>
                <w:rFonts w:hint="eastAsia" w:ascii="宋体" w:hAnsi="宋体" w:cs="宋体"/>
                <w:kern w:val="0"/>
                <w:sz w:val="24"/>
              </w:rPr>
              <w:t>属于国家秘密</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2.</w:t>
            </w:r>
            <w:r>
              <w:rPr>
                <w:rFonts w:hint="eastAsia" w:ascii="宋体" w:hAnsi="宋体" w:cs="宋体"/>
                <w:kern w:val="0"/>
                <w:sz w:val="24"/>
              </w:rPr>
              <w:t>其他法律行政法规禁止公开</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3.</w:t>
            </w:r>
            <w:r>
              <w:rPr>
                <w:rFonts w:hint="eastAsia" w:ascii="宋体" w:hAnsi="宋体" w:cs="宋体"/>
                <w:kern w:val="0"/>
                <w:sz w:val="24"/>
              </w:rPr>
              <w:t>危及“三安全一稳定”</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4.</w:t>
            </w:r>
            <w:r>
              <w:rPr>
                <w:rFonts w:hint="eastAsia" w:ascii="宋体" w:hAnsi="宋体" w:cs="宋体"/>
                <w:kern w:val="0"/>
                <w:sz w:val="24"/>
              </w:rPr>
              <w:t>保护第三方合法权益</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5.</w:t>
            </w:r>
            <w:r>
              <w:rPr>
                <w:rFonts w:hint="eastAsia" w:ascii="宋体" w:hAnsi="宋体" w:cs="宋体"/>
                <w:kern w:val="0"/>
                <w:sz w:val="24"/>
              </w:rPr>
              <w:t>属于三类内部事务信息</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6.</w:t>
            </w:r>
            <w:r>
              <w:rPr>
                <w:rFonts w:hint="eastAsia" w:ascii="宋体" w:hAnsi="宋体" w:cs="宋体"/>
                <w:kern w:val="0"/>
                <w:sz w:val="24"/>
              </w:rPr>
              <w:t>属于四类过程性信息</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7.</w:t>
            </w:r>
            <w:r>
              <w:rPr>
                <w:rFonts w:hint="eastAsia" w:ascii="宋体" w:hAnsi="宋体" w:cs="宋体"/>
                <w:kern w:val="0"/>
                <w:sz w:val="24"/>
              </w:rPr>
              <w:t>属于行政执法案卷</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8.</w:t>
            </w:r>
            <w:r>
              <w:rPr>
                <w:rFonts w:hint="eastAsia" w:ascii="宋体" w:hAnsi="宋体" w:cs="宋体"/>
                <w:kern w:val="0"/>
                <w:sz w:val="24"/>
              </w:rPr>
              <w:t>属于行政查询事项</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（四）无法提供</w:t>
            </w: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1.</w:t>
            </w:r>
            <w:r>
              <w:rPr>
                <w:rFonts w:hint="eastAsia" w:ascii="宋体" w:hAnsi="宋体" w:cs="宋体"/>
                <w:kern w:val="0"/>
                <w:sz w:val="24"/>
              </w:rPr>
              <w:t>本机关不掌握相关政府信息</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2.</w:t>
            </w:r>
            <w:r>
              <w:rPr>
                <w:rFonts w:hint="eastAsia" w:ascii="宋体" w:hAnsi="宋体" w:cs="宋体"/>
                <w:kern w:val="0"/>
                <w:sz w:val="24"/>
              </w:rPr>
              <w:t>没有现成信息需要另行制作</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3.</w:t>
            </w:r>
            <w:r>
              <w:rPr>
                <w:rFonts w:hint="eastAsia" w:ascii="宋体" w:hAnsi="宋体" w:cs="宋体"/>
                <w:kern w:val="0"/>
                <w:sz w:val="24"/>
              </w:rPr>
              <w:t>补正后申请内容仍不明确</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（五）不予处理</w:t>
            </w: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1.</w:t>
            </w:r>
            <w:r>
              <w:rPr>
                <w:rFonts w:hint="eastAsia" w:ascii="宋体" w:hAnsi="宋体" w:cs="宋体"/>
                <w:kern w:val="0"/>
                <w:sz w:val="24"/>
              </w:rPr>
              <w:t>信访举报投诉类申请</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2.</w:t>
            </w:r>
            <w:r>
              <w:rPr>
                <w:rFonts w:hint="eastAsia" w:ascii="宋体" w:hAnsi="宋体" w:cs="宋体"/>
                <w:kern w:val="0"/>
                <w:sz w:val="24"/>
              </w:rPr>
              <w:t>重复申请</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3.</w:t>
            </w:r>
            <w:r>
              <w:rPr>
                <w:rFonts w:hint="eastAsia" w:ascii="宋体" w:hAnsi="宋体" w:cs="宋体"/>
                <w:kern w:val="0"/>
                <w:sz w:val="24"/>
              </w:rPr>
              <w:t>要求提供公开出版物</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4.</w:t>
            </w:r>
            <w:r>
              <w:rPr>
                <w:rFonts w:hint="eastAsia" w:ascii="宋体" w:hAnsi="宋体" w:cs="宋体"/>
                <w:kern w:val="0"/>
                <w:sz w:val="24"/>
              </w:rPr>
              <w:t>无正当理由大量反复申请</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5.</w:t>
            </w:r>
            <w:r>
              <w:rPr>
                <w:rFonts w:hint="eastAsia" w:ascii="宋体" w:hAnsi="宋体" w:cs="宋体"/>
                <w:kern w:val="0"/>
                <w:sz w:val="24"/>
              </w:rPr>
              <w:t>要求行政机关确认或重新出具已获取信息</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（六）其他处理</w:t>
            </w: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1.</w:t>
            </w:r>
            <w:r>
              <w:rPr>
                <w:rFonts w:hint="eastAsia" w:ascii="宋体" w:hAnsi="宋体" w:cs="宋体"/>
                <w:kern w:val="0"/>
                <w:sz w:val="24"/>
              </w:rPr>
              <w:t>申请人无正当理由逾期不补正、行政机关不再处理其政府信息公开申请</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2.</w:t>
            </w:r>
            <w:r>
              <w:rPr>
                <w:rFonts w:hint="eastAsia" w:ascii="宋体" w:hAnsi="宋体" w:cs="宋体"/>
                <w:kern w:val="0"/>
                <w:sz w:val="24"/>
              </w:rPr>
              <w:t>申请人逾期未按收费通知要求缴纳费用、行政机关不再处理其政府信息公开申请</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Merge w:val="continue"/>
            <w:tcMar>
              <w:left w:w="108" w:type="dxa"/>
              <w:right w:w="108" w:type="dxa"/>
            </w:tcMar>
            <w:vAlign w:val="center"/>
          </w:tcPr>
          <w:p>
            <w:pPr>
              <w:spacing w:line="260" w:lineRule="exact"/>
              <w:rPr>
                <w:rFonts w:ascii="宋体"/>
                <w:sz w:val="24"/>
              </w:rPr>
            </w:pPr>
          </w:p>
        </w:tc>
        <w:tc>
          <w:tcPr>
            <w:tcW w:w="9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3377" w:type="dxa"/>
            <w:tcMar>
              <w:left w:w="108" w:type="dxa"/>
              <w:right w:w="108" w:type="dxa"/>
            </w:tcMar>
            <w:vAlign w:val="center"/>
          </w:tcPr>
          <w:p>
            <w:pPr>
              <w:widowControl/>
              <w:spacing w:after="144" w:line="260" w:lineRule="exact"/>
              <w:jc w:val="left"/>
              <w:rPr>
                <w:rFonts w:ascii="宋体" w:cs="宋体"/>
                <w:kern w:val="0"/>
                <w:sz w:val="24"/>
              </w:rPr>
            </w:pPr>
            <w:r>
              <w:rPr>
                <w:rFonts w:ascii="宋体" w:hAnsi="宋体" w:cs="宋体"/>
                <w:kern w:val="0"/>
                <w:sz w:val="24"/>
              </w:rPr>
              <w:t>3.</w:t>
            </w:r>
            <w:r>
              <w:rPr>
                <w:rFonts w:hint="eastAsia" w:ascii="宋体" w:hAnsi="宋体" w:cs="宋体"/>
                <w:kern w:val="0"/>
                <w:sz w:val="24"/>
              </w:rPr>
              <w:t>其他</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707"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c>
          <w:tcPr>
            <w:tcW w:w="456" w:type="dxa"/>
            <w:tcMar>
              <w:left w:w="108" w:type="dxa"/>
              <w:right w:w="108" w:type="dxa"/>
            </w:tcMar>
            <w:vAlign w:val="center"/>
          </w:tcPr>
          <w:p>
            <w:pPr>
              <w:widowControl/>
              <w:spacing w:after="144" w:line="260" w:lineRule="exact"/>
              <w:jc w:val="center"/>
              <w:rPr>
                <w:rFonts w:cs="Calibri"/>
                <w:kern w:val="0"/>
                <w:sz w:val="24"/>
              </w:rPr>
            </w:pPr>
            <w:r>
              <w:rPr>
                <w:rFonts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697" w:type="dxa"/>
            <w:vMerge w:val="continue"/>
            <w:tcMar>
              <w:left w:w="108" w:type="dxa"/>
              <w:right w:w="108" w:type="dxa"/>
            </w:tcMar>
            <w:vAlign w:val="center"/>
          </w:tcPr>
          <w:p>
            <w:pPr>
              <w:spacing w:line="260" w:lineRule="exact"/>
              <w:rPr>
                <w:rFonts w:ascii="宋体"/>
                <w:sz w:val="24"/>
              </w:rPr>
            </w:pPr>
          </w:p>
        </w:tc>
        <w:tc>
          <w:tcPr>
            <w:tcW w:w="4313" w:type="dxa"/>
            <w:gridSpan w:val="2"/>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（七）总计</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10" w:type="dxa"/>
            <w:gridSpan w:val="3"/>
            <w:tcMar>
              <w:left w:w="108" w:type="dxa"/>
              <w:right w:w="108" w:type="dxa"/>
            </w:tcMar>
            <w:vAlign w:val="center"/>
          </w:tcPr>
          <w:p>
            <w:pPr>
              <w:widowControl/>
              <w:spacing w:after="144" w:line="260" w:lineRule="exact"/>
              <w:jc w:val="left"/>
              <w:rPr>
                <w:sz w:val="24"/>
              </w:rPr>
            </w:pPr>
            <w:r>
              <w:rPr>
                <w:rFonts w:hint="eastAsia" w:ascii="宋体" w:hAnsi="宋体" w:cs="宋体"/>
                <w:kern w:val="0"/>
                <w:sz w:val="24"/>
              </w:rPr>
              <w:t>四、结转下年度继续办理</w:t>
            </w:r>
          </w:p>
        </w:tc>
        <w:tc>
          <w:tcPr>
            <w:tcW w:w="45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706"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707" w:type="dxa"/>
            <w:tcMar>
              <w:left w:w="108" w:type="dxa"/>
              <w:right w:w="108" w:type="dxa"/>
            </w:tcMar>
            <w:vAlign w:val="center"/>
          </w:tcPr>
          <w:p>
            <w:pPr>
              <w:widowControl/>
              <w:spacing w:after="144" w:line="260" w:lineRule="exact"/>
              <w:jc w:val="center"/>
              <w:rPr>
                <w:sz w:val="24"/>
              </w:rPr>
            </w:pPr>
            <w:r>
              <w:rPr>
                <w:rFonts w:cs="Calibri"/>
                <w:kern w:val="0"/>
                <w:sz w:val="24"/>
              </w:rPr>
              <w:t>0 </w:t>
            </w:r>
          </w:p>
        </w:tc>
        <w:tc>
          <w:tcPr>
            <w:tcW w:w="465" w:type="dxa"/>
            <w:tcMar>
              <w:left w:w="108" w:type="dxa"/>
              <w:right w:w="108" w:type="dxa"/>
            </w:tcMar>
            <w:vAlign w:val="center"/>
          </w:tcPr>
          <w:p>
            <w:pPr>
              <w:widowControl/>
              <w:spacing w:after="144" w:line="260" w:lineRule="exact"/>
              <w:jc w:val="center"/>
              <w:rPr>
                <w:sz w:val="24"/>
              </w:rPr>
            </w:pPr>
            <w:r>
              <w:rPr>
                <w:rFonts w:cs="Calibri"/>
                <w:kern w:val="0"/>
                <w:sz w:val="24"/>
              </w:rPr>
              <w:t> 0</w:t>
            </w:r>
          </w:p>
        </w:tc>
        <w:tc>
          <w:tcPr>
            <w:tcW w:w="456" w:type="dxa"/>
            <w:tcMar>
              <w:left w:w="108" w:type="dxa"/>
              <w:right w:w="108" w:type="dxa"/>
            </w:tcMar>
            <w:vAlign w:val="center"/>
          </w:tcPr>
          <w:p>
            <w:pPr>
              <w:spacing w:line="260" w:lineRule="exact"/>
              <w:rPr>
                <w:rFonts w:ascii="宋体"/>
                <w:sz w:val="24"/>
              </w:rPr>
            </w:pPr>
            <w:r>
              <w:rPr>
                <w:rFonts w:ascii="宋体"/>
                <w:sz w:val="24"/>
              </w:rPr>
              <w:t>0</w:t>
            </w:r>
          </w:p>
        </w:tc>
      </w:tr>
    </w:tbl>
    <w:p>
      <w:pPr>
        <w:spacing w:line="560" w:lineRule="exact"/>
        <w:ind w:firstLine="636" w:firstLineChars="199"/>
        <w:rPr>
          <w:rFonts w:ascii="黑体" w:hAnsi="黑体" w:eastAsia="黑体" w:cs="宋体"/>
          <w:sz w:val="32"/>
          <w:szCs w:val="32"/>
        </w:rPr>
      </w:pPr>
      <w:r>
        <w:rPr>
          <w:rFonts w:hint="eastAsia" w:ascii="黑体" w:hAnsi="黑体" w:eastAsia="黑体" w:cs="宋体"/>
          <w:sz w:val="32"/>
          <w:szCs w:val="32"/>
        </w:rPr>
        <w:t>四、政府信息公开行政复议、行政诉讼情况</w:t>
      </w:r>
    </w:p>
    <w:p>
      <w:pPr>
        <w:pStyle w:val="4"/>
        <w:widowControl/>
        <w:spacing w:before="0" w:beforeAutospacing="0" w:after="0" w:afterAutospacing="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该部分以表格形式报告。表格如下：</w:t>
      </w:r>
    </w:p>
    <w:tbl>
      <w:tblPr>
        <w:tblStyle w:val="5"/>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851"/>
        <w:gridCol w:w="836"/>
        <w:gridCol w:w="706"/>
        <w:gridCol w:w="456"/>
        <w:gridCol w:w="706"/>
        <w:gridCol w:w="706"/>
        <w:gridCol w:w="711"/>
        <w:gridCol w:w="789"/>
        <w:gridCol w:w="456"/>
        <w:gridCol w:w="456"/>
        <w:gridCol w:w="527"/>
        <w:gridCol w:w="456"/>
        <w:gridCol w:w="469"/>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95" w:type="dxa"/>
            <w:gridSpan w:val="5"/>
            <w:tcMar>
              <w:left w:w="108" w:type="dxa"/>
              <w:right w:w="108" w:type="dxa"/>
            </w:tcMar>
            <w:vAlign w:val="center"/>
          </w:tcPr>
          <w:p>
            <w:pPr>
              <w:widowControl/>
              <w:spacing w:after="144" w:line="260" w:lineRule="exact"/>
              <w:jc w:val="center"/>
              <w:rPr>
                <w:rFonts w:ascii="宋体" w:cs="宋体"/>
                <w:kern w:val="0"/>
                <w:sz w:val="24"/>
              </w:rPr>
            </w:pPr>
            <w:r>
              <w:rPr>
                <w:rFonts w:hint="eastAsia" w:ascii="宋体" w:hAnsi="宋体" w:cs="宋体"/>
                <w:kern w:val="0"/>
                <w:sz w:val="24"/>
              </w:rPr>
              <w:t>行政复议</w:t>
            </w:r>
          </w:p>
        </w:tc>
        <w:tc>
          <w:tcPr>
            <w:tcW w:w="5732" w:type="dxa"/>
            <w:gridSpan w:val="10"/>
            <w:tcMar>
              <w:left w:w="108" w:type="dxa"/>
              <w:right w:w="108" w:type="dxa"/>
            </w:tcMar>
            <w:vAlign w:val="center"/>
          </w:tcPr>
          <w:p>
            <w:pPr>
              <w:widowControl/>
              <w:spacing w:after="144" w:line="260" w:lineRule="exact"/>
              <w:jc w:val="center"/>
              <w:rPr>
                <w:rFonts w:ascii="宋体" w:cs="宋体"/>
                <w:kern w:val="0"/>
                <w:sz w:val="24"/>
              </w:rPr>
            </w:pPr>
            <w:r>
              <w:rPr>
                <w:rFonts w:hint="eastAsia" w:ascii="宋体" w:hAnsi="宋体" w:cs="宋体"/>
                <w:kern w:val="0"/>
                <w:sz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结果维持</w:t>
            </w:r>
          </w:p>
        </w:tc>
        <w:tc>
          <w:tcPr>
            <w:tcW w:w="851"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结果纠正</w:t>
            </w:r>
          </w:p>
        </w:tc>
        <w:tc>
          <w:tcPr>
            <w:tcW w:w="83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其他结果</w:t>
            </w:r>
          </w:p>
        </w:tc>
        <w:tc>
          <w:tcPr>
            <w:tcW w:w="70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尚未审结</w:t>
            </w:r>
          </w:p>
        </w:tc>
        <w:tc>
          <w:tcPr>
            <w:tcW w:w="456" w:type="dxa"/>
            <w:vMerge w:val="restart"/>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总计</w:t>
            </w:r>
          </w:p>
        </w:tc>
        <w:tc>
          <w:tcPr>
            <w:tcW w:w="3368" w:type="dxa"/>
            <w:gridSpan w:val="5"/>
            <w:tcMar>
              <w:left w:w="108" w:type="dxa"/>
              <w:right w:w="108" w:type="dxa"/>
            </w:tcMar>
            <w:vAlign w:val="center"/>
          </w:tcPr>
          <w:p>
            <w:pPr>
              <w:widowControl/>
              <w:spacing w:after="144" w:line="260" w:lineRule="exact"/>
              <w:jc w:val="center"/>
              <w:rPr>
                <w:rFonts w:ascii="宋体" w:cs="宋体"/>
                <w:kern w:val="0"/>
                <w:sz w:val="24"/>
              </w:rPr>
            </w:pPr>
            <w:r>
              <w:rPr>
                <w:rFonts w:hint="eastAsia" w:ascii="宋体" w:hAnsi="宋体" w:cs="宋体"/>
                <w:kern w:val="0"/>
                <w:sz w:val="24"/>
              </w:rPr>
              <w:t>未经复议直接起诉</w:t>
            </w:r>
          </w:p>
        </w:tc>
        <w:tc>
          <w:tcPr>
            <w:tcW w:w="2364" w:type="dxa"/>
            <w:gridSpan w:val="5"/>
            <w:tcMar>
              <w:left w:w="108" w:type="dxa"/>
              <w:right w:w="108" w:type="dxa"/>
            </w:tcMar>
            <w:vAlign w:val="center"/>
          </w:tcPr>
          <w:p>
            <w:pPr>
              <w:widowControl/>
              <w:spacing w:after="144" w:line="260" w:lineRule="exact"/>
              <w:jc w:val="center"/>
              <w:rPr>
                <w:rFonts w:ascii="宋体" w:cs="宋体"/>
                <w:kern w:val="0"/>
                <w:sz w:val="24"/>
              </w:rPr>
            </w:pPr>
            <w:r>
              <w:rPr>
                <w:rFonts w:hint="eastAsia" w:ascii="宋体" w:hAnsi="宋体" w:cs="宋体"/>
                <w:kern w:val="0"/>
                <w:sz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6" w:type="dxa"/>
            <w:vMerge w:val="continue"/>
            <w:tcBorders>
              <w:top w:val="nil"/>
            </w:tcBorders>
            <w:tcMar>
              <w:left w:w="108" w:type="dxa"/>
              <w:right w:w="108" w:type="dxa"/>
            </w:tcMar>
            <w:vAlign w:val="center"/>
          </w:tcPr>
          <w:p>
            <w:pPr>
              <w:widowControl/>
              <w:spacing w:after="144" w:line="260" w:lineRule="exact"/>
              <w:jc w:val="left"/>
              <w:rPr>
                <w:rFonts w:ascii="宋体" w:cs="宋体"/>
                <w:kern w:val="0"/>
                <w:sz w:val="24"/>
              </w:rPr>
            </w:pPr>
          </w:p>
        </w:tc>
        <w:tc>
          <w:tcPr>
            <w:tcW w:w="851"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83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70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456" w:type="dxa"/>
            <w:vMerge w:val="continue"/>
            <w:tcMar>
              <w:left w:w="108" w:type="dxa"/>
              <w:right w:w="108" w:type="dxa"/>
            </w:tcMar>
            <w:vAlign w:val="center"/>
          </w:tcPr>
          <w:p>
            <w:pPr>
              <w:widowControl/>
              <w:spacing w:after="144" w:line="260" w:lineRule="exact"/>
              <w:jc w:val="left"/>
              <w:rPr>
                <w:rFonts w:ascii="宋体" w:cs="宋体"/>
                <w:kern w:val="0"/>
                <w:sz w:val="24"/>
              </w:rPr>
            </w:pPr>
          </w:p>
        </w:tc>
        <w:tc>
          <w:tcPr>
            <w:tcW w:w="706"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结果维持</w:t>
            </w:r>
          </w:p>
        </w:tc>
        <w:tc>
          <w:tcPr>
            <w:tcW w:w="706"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结果纠正</w:t>
            </w:r>
          </w:p>
        </w:tc>
        <w:tc>
          <w:tcPr>
            <w:tcW w:w="711" w:type="dxa"/>
            <w:tcMar>
              <w:left w:w="108" w:type="dxa"/>
              <w:right w:w="108" w:type="dxa"/>
            </w:tcMar>
            <w:vAlign w:val="center"/>
          </w:tcPr>
          <w:p>
            <w:pPr>
              <w:widowControl/>
              <w:spacing w:after="144" w:line="260" w:lineRule="exact"/>
              <w:jc w:val="center"/>
              <w:rPr>
                <w:rFonts w:ascii="宋体" w:cs="宋体"/>
                <w:kern w:val="0"/>
                <w:sz w:val="24"/>
              </w:rPr>
            </w:pPr>
            <w:r>
              <w:rPr>
                <w:rFonts w:hint="eastAsia" w:ascii="宋体" w:hAnsi="宋体" w:cs="宋体"/>
                <w:kern w:val="0"/>
                <w:sz w:val="24"/>
              </w:rPr>
              <w:t>其他结果</w:t>
            </w:r>
          </w:p>
        </w:tc>
        <w:tc>
          <w:tcPr>
            <w:tcW w:w="789"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尚未审结</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总计</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结果维持</w:t>
            </w:r>
          </w:p>
        </w:tc>
        <w:tc>
          <w:tcPr>
            <w:tcW w:w="527"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结果纠正</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其他结果</w:t>
            </w:r>
          </w:p>
        </w:tc>
        <w:tc>
          <w:tcPr>
            <w:tcW w:w="469"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尚未审结</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hint="eastAsia" w:ascii="宋体" w:hAnsi="宋体" w:cs="宋体"/>
                <w:kern w:val="0"/>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851"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83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70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70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70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711"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789"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527"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456"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469" w:type="dxa"/>
            <w:tcMar>
              <w:left w:w="108" w:type="dxa"/>
              <w:right w:w="108" w:type="dxa"/>
            </w:tcMar>
            <w:vAlign w:val="center"/>
          </w:tcPr>
          <w:p>
            <w:pPr>
              <w:widowControl/>
              <w:spacing w:after="144" w:line="260" w:lineRule="exact"/>
              <w:jc w:val="left"/>
              <w:rPr>
                <w:rFonts w:ascii="宋体" w:cs="宋体"/>
                <w:kern w:val="0"/>
                <w:sz w:val="24"/>
              </w:rPr>
            </w:pPr>
            <w:r>
              <w:rPr>
                <w:rFonts w:ascii="宋体" w:cs="宋体"/>
                <w:kern w:val="0"/>
                <w:sz w:val="24"/>
              </w:rPr>
              <w:t>0</w:t>
            </w:r>
          </w:p>
        </w:tc>
        <w:tc>
          <w:tcPr>
            <w:tcW w:w="456" w:type="dxa"/>
            <w:tcMar>
              <w:left w:w="108" w:type="dxa"/>
              <w:right w:w="108" w:type="dxa"/>
            </w:tcMar>
            <w:vAlign w:val="center"/>
          </w:tcPr>
          <w:p>
            <w:pPr>
              <w:spacing w:line="260" w:lineRule="exact"/>
              <w:jc w:val="left"/>
              <w:rPr>
                <w:rFonts w:ascii="宋体" w:cs="宋体"/>
                <w:kern w:val="0"/>
                <w:sz w:val="24"/>
              </w:rPr>
            </w:pPr>
            <w:r>
              <w:rPr>
                <w:rFonts w:ascii="宋体" w:cs="宋体"/>
                <w:kern w:val="0"/>
                <w:sz w:val="24"/>
              </w:rPr>
              <w:t>0</w:t>
            </w:r>
          </w:p>
        </w:tc>
      </w:tr>
    </w:tbl>
    <w:p>
      <w:pPr>
        <w:spacing w:line="560" w:lineRule="exact"/>
        <w:ind w:firstLine="636" w:firstLineChars="199"/>
        <w:rPr>
          <w:rFonts w:ascii="黑体" w:hAnsi="黑体" w:eastAsia="黑体" w:cs="宋体"/>
          <w:sz w:val="32"/>
          <w:szCs w:val="32"/>
        </w:rPr>
      </w:pPr>
      <w:r>
        <w:rPr>
          <w:rFonts w:hint="eastAsia" w:ascii="黑体" w:hAnsi="黑体" w:eastAsia="黑体" w:cs="宋体"/>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（一）上年度存在问题及整改情况。上年度存在的主要问题涉及制发文件的主动公开率还不够高、政策解读的精准度还不够好、重大行政决策公开制度还不够完备、</w:t>
      </w:r>
      <w:r>
        <w:rPr>
          <w:rFonts w:hint="eastAsia" w:ascii="仿宋" w:hAnsi="仿宋" w:eastAsia="仿宋" w:cs="仿宋"/>
          <w:i w:val="0"/>
          <w:iCs w:val="0"/>
          <w:caps w:val="0"/>
          <w:color w:val="333333"/>
          <w:spacing w:val="0"/>
          <w:sz w:val="32"/>
          <w:szCs w:val="32"/>
          <w:shd w:val="clear" w:fill="FFFFFF"/>
          <w:lang w:val="en-US" w:eastAsia="zh-CN"/>
        </w:rPr>
        <w:t>市</w:t>
      </w:r>
      <w:r>
        <w:rPr>
          <w:rFonts w:hint="eastAsia" w:ascii="仿宋" w:hAnsi="仿宋" w:eastAsia="仿宋" w:cs="仿宋"/>
          <w:i w:val="0"/>
          <w:iCs w:val="0"/>
          <w:caps w:val="0"/>
          <w:color w:val="333333"/>
          <w:spacing w:val="0"/>
          <w:sz w:val="32"/>
          <w:szCs w:val="32"/>
          <w:shd w:val="clear" w:fill="FFFFFF"/>
        </w:rPr>
        <w:t>属国有企业信息公开还有待提高等方面。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（二）本年度存在问题</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2022年，</w:t>
      </w:r>
      <w:r>
        <w:rPr>
          <w:rFonts w:hint="eastAsia" w:ascii="仿宋" w:hAnsi="仿宋" w:eastAsia="仿宋" w:cs="仿宋"/>
          <w:i w:val="0"/>
          <w:iCs w:val="0"/>
          <w:caps w:val="0"/>
          <w:color w:val="333333"/>
          <w:spacing w:val="0"/>
          <w:sz w:val="32"/>
          <w:szCs w:val="32"/>
          <w:shd w:val="clear" w:fill="FFFFFF"/>
          <w:lang w:val="en-US" w:eastAsia="zh-CN"/>
        </w:rPr>
        <w:t>伊宁市国资局</w:t>
      </w:r>
      <w:r>
        <w:rPr>
          <w:rFonts w:hint="eastAsia" w:ascii="仿宋" w:hAnsi="仿宋" w:eastAsia="仿宋" w:cs="仿宋"/>
          <w:i w:val="0"/>
          <w:iCs w:val="0"/>
          <w:caps w:val="0"/>
          <w:color w:val="333333"/>
          <w:spacing w:val="0"/>
          <w:sz w:val="32"/>
          <w:szCs w:val="32"/>
          <w:shd w:val="clear" w:fill="FFFFFF"/>
        </w:rPr>
        <w:t>信息公开工作虽然取得了一定成效，但还存在一些问题和不足。一是结合国资监管实际开展政务公开工作的能力水平还有待提升；二是对新出台的国资国企改革政策解读还不够全面精准；三是公开专栏建设有待进一步完善，法定主动公开栏目设置较为简单，一些重点领域信息尚未涵盖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（三）下年度改进措施</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2023年</w:t>
      </w:r>
      <w:r>
        <w:rPr>
          <w:rFonts w:hint="eastAsia" w:ascii="仿宋" w:hAnsi="仿宋" w:eastAsia="仿宋" w:cs="仿宋"/>
          <w:i w:val="0"/>
          <w:iCs w:val="0"/>
          <w:caps w:val="0"/>
          <w:color w:val="333333"/>
          <w:spacing w:val="0"/>
          <w:sz w:val="32"/>
          <w:szCs w:val="32"/>
          <w:shd w:val="clear" w:fill="FFFFFF"/>
          <w:lang w:val="en-US" w:eastAsia="zh-CN"/>
        </w:rPr>
        <w:t>伊宁市国资局</w:t>
      </w:r>
      <w:r>
        <w:rPr>
          <w:rFonts w:hint="eastAsia" w:ascii="仿宋" w:hAnsi="仿宋" w:eastAsia="仿宋" w:cs="仿宋"/>
          <w:i w:val="0"/>
          <w:iCs w:val="0"/>
          <w:caps w:val="0"/>
          <w:color w:val="333333"/>
          <w:spacing w:val="0"/>
          <w:sz w:val="32"/>
          <w:szCs w:val="32"/>
          <w:shd w:val="clear" w:fill="FFFFFF"/>
        </w:rPr>
        <w:t>将进一步改进完善信息公开工作机制，持续推进国资监管信息公开和</w:t>
      </w:r>
      <w:r>
        <w:rPr>
          <w:rFonts w:hint="eastAsia" w:ascii="仿宋" w:hAnsi="仿宋" w:eastAsia="仿宋" w:cs="仿宋"/>
          <w:i w:val="0"/>
          <w:iCs w:val="0"/>
          <w:caps w:val="0"/>
          <w:color w:val="333333"/>
          <w:spacing w:val="0"/>
          <w:sz w:val="32"/>
          <w:szCs w:val="32"/>
          <w:shd w:val="clear" w:fill="FFFFFF"/>
          <w:lang w:val="en-US" w:eastAsia="zh-CN"/>
        </w:rPr>
        <w:t>市</w:t>
      </w:r>
      <w:r>
        <w:rPr>
          <w:rFonts w:hint="eastAsia" w:ascii="仿宋" w:hAnsi="仿宋" w:eastAsia="仿宋" w:cs="仿宋"/>
          <w:i w:val="0"/>
          <w:iCs w:val="0"/>
          <w:caps w:val="0"/>
          <w:color w:val="333333"/>
          <w:spacing w:val="0"/>
          <w:sz w:val="32"/>
          <w:szCs w:val="32"/>
          <w:shd w:val="clear" w:fill="FFFFFF"/>
        </w:rPr>
        <w:t>属国有企业信息公开工作。一是持续扩大主动公开范围。依法依规、及时准确向社会公开国资监管信息、财政预决算信息等方面的情况，主动接受社会监督。二是持续强化政策解读回应。交叉运用图表图解、流程演示、新闻发布会、在线访谈等形式，重点对政策文件的背景、意义、作用、关键词、新旧政策差异等进行解读。三是持续优化公开专栏建设。进一步规范政府信息公开专栏建设，补充更新完善法定主动公开内容，不断提升政策获取的便利化水平。</w:t>
      </w:r>
    </w:p>
    <w:p>
      <w:pPr>
        <w:spacing w:line="560" w:lineRule="exact"/>
        <w:ind w:firstLine="636" w:firstLineChars="199"/>
        <w:rPr>
          <w:rFonts w:ascii="黑体" w:hAnsi="黑体" w:eastAsia="黑体" w:cs="宋体"/>
          <w:sz w:val="32"/>
          <w:szCs w:val="32"/>
        </w:rPr>
      </w:pPr>
      <w:r>
        <w:rPr>
          <w:rFonts w:hint="eastAsia" w:ascii="黑体" w:hAnsi="黑体" w:eastAsia="黑体" w:cs="宋体"/>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right="0" w:firstLine="560" w:firstLineChars="20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政府信息处理费收取情况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84" w:afterAutospacing="0" w:line="336"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2022年，</w:t>
      </w:r>
      <w:r>
        <w:rPr>
          <w:rFonts w:hint="eastAsia" w:ascii="仿宋" w:hAnsi="仿宋" w:eastAsia="仿宋" w:cs="仿宋"/>
          <w:i w:val="0"/>
          <w:iCs w:val="0"/>
          <w:caps w:val="0"/>
          <w:color w:val="333333"/>
          <w:spacing w:val="0"/>
          <w:sz w:val="32"/>
          <w:szCs w:val="32"/>
          <w:shd w:val="clear" w:fill="FFFFFF"/>
          <w:lang w:val="en-US" w:eastAsia="zh-CN"/>
        </w:rPr>
        <w:t>伊宁市国资局</w:t>
      </w:r>
      <w:r>
        <w:rPr>
          <w:rFonts w:hint="eastAsia" w:ascii="仿宋" w:hAnsi="仿宋" w:eastAsia="仿宋" w:cs="仿宋"/>
          <w:i w:val="0"/>
          <w:iCs w:val="0"/>
          <w:caps w:val="0"/>
          <w:color w:val="333333"/>
          <w:spacing w:val="0"/>
          <w:sz w:val="32"/>
          <w:szCs w:val="32"/>
          <w:shd w:val="clear" w:fill="FFFFFF"/>
        </w:rPr>
        <w:t>在依申请公开办理中，依事项情况未收取政府信息处理费。</w:t>
      </w:r>
    </w:p>
    <w:p>
      <w:pPr>
        <w:rPr>
          <w:rFonts w:hint="eastAsia" w:ascii="仿宋" w:hAnsi="仿宋" w:eastAsia="仿宋" w:cs="仿宋"/>
          <w:sz w:val="32"/>
          <w:szCs w:val="32"/>
        </w:rPr>
      </w:pPr>
    </w:p>
    <w:p>
      <w:pPr>
        <w:spacing w:line="560" w:lineRule="exact"/>
        <w:ind w:firstLine="636" w:firstLineChars="199"/>
        <w:rPr>
          <w:rFonts w:ascii="仿宋_GB2312" w:hAnsi="宋体" w:eastAsia="仿宋_GB2312" w:cs="宋体"/>
          <w:sz w:val="32"/>
          <w:szCs w:val="32"/>
        </w:rPr>
      </w:pPr>
    </w:p>
    <w:p>
      <w:pPr>
        <w:spacing w:line="560" w:lineRule="exact"/>
        <w:ind w:firstLine="636" w:firstLineChars="199"/>
        <w:rPr>
          <w:rFonts w:ascii="仿宋_GB2312" w:hAnsi="宋体" w:eastAsia="仿宋_GB2312" w:cs="宋体"/>
          <w:sz w:val="32"/>
          <w:szCs w:val="32"/>
        </w:rPr>
      </w:pPr>
    </w:p>
    <w:p>
      <w:pPr>
        <w:spacing w:line="560" w:lineRule="exact"/>
        <w:ind w:firstLine="636" w:firstLineChars="199"/>
        <w:rPr>
          <w:rFonts w:ascii="仿宋_GB2312" w:hAnsi="宋体" w:eastAsia="仿宋_GB2312" w:cs="宋体"/>
          <w:sz w:val="32"/>
          <w:szCs w:val="32"/>
        </w:rPr>
      </w:pPr>
    </w:p>
    <w:p>
      <w:pPr>
        <w:spacing w:line="560" w:lineRule="exact"/>
        <w:ind w:firstLine="636" w:firstLineChars="199"/>
        <w:rPr>
          <w:rFonts w:hint="default" w:ascii="仿宋_GB2312" w:hAnsi="宋体" w:eastAsia="仿宋_GB2312" w:cs="宋体"/>
          <w:sz w:val="32"/>
          <w:szCs w:val="32"/>
          <w:lang w:val="en-US" w:eastAsia="zh-CN"/>
        </w:rPr>
      </w:pPr>
      <w:r>
        <w:rPr>
          <w:rFonts w:ascii="仿宋_GB2312" w:hAnsi="宋体" w:eastAsia="仿宋_GB2312" w:cs="宋体"/>
          <w:sz w:val="32"/>
          <w:szCs w:val="32"/>
        </w:rPr>
        <w:t xml:space="preserve">  </w:t>
      </w:r>
      <w:r>
        <w:rPr>
          <w:rFonts w:hint="eastAsia" w:ascii="仿宋_GB2312" w:hAnsi="宋体" w:eastAsia="仿宋_GB2312" w:cs="宋体"/>
          <w:sz w:val="32"/>
          <w:szCs w:val="32"/>
        </w:rPr>
        <w:t>填报人：</w:t>
      </w:r>
      <w:r>
        <w:rPr>
          <w:rFonts w:hint="eastAsia" w:ascii="仿宋_GB2312" w:hAnsi="宋体" w:eastAsia="仿宋_GB2312" w:cs="宋体"/>
          <w:sz w:val="32"/>
          <w:szCs w:val="32"/>
          <w:lang w:val="en-US" w:eastAsia="zh-CN"/>
        </w:rPr>
        <w:t>王诗语</w:t>
      </w:r>
      <w:r>
        <w:rPr>
          <w:rFonts w:ascii="仿宋_GB2312" w:hAnsi="宋体" w:eastAsia="仿宋_GB2312" w:cs="宋体"/>
          <w:sz w:val="32"/>
          <w:szCs w:val="32"/>
        </w:rPr>
        <w:t xml:space="preserve">             </w:t>
      </w:r>
      <w:r>
        <w:rPr>
          <w:rFonts w:hint="eastAsia" w:ascii="仿宋_GB2312" w:hAnsi="宋体" w:eastAsia="仿宋_GB2312" w:cs="宋体"/>
          <w:sz w:val="32"/>
          <w:szCs w:val="32"/>
        </w:rPr>
        <w:t>电话：</w:t>
      </w:r>
      <w:r>
        <w:rPr>
          <w:rFonts w:hint="eastAsia" w:ascii="仿宋_GB2312" w:hAnsi="宋体" w:eastAsia="仿宋_GB2312" w:cs="宋体"/>
          <w:sz w:val="32"/>
          <w:szCs w:val="32"/>
          <w:lang w:val="en-US" w:eastAsia="zh-CN"/>
        </w:rPr>
        <w:t>15569281911</w:t>
      </w:r>
    </w:p>
    <w:p>
      <w:pPr>
        <w:spacing w:line="560" w:lineRule="exact"/>
        <w:ind w:firstLine="636" w:firstLineChars="199"/>
        <w:rPr>
          <w:rFonts w:ascii="仿宋_GB2312" w:hAnsi="宋体" w:eastAsia="仿宋_GB2312" w:cs="宋体"/>
          <w:sz w:val="32"/>
          <w:szCs w:val="32"/>
        </w:rPr>
      </w:pPr>
    </w:p>
    <w:p>
      <w:pPr>
        <w:spacing w:line="560" w:lineRule="exact"/>
        <w:ind w:firstLine="636" w:firstLineChars="199"/>
        <w:rPr>
          <w:rFonts w:ascii="仿宋_GB2312" w:hAnsi="宋体" w:eastAsia="仿宋_GB2312" w:cs="宋体"/>
          <w:sz w:val="32"/>
          <w:szCs w:val="32"/>
        </w:rPr>
      </w:pPr>
    </w:p>
    <w:p>
      <w:pPr>
        <w:spacing w:line="560" w:lineRule="exact"/>
        <w:ind w:firstLine="636" w:firstLineChars="199"/>
        <w:rPr>
          <w:rFonts w:ascii="仿宋_GB2312" w:hAnsi="宋体" w:eastAsia="仿宋_GB2312" w:cs="宋体"/>
          <w:sz w:val="32"/>
          <w:szCs w:val="32"/>
        </w:rPr>
      </w:pPr>
    </w:p>
    <w:p>
      <w:pPr>
        <w:spacing w:line="560" w:lineRule="exact"/>
        <w:ind w:firstLine="636" w:firstLineChars="199"/>
        <w:rPr>
          <w:rFonts w:ascii="仿宋_GB2312" w:hAnsi="宋体"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单位盖章：</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- 1 -</w:t>
                </w:r>
                <w:r>
                  <w:rPr>
                    <w:rFonts w:ascii="Times New Roman" w:hAnsi="Times New Roman"/>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xM2IzYWNkZjQwM2U0ZDdkZmUyNWFmZDUwNmY4NWQifQ=="/>
  </w:docVars>
  <w:rsids>
    <w:rsidRoot w:val="0D2A2B98"/>
    <w:rsid w:val="00183F50"/>
    <w:rsid w:val="00592D73"/>
    <w:rsid w:val="00734A1D"/>
    <w:rsid w:val="00793543"/>
    <w:rsid w:val="008627D3"/>
    <w:rsid w:val="07644625"/>
    <w:rsid w:val="0D2A2B98"/>
    <w:rsid w:val="1C4C117C"/>
    <w:rsid w:val="1D213799"/>
    <w:rsid w:val="1F3F1D34"/>
    <w:rsid w:val="349D2ABE"/>
    <w:rsid w:val="398F66E6"/>
    <w:rsid w:val="440627C5"/>
    <w:rsid w:val="4C966A32"/>
    <w:rsid w:val="4DAD5B2E"/>
    <w:rsid w:val="54092530"/>
    <w:rsid w:val="5F4D7619"/>
    <w:rsid w:val="713A21FC"/>
    <w:rsid w:val="74A9397C"/>
    <w:rsid w:val="75790C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customStyle="1" w:styleId="7">
    <w:name w:val="Footer Char"/>
    <w:basedOn w:val="6"/>
    <w:link w:val="2"/>
    <w:semiHidden/>
    <w:qFormat/>
    <w:uiPriority w:val="99"/>
    <w:rPr>
      <w:rFonts w:ascii="Calibri" w:hAnsi="Calibri"/>
      <w:sz w:val="18"/>
      <w:szCs w:val="18"/>
    </w:rPr>
  </w:style>
  <w:style w:type="character" w:customStyle="1" w:styleId="8">
    <w:name w:val="Header Char"/>
    <w:basedOn w:val="6"/>
    <w:link w:val="3"/>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2184</Words>
  <Characters>2225</Characters>
  <Lines>0</Lines>
  <Paragraphs>0</Paragraphs>
  <TotalTime>61</TotalTime>
  <ScaleCrop>false</ScaleCrop>
  <LinksUpToDate>false</LinksUpToDate>
  <CharactersWithSpaces>2399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2023-01-28T03:00:00Z</dcterms:created>
  <dc:creator>李静</dc:creator>
  <cp:lastModifiedBy>Administrator</cp:lastModifiedBy>
  <cp:lastPrinted>2023-01-28T05:15:16Z</cp:lastPrinted>
  <dcterms:modified xsi:type="dcterms:W3CDTF">2023-01-28T05:15:29Z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84F93662EC384ADEA921DF67F8196847</vt:lpwstr>
  </property>
</Properties>
</file>