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伊宁市发展和改革委员会</w:t>
      </w:r>
      <w:r>
        <w:rPr>
          <w:rFonts w:hint="eastAsia" w:ascii="黑体" w:hAnsi="黑体" w:eastAsia="黑体" w:cs="黑体"/>
          <w:sz w:val="44"/>
          <w:szCs w:val="44"/>
        </w:rPr>
        <w:t>2022年度政府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信息公开工作年度报告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按照《中华人民共和国政府信息公开条例》要求,编制了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伊宁市发改委</w:t>
      </w:r>
      <w:r>
        <w:rPr>
          <w:rFonts w:hint="eastAsia" w:ascii="仿宋" w:hAnsi="仿宋" w:eastAsia="仿宋" w:cs="仿宋"/>
          <w:sz w:val="32"/>
          <w:szCs w:val="32"/>
        </w:rPr>
        <w:t>2022年度政府信息公开工作年度报告。报告全文由总体情况，主动公开政府信息情况，收到和处理政府信息公开申请情况，政府信息公开工作被申请行政复议、提起行政诉讼情况，政府信息公开工作存在的主要问题及改进情况，其他需要报告的事项等六个部分组成，统计数据时间为2022年1月1日至12月31日。年报发布在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伊宁市</w:t>
      </w:r>
      <w:r>
        <w:rPr>
          <w:rFonts w:hint="eastAsia" w:ascii="仿宋" w:hAnsi="仿宋" w:eastAsia="仿宋" w:cs="仿宋"/>
          <w:sz w:val="32"/>
          <w:szCs w:val="32"/>
        </w:rPr>
        <w:t>人民政府网”网站上。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伊宁市发改委</w:t>
      </w:r>
      <w:r>
        <w:rPr>
          <w:rFonts w:hint="eastAsia" w:ascii="仿宋" w:hAnsi="仿宋" w:eastAsia="仿宋" w:cs="仿宋"/>
          <w:sz w:val="32"/>
          <w:szCs w:val="32"/>
        </w:rPr>
        <w:t>按照中央、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自治州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</w:t>
      </w:r>
      <w:r>
        <w:rPr>
          <w:rFonts w:hint="eastAsia" w:ascii="仿宋" w:hAnsi="仿宋" w:eastAsia="仿宋" w:cs="仿宋"/>
          <w:sz w:val="32"/>
          <w:szCs w:val="32"/>
        </w:rPr>
        <w:t>政府信息公开工作决策部署，严格按照《条例》的相关文件精神，按政务公开标准指引要求，积极推进工作落实，结合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</w:rPr>
        <w:t>工作开展实际，及时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更新发展和改革</w:t>
      </w:r>
      <w:r>
        <w:rPr>
          <w:rFonts w:hint="eastAsia" w:ascii="仿宋" w:hAnsi="仿宋" w:eastAsia="仿宋" w:cs="仿宋"/>
          <w:sz w:val="32"/>
          <w:szCs w:val="32"/>
        </w:rPr>
        <w:t>领域标准目录。提升政府工作透明力和分信力，切实加大公开力度，强化服务意识，深入推进政府信息公开工作，有力提升为民服务成效。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伊宁市发改委</w:t>
      </w:r>
      <w:r>
        <w:rPr>
          <w:rFonts w:hint="eastAsia" w:ascii="仿宋" w:hAnsi="仿宋" w:eastAsia="仿宋" w:cs="仿宋"/>
          <w:sz w:val="32"/>
          <w:szCs w:val="32"/>
        </w:rPr>
        <w:t>充分利用政府网站，及时发布发改工作动态、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职能机构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发展规划</w:t>
      </w:r>
      <w:r>
        <w:rPr>
          <w:rFonts w:hint="eastAsia" w:ascii="仿宋" w:hAnsi="仿宋" w:eastAsia="仿宋" w:cs="仿宋"/>
          <w:sz w:val="32"/>
          <w:szCs w:val="32"/>
        </w:rPr>
        <w:t>、重大项目建设批复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、综合监管和检查执法</w:t>
      </w:r>
      <w:r>
        <w:rPr>
          <w:rFonts w:hint="eastAsia" w:ascii="仿宋" w:hAnsi="仿宋" w:eastAsia="仿宋" w:cs="仿宋"/>
          <w:sz w:val="32"/>
          <w:szCs w:val="32"/>
        </w:rPr>
        <w:t>等相关内容，主动公开文件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条。主动公开的政府信息类别，主要包含行政许可类信息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条；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</w:rPr>
        <w:t>类信息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条；为民办实事类信息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条；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综合监管</w:t>
      </w:r>
      <w:r>
        <w:rPr>
          <w:rFonts w:hint="eastAsia" w:ascii="仿宋" w:hAnsi="仿宋" w:eastAsia="仿宋" w:cs="仿宋"/>
          <w:sz w:val="32"/>
          <w:szCs w:val="32"/>
        </w:rPr>
        <w:t>类信息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；其他类信息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。公开形式包括政府网站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伊宁市发改委</w:t>
      </w:r>
      <w:r>
        <w:rPr>
          <w:rFonts w:hint="eastAsia" w:ascii="仿宋" w:hAnsi="仿宋" w:eastAsia="仿宋" w:cs="仿宋"/>
          <w:sz w:val="32"/>
          <w:szCs w:val="32"/>
        </w:rPr>
        <w:t>政务公开栏。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2022年度来共受理关于政府信息公开的依申请公开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条，未发生因政府信息公开引发的行政复议、行政诉讼和和行政申诉、举报等情况。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将全面推进政务公开标准化规范化工作作为政务公开重点工作。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进一步完善制度，规范管理，推进政府信息公开工作制度化、规范化，构建政府信息公开工作长效机制，推动政府信息公开工作有序开展。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进一步建立健全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信息公开工作领导小组，主要领导亲自抓，分管领导主要抓，对于公开的内容、严格执行保密审查制度，并按月准时将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公示内容完成线下纸质版三审三校流程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将签批完的信息发布审批表纸质版送至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伊宁市电子政务办</w:t>
      </w:r>
      <w:r>
        <w:rPr>
          <w:rFonts w:hint="eastAsia" w:ascii="仿宋" w:hAnsi="仿宋" w:eastAsia="仿宋" w:cs="仿宋"/>
          <w:sz w:val="32"/>
          <w:szCs w:val="32"/>
        </w:rPr>
        <w:t>同时由负责政务公开工作人员使用数字证书（key）登录自治区政府网站集约化管理平台提交本单位政务公开数据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及时全面有序推进我局政府信息公开工作。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2022年我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在其他形式上开展了一些工作回应社会关切，公开发改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“双随机”抽查结果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（四）政府信息公开平台建设。一是</w:t>
      </w:r>
      <w:r>
        <w:rPr>
          <w:rFonts w:hint="eastAsia" w:ascii="仿宋" w:hAnsi="仿宋" w:eastAsia="仿宋" w:cs="仿宋"/>
          <w:sz w:val="32"/>
          <w:szCs w:val="32"/>
        </w:rPr>
        <w:t>全面推行清单管理制度。</w:t>
      </w:r>
      <w:r>
        <w:rPr>
          <w:rFonts w:hint="eastAsia" w:ascii="仿宋" w:hAnsi="仿宋" w:eastAsia="仿宋" w:cs="仿宋"/>
          <w:sz w:val="32"/>
          <w:szCs w:val="32"/>
        </w:rPr>
        <w:t>认真对照自治区指导目录和本部门本单位“三定方案”规定认真做好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发改委</w:t>
      </w:r>
      <w:r>
        <w:rPr>
          <w:rFonts w:hint="eastAsia" w:ascii="仿宋" w:hAnsi="仿宋" w:eastAsia="仿宋" w:cs="仿宋"/>
          <w:sz w:val="32"/>
          <w:szCs w:val="32"/>
        </w:rPr>
        <w:t>权责清单的对比认领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对行政审批和服务事项，逐项梳理形成规范统一的办事指南，列明各项要素，在政府网上予以公开，明确批准服务信息。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受理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的各类办件</w:t>
      </w:r>
      <w:r>
        <w:rPr>
          <w:rFonts w:hint="eastAsia" w:ascii="仿宋" w:hAnsi="仿宋" w:eastAsia="仿宋" w:cs="仿宋"/>
          <w:sz w:val="32"/>
          <w:szCs w:val="32"/>
        </w:rPr>
        <w:t>均按时答复，办件满意率100%。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（五）监督保障。</w:t>
      </w:r>
      <w:r>
        <w:rPr>
          <w:rFonts w:hint="eastAsia" w:ascii="仿宋" w:hAnsi="仿宋" w:eastAsia="仿宋" w:cs="仿宋"/>
          <w:sz w:val="32"/>
          <w:szCs w:val="32"/>
        </w:rPr>
        <w:t>根据《条例》要求，截至2022年底，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伊宁市发改委</w:t>
      </w:r>
      <w:r>
        <w:rPr>
          <w:rFonts w:hint="eastAsia" w:ascii="仿宋" w:hAnsi="仿宋" w:eastAsia="仿宋" w:cs="仿宋"/>
          <w:sz w:val="32"/>
          <w:szCs w:val="32"/>
        </w:rPr>
        <w:t>政府信息公开工作运行正常，政府信息公开咨询、申请和答复工作顺利开展。凡涉及发改部门管理的职能、职责、以及相关工作信息，只要不违反保密规定，都要实行信息公开，确保公开内容真实有效、全面及时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965"/>
        <w:gridCol w:w="180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pStyle w:val="3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560" w:lineRule="exact"/>
        <w:ind w:left="630" w:leftChars="0" w:firstLineChars="0"/>
        <w:jc w:val="both"/>
        <w:rPr>
          <w:rFonts w:hint="eastAsia" w:ascii="仿宋" w:hAnsi="仿宋" w:eastAsia="仿宋" w:cs="仿宋"/>
          <w:b/>
          <w:bCs/>
          <w:sz w:val="32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0"/>
        </w:rPr>
        <w:t>收到和处理政府信息公开申请情况</w:t>
      </w: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bookmarkStart w:id="0" w:name="_GoBack"/>
            <w:bookmarkEnd w:id="0"/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24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240" w:lineRule="auto"/>
        <w:ind w:left="63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政府信息公开行政复议、行政诉讼情况</w:t>
      </w:r>
    </w:p>
    <w:p>
      <w:pPr>
        <w:numPr>
          <w:numId w:val="0"/>
        </w:numPr>
        <w:spacing w:line="560" w:lineRule="exact"/>
        <w:ind w:leftChars="0"/>
        <w:rPr>
          <w:rFonts w:hint="eastAsia" w:ascii="黑体" w:hAnsi="黑体" w:eastAsia="黑体" w:cs="宋体"/>
          <w:sz w:val="32"/>
          <w:szCs w:val="32"/>
        </w:rPr>
      </w:pPr>
    </w:p>
    <w:tbl>
      <w:tblPr>
        <w:tblStyle w:val="4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（一）工作中存在的主要问题和困难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19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政府信息公开内容略显单一、不够多样化；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个别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室对条例及政策认识不足，导致贴合群众需求信息少。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（二）具体解决办法和改进措施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将推进政府信息公开工作更科学规范化。同时积极运用网络技术，不断拓宽政务公开宣传渠道。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继续开展业务培训，提升工作人员政府信息公开意识和水平，自觉地履行政府信息公开职责。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拓宽政务公开宣传渠道，提高政务公开面，逐步扩大公开内容。</w:t>
      </w:r>
    </w:p>
    <w:p>
      <w:pPr>
        <w:spacing w:line="560" w:lineRule="exact"/>
        <w:ind w:firstLine="639" w:firstLineChars="19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六、需要说明的其他事项与附表</w:t>
      </w:r>
    </w:p>
    <w:p>
      <w:pPr>
        <w:spacing w:line="560" w:lineRule="exact"/>
        <w:ind w:firstLine="636" w:firstLineChars="19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年本单位无收取信息处理费情况，无其他需要报告事项。</w:t>
      </w:r>
    </w:p>
    <w:p>
      <w:pPr>
        <w:spacing w:line="560" w:lineRule="exact"/>
        <w:ind w:firstLine="636" w:firstLineChars="199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伊宁市发展和改革委员会</w:t>
      </w:r>
    </w:p>
    <w:p>
      <w:pPr>
        <w:spacing w:line="560" w:lineRule="exact"/>
        <w:ind w:firstLine="636" w:firstLineChars="19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2023年1月17日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54A75"/>
    <w:multiLevelType w:val="singleLevel"/>
    <w:tmpl w:val="C6254A75"/>
    <w:lvl w:ilvl="0" w:tentative="0">
      <w:start w:val="3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TM4M2M4NjVmZWQzZGY0NDUxY2ZhYzQ3MGEzM2YifQ=="/>
  </w:docVars>
  <w:rsids>
    <w:rsidRoot w:val="5B6248C8"/>
    <w:rsid w:val="13C83228"/>
    <w:rsid w:val="3EA90F45"/>
    <w:rsid w:val="5B62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2172</Words>
  <Characters>2238</Characters>
  <Lines>0</Lines>
  <Paragraphs>0</Paragraphs>
  <TotalTime>9</TotalTime>
  <ScaleCrop>false</ScaleCrop>
  <LinksUpToDate>false</LinksUpToDate>
  <CharactersWithSpaces>2434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2023-01-17T03:45:00Z</dcterms:created>
  <dc:creator>Administrator</dc:creator>
  <cp:lastModifiedBy>Administrator</cp:lastModifiedBy>
  <dcterms:modified xsi:type="dcterms:W3CDTF">2023-01-17T04:51:30Z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7F05989A8DE54B9C9C020EEA94D9B414</vt:lpwstr>
  </property>
</Properties>
</file>