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仿宋_GB2312" w:eastAsia="方正小标宋_GBK" w:cs="仿宋_GB2312"/>
          <w:sz w:val="44"/>
          <w:szCs w:val="44"/>
        </w:rPr>
      </w:pPr>
      <w:r>
        <w:rPr>
          <w:rFonts w:hint="eastAsia" w:ascii="方正小标宋_GBK" w:hAnsi="仿宋_GB2312" w:eastAsia="方正小标宋_GBK" w:cs="仿宋_GB2312"/>
          <w:sz w:val="44"/>
          <w:szCs w:val="44"/>
          <w:lang w:eastAsia="zh-CN"/>
        </w:rPr>
        <w:t>伊宁市统计局</w:t>
      </w:r>
      <w:r>
        <w:rPr>
          <w:rFonts w:hint="eastAsia" w:ascii="方正小标宋_GBK" w:hAnsi="仿宋_GB2312" w:eastAsia="方正小标宋_GBK" w:cs="仿宋_GB2312"/>
          <w:sz w:val="44"/>
          <w:szCs w:val="44"/>
        </w:rPr>
        <w:t>政府信息公开工作年度报告</w:t>
      </w:r>
    </w:p>
    <w:p>
      <w:pPr>
        <w:spacing w:line="560" w:lineRule="exact"/>
        <w:jc w:val="center"/>
        <w:rPr>
          <w:rFonts w:ascii="方正小标宋_GBK" w:hAnsi="仿宋_GB2312" w:eastAsia="方正小标宋_GBK" w:cs="仿宋_GB2312"/>
          <w:sz w:val="44"/>
          <w:szCs w:val="44"/>
        </w:rPr>
      </w:pP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rPr>
      </w:pPr>
      <w:bookmarkStart w:id="0" w:name="_GoBack"/>
      <w:r>
        <w:rPr>
          <w:rFonts w:hint="eastAsia" w:ascii="仿宋_GB2312" w:hAnsi="仿宋_GB2312" w:eastAsia="仿宋_GB2312" w:cs="仿宋_GB2312"/>
          <w:i w:val="0"/>
          <w:caps w:val="0"/>
          <w:color w:val="333333"/>
          <w:spacing w:val="0"/>
          <w:sz w:val="32"/>
          <w:szCs w:val="32"/>
          <w:bdr w:val="none" w:color="auto" w:sz="0" w:space="0"/>
          <w:shd w:val="clear" w:fill="FFFFFF"/>
        </w:rPr>
        <w:t>202</w:t>
      </w:r>
      <w:r>
        <w:rPr>
          <w:rFonts w:hint="eastAsia" w:ascii="仿宋_GB2312" w:hAnsi="仿宋_GB2312" w:eastAsia="仿宋_GB2312" w:cs="仿宋_GB2312"/>
          <w:i w:val="0"/>
          <w:caps w:val="0"/>
          <w:color w:val="333333"/>
          <w:spacing w:val="0"/>
          <w:sz w:val="32"/>
          <w:szCs w:val="32"/>
          <w:bdr w:val="none" w:color="auto" w:sz="0" w:space="0"/>
          <w:shd w:val="clear" w:fill="FFFFFF"/>
          <w:lang w:val="en-US" w:eastAsia="zh-CN"/>
        </w:rPr>
        <w:t>2</w:t>
      </w:r>
      <w:r>
        <w:rPr>
          <w:rFonts w:hint="eastAsia" w:ascii="仿宋_GB2312" w:hAnsi="仿宋_GB2312" w:eastAsia="仿宋_GB2312" w:cs="仿宋_GB2312"/>
          <w:i w:val="0"/>
          <w:caps w:val="0"/>
          <w:color w:val="333333"/>
          <w:spacing w:val="0"/>
          <w:sz w:val="32"/>
          <w:szCs w:val="32"/>
          <w:bdr w:val="none" w:color="auto" w:sz="0" w:space="0"/>
          <w:shd w:val="clear" w:fill="FFFFFF"/>
        </w:rPr>
        <w:t>年，</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伊宁</w:t>
      </w:r>
      <w:r>
        <w:rPr>
          <w:rFonts w:hint="eastAsia" w:ascii="仿宋_GB2312" w:hAnsi="仿宋_GB2312" w:eastAsia="仿宋_GB2312" w:cs="仿宋_GB2312"/>
          <w:i w:val="0"/>
          <w:caps w:val="0"/>
          <w:color w:val="333333"/>
          <w:spacing w:val="0"/>
          <w:sz w:val="32"/>
          <w:szCs w:val="32"/>
          <w:bdr w:val="none" w:color="auto" w:sz="0" w:space="0"/>
          <w:shd w:val="clear" w:fill="FFFFFF"/>
        </w:rPr>
        <w:t>市统计局在市委、市政府的正确领导下，以服务经济社会发展为中心，充分发挥统计信息、咨询和监督职能，进一步加强政府信息公开工作的组织领导和队伍建设，建立健全相关规章制度，深化公开内容，积极做好政府信息公开各项工作，取得了较好的成效。</w:t>
      </w:r>
      <w:r>
        <w:rPr>
          <w:rFonts w:hint="eastAsia" w:ascii="仿宋_GB2312" w:hAnsi="仿宋_GB2312" w:eastAsia="仿宋_GB2312" w:cs="仿宋_GB2312"/>
          <w:b/>
          <w:i w:val="0"/>
          <w:caps w:val="0"/>
          <w:color w:val="333333"/>
          <w:spacing w:val="0"/>
          <w:sz w:val="32"/>
          <w:szCs w:val="32"/>
          <w:bdr w:val="none" w:color="auto" w:sz="0" w:space="0"/>
          <w:shd w:val="clear" w:fill="FFFFFF"/>
          <w:lang w:val="en-US"/>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明确工作职责。坚持将政务信息工作作为部门工作的一项重要内容进行布置并狠抓计划落实，在工作中，强化了“领导具体抓、责任到科室”的工作机制，形成纵到底、横到边、上下联动、整体推进的工作体系。在政务信息汇总公开上报方面，由局办公室负责，确保政务公开工作有序、健康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bdr w:val="none" w:color="auto" w:sz="0" w:space="0"/>
          <w:shd w:val="clear" w:fill="FFFFFF"/>
          <w:lang w:val="en-US" w:eastAsia="zh-CN" w:bidi="ar"/>
        </w:rPr>
        <w:t>（二）健全工作机制。伊宁市统计局高度重视统计政务信息工作，坚持把政务信息公开工作摆在突出位置，坚持“以正面宣传为主，用事实说话”的方针，自觉贯彻党和政府的主张和意图，客观全面地介绍情况；坚持舆论引导于信息服务之中，不断增强统计信息公开工作的准确性、及时性和权威性。</w:t>
      </w:r>
      <w:r>
        <w:rPr>
          <w:rFonts w:hint="eastAsia" w:ascii="仿宋_GB2312" w:hAnsi="仿宋_GB2312" w:eastAsia="仿宋_GB2312" w:cs="仿宋_GB2312"/>
          <w:b/>
          <w:i w:val="0"/>
          <w:caps w:val="0"/>
          <w:color w:val="333333"/>
          <w:spacing w:val="0"/>
          <w:kern w:val="0"/>
          <w:sz w:val="32"/>
          <w:szCs w:val="32"/>
          <w:bdr w:val="none" w:color="auto" w:sz="0" w:space="0"/>
          <w:shd w:val="clear" w:fill="FFFFFF"/>
          <w:lang w:val="en-US" w:eastAsia="zh-CN" w:bidi="ar"/>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深化公开内容。一是狠抓重点信息，切实把握每个时期的工作重点，有选择、有目的地采编、报送反映全局、突出重点的信息，为社会提供高质量的信息服务。二是捕捉亮点信息，在报送深层次、高价值信息上下功夫。对上报的信息，强调精筛选、突亮点，上报最能反映</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伊宁市</w:t>
      </w:r>
      <w:r>
        <w:rPr>
          <w:rFonts w:hint="eastAsia" w:ascii="仿宋_GB2312" w:hAnsi="仿宋_GB2312" w:eastAsia="仿宋_GB2312" w:cs="仿宋_GB2312"/>
          <w:i w:val="0"/>
          <w:caps w:val="0"/>
          <w:color w:val="333333"/>
          <w:spacing w:val="0"/>
          <w:sz w:val="32"/>
          <w:szCs w:val="32"/>
          <w:bdr w:val="none" w:color="auto" w:sz="0" w:space="0"/>
          <w:shd w:val="clear" w:fill="FFFFFF"/>
        </w:rPr>
        <w:t>统计系统特点、紧跟工作形势的信息。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bdr w:val="none" w:color="auto" w:sz="0" w:space="0"/>
          <w:shd w:val="clear" w:fill="FFFFFF"/>
          <w:lang w:val="en-US" w:eastAsia="zh-CN" w:bidi="ar"/>
        </w:rPr>
        <w:t>（四）主动公开政府信息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bdr w:val="none" w:color="auto" w:sz="0" w:space="0"/>
          <w:shd w:val="clear" w:fill="FFFFFF"/>
          <w:lang w:val="en-US" w:eastAsia="zh-CN" w:bidi="ar"/>
        </w:rPr>
        <w:t>1、主动公开范围。</w:t>
      </w:r>
      <w:r>
        <w:rPr>
          <w:rFonts w:hint="eastAsia" w:ascii="仿宋_GB2312" w:hAnsi="仿宋_GB2312" w:eastAsia="仿宋_GB2312" w:cs="仿宋_GB2312"/>
          <w:b/>
          <w:i w:val="0"/>
          <w:caps w:val="0"/>
          <w:color w:val="333333"/>
          <w:spacing w:val="0"/>
          <w:kern w:val="0"/>
          <w:sz w:val="32"/>
          <w:szCs w:val="32"/>
          <w:bdr w:val="none" w:color="auto" w:sz="0" w:space="0"/>
          <w:shd w:val="clear" w:fill="FFFFFF"/>
          <w:lang w:val="en-US" w:eastAsia="zh-CN" w:bidi="ar"/>
        </w:rPr>
        <w:t>2022</w:t>
      </w:r>
      <w:r>
        <w:rPr>
          <w:rFonts w:hint="eastAsia" w:ascii="仿宋_GB2312" w:hAnsi="仿宋_GB2312" w:eastAsia="仿宋_GB2312" w:cs="仿宋_GB2312"/>
          <w:i w:val="0"/>
          <w:caps w:val="0"/>
          <w:color w:val="333333"/>
          <w:spacing w:val="0"/>
          <w:kern w:val="0"/>
          <w:sz w:val="32"/>
          <w:szCs w:val="32"/>
          <w:bdr w:val="none" w:color="auto" w:sz="0" w:space="0"/>
          <w:shd w:val="clear" w:fill="FFFFFF"/>
          <w:lang w:val="en-US" w:eastAsia="zh-CN" w:bidi="ar"/>
        </w:rPr>
        <w:t>年，市统计局在伊宁市人民政务网上主动公开信息105条。主动公开的政府信息包括：统计工作动态、统计数据、统计分析资料、统计公报、重点工作情况等</w:t>
      </w:r>
      <w:r>
        <w:rPr>
          <w:rFonts w:hint="eastAsia" w:ascii="仿宋_GB2312" w:hAnsi="仿宋_GB2312" w:eastAsia="仿宋_GB2312" w:cs="仿宋_GB2312"/>
          <w:b/>
          <w:i w:val="0"/>
          <w:caps w:val="0"/>
          <w:color w:val="333333"/>
          <w:spacing w:val="0"/>
          <w:kern w:val="0"/>
          <w:sz w:val="32"/>
          <w:szCs w:val="32"/>
          <w:bdr w:val="none" w:color="auto" w:sz="0" w:space="0"/>
          <w:shd w:val="clear" w:fill="FFFFFF"/>
          <w:lang w:val="en-US" w:eastAsia="zh-CN" w:bidi="ar"/>
        </w:rPr>
        <w:t>5</w:t>
      </w:r>
      <w:r>
        <w:rPr>
          <w:rFonts w:hint="eastAsia" w:ascii="仿宋_GB2312" w:hAnsi="仿宋_GB2312" w:eastAsia="仿宋_GB2312" w:cs="仿宋_GB2312"/>
          <w:i w:val="0"/>
          <w:caps w:val="0"/>
          <w:color w:val="333333"/>
          <w:spacing w:val="0"/>
          <w:kern w:val="0"/>
          <w:sz w:val="32"/>
          <w:szCs w:val="32"/>
          <w:bdr w:val="none" w:color="auto" w:sz="0" w:space="0"/>
          <w:shd w:val="clear" w:fill="FFFFFF"/>
          <w:lang w:val="en-US" w:eastAsia="zh-CN" w:bidi="ar"/>
        </w:rPr>
        <w:t>大类政府信息。</w:t>
      </w:r>
      <w:r>
        <w:rPr>
          <w:rFonts w:hint="eastAsia" w:ascii="仿宋_GB2312" w:hAnsi="仿宋_GB2312" w:eastAsia="仿宋_GB2312" w:cs="仿宋_GB2312"/>
          <w:b/>
          <w:i w:val="0"/>
          <w:caps w:val="0"/>
          <w:color w:val="333333"/>
          <w:spacing w:val="0"/>
          <w:kern w:val="0"/>
          <w:sz w:val="32"/>
          <w:szCs w:val="32"/>
          <w:bdr w:val="none" w:color="auto" w:sz="0" w:space="0"/>
          <w:shd w:val="clear" w:fill="FFFFFF"/>
          <w:lang w:val="en-US" w:eastAsia="zh-CN" w:bidi="ar"/>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lang w:val="en-US" w:eastAsia="zh-CN"/>
        </w:rPr>
        <w:t>2、</w:t>
      </w:r>
      <w:r>
        <w:rPr>
          <w:rFonts w:hint="eastAsia" w:ascii="仿宋_GB2312" w:hAnsi="仿宋_GB2312" w:eastAsia="仿宋_GB2312" w:cs="仿宋_GB2312"/>
          <w:i w:val="0"/>
          <w:caps w:val="0"/>
          <w:color w:val="333333"/>
          <w:spacing w:val="0"/>
          <w:sz w:val="32"/>
          <w:szCs w:val="32"/>
          <w:bdr w:val="none" w:color="auto" w:sz="0" w:space="0"/>
          <w:shd w:val="clear" w:fill="FFFFFF"/>
        </w:rPr>
        <w:t>主动公开形式。按照市政府信息公开工作要求，市统计局以网站信息发布平台为主动公开的基础，多措并举地开展政府信息公开工作。</w:t>
      </w:r>
      <w:bookmarkEnd w:id="0"/>
      <w:r>
        <w:rPr>
          <w:rFonts w:hint="eastAsia" w:ascii="仿宋_GB2312" w:hAnsi="仿宋_GB2312" w:eastAsia="仿宋_GB2312" w:cs="仿宋_GB2312"/>
          <w:b/>
          <w:i w:val="0"/>
          <w:caps w:val="0"/>
          <w:color w:val="333333"/>
          <w:spacing w:val="0"/>
          <w:sz w:val="32"/>
          <w:szCs w:val="32"/>
          <w:bdr w:val="none" w:color="auto" w:sz="0" w:space="0"/>
          <w:shd w:val="clear" w:fill="FFFFFF"/>
          <w:lang w:val="en-US"/>
        </w:rPr>
        <w:t> </w:t>
      </w:r>
    </w:p>
    <w:p>
      <w:pPr>
        <w:spacing w:line="560" w:lineRule="exact"/>
        <w:ind w:firstLine="640" w:firstLineChars="200"/>
        <w:jc w:val="left"/>
        <w:rPr>
          <w:rFonts w:ascii="黑体" w:hAnsi="黑体" w:eastAsia="黑体" w:cs="宋体"/>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r>
        <w:rPr>
          <w:rFonts w:hint="eastAsia" w:ascii="黑体" w:hAnsi="黑体" w:eastAsia="黑体" w:cs="宋体"/>
          <w:sz w:val="32"/>
          <w:szCs w:val="32"/>
        </w:rPr>
        <w:t>二、主动公开政府信息情况</w:t>
      </w:r>
    </w:p>
    <w:tbl>
      <w:tblPr>
        <w:tblStyle w:val="5"/>
        <w:tblW w:w="8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2185"/>
        <w:gridCol w:w="1559"/>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rPr>
              <w:t>信息内容</w:t>
            </w:r>
          </w:p>
        </w:tc>
        <w:tc>
          <w:tcPr>
            <w:tcW w:w="2185" w:type="dxa"/>
            <w:shd w:val="clear" w:color="auto" w:fill="auto"/>
          </w:tcPr>
          <w:p>
            <w:pPr>
              <w:widowControl/>
              <w:spacing w:after="144" w:line="300" w:lineRule="exact"/>
              <w:jc w:val="center"/>
              <w:rPr>
                <w:sz w:val="24"/>
              </w:rPr>
            </w:pPr>
            <w:r>
              <w:rPr>
                <w:rFonts w:hint="eastAsia" w:ascii="宋体" w:hAnsi="宋体" w:cs="宋体"/>
                <w:kern w:val="0"/>
                <w:sz w:val="24"/>
              </w:rPr>
              <w:t>本年新</w:t>
            </w:r>
            <w:r>
              <w:rPr>
                <w:rFonts w:hint="eastAsia" w:ascii="宋体" w:hAnsi="宋体" w:cs="宋体"/>
                <w:kern w:val="0"/>
                <w:sz w:val="24"/>
              </w:rPr>
              <w:br w:type="textWrapping"/>
            </w:r>
            <w:r>
              <w:rPr>
                <w:kern w:val="0"/>
                <w:sz w:val="24"/>
              </w:rPr>
              <w:t>制</w:t>
            </w:r>
            <w:r>
              <w:rPr>
                <w:rFonts w:hint="eastAsia"/>
                <w:kern w:val="0"/>
                <w:sz w:val="24"/>
                <w:lang w:val="en-US" w:eastAsia="zh-CN"/>
              </w:rPr>
              <w:t>发</w:t>
            </w:r>
            <w:r>
              <w:rPr>
                <w:kern w:val="0"/>
                <w:sz w:val="24"/>
              </w:rPr>
              <w:t>数量</w:t>
            </w:r>
          </w:p>
        </w:tc>
        <w:tc>
          <w:tcPr>
            <w:tcW w:w="1559" w:type="dxa"/>
            <w:shd w:val="clear" w:color="auto" w:fill="auto"/>
          </w:tcPr>
          <w:p>
            <w:pPr>
              <w:widowControl/>
              <w:spacing w:after="144" w:line="300" w:lineRule="exact"/>
              <w:jc w:val="center"/>
              <w:rPr>
                <w:rFonts w:hint="eastAsia" w:eastAsia="宋体"/>
                <w:sz w:val="24"/>
                <w:lang w:val="en-US" w:eastAsia="zh-CN"/>
              </w:rPr>
            </w:pPr>
            <w:r>
              <w:rPr>
                <w:rFonts w:hint="eastAsia" w:ascii="宋体" w:hAnsi="宋体" w:cs="宋体"/>
                <w:kern w:val="0"/>
                <w:sz w:val="24"/>
              </w:rPr>
              <w:t>本年</w:t>
            </w:r>
            <w:r>
              <w:rPr>
                <w:rFonts w:hint="eastAsia" w:ascii="宋体" w:hAnsi="宋体" w:cs="宋体"/>
                <w:kern w:val="0"/>
                <w:sz w:val="24"/>
                <w:lang w:val="en-US" w:eastAsia="zh-CN"/>
              </w:rPr>
              <w:t>废止件数</w:t>
            </w:r>
          </w:p>
        </w:tc>
        <w:tc>
          <w:tcPr>
            <w:tcW w:w="1688" w:type="dxa"/>
            <w:shd w:val="clear" w:color="auto" w:fill="auto"/>
          </w:tcPr>
          <w:p>
            <w:pPr>
              <w:widowControl/>
              <w:spacing w:after="144" w:line="300" w:lineRule="exact"/>
              <w:jc w:val="center"/>
              <w:rPr>
                <w:rFonts w:hint="eastAsia" w:eastAsia="宋体"/>
                <w:sz w:val="24"/>
                <w:lang w:val="en-US" w:eastAsia="zh-CN"/>
              </w:rPr>
            </w:pPr>
            <w:r>
              <w:rPr>
                <w:rFonts w:hint="eastAsia" w:ascii="宋体" w:hAnsi="宋体" w:cs="宋体"/>
                <w:kern w:val="0"/>
                <w:sz w:val="24"/>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规章</w:t>
            </w:r>
          </w:p>
        </w:tc>
        <w:tc>
          <w:tcPr>
            <w:tcW w:w="2185"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559"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688"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规范性文件</w:t>
            </w:r>
          </w:p>
        </w:tc>
        <w:tc>
          <w:tcPr>
            <w:tcW w:w="2185"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559"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688"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rPr>
              <w:t>信息内容</w:t>
            </w:r>
          </w:p>
        </w:tc>
        <w:tc>
          <w:tcPr>
            <w:tcW w:w="5432" w:type="dxa"/>
            <w:gridSpan w:val="3"/>
            <w:shd w:val="clear" w:color="auto" w:fill="auto"/>
          </w:tcPr>
          <w:p>
            <w:pPr>
              <w:widowControl/>
              <w:spacing w:after="144" w:line="300" w:lineRule="exact"/>
              <w:jc w:val="center"/>
              <w:rPr>
                <w:sz w:val="24"/>
              </w:rPr>
            </w:pPr>
            <w:r>
              <w:rPr>
                <w:rFonts w:hint="eastAsia" w:ascii="宋体" w:hAnsi="宋体" w:cs="宋体"/>
                <w:kern w:val="0"/>
                <w:sz w:val="24"/>
                <w:lang w:val="en-US" w:eastAsia="zh-CN"/>
              </w:rPr>
              <w:t>本年</w:t>
            </w:r>
            <w:r>
              <w:rPr>
                <w:rFonts w:hint="eastAsia" w:ascii="宋体" w:hAnsi="宋体" w:cs="宋体"/>
                <w:kern w:val="0"/>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行政许可</w:t>
            </w:r>
          </w:p>
        </w:tc>
        <w:tc>
          <w:tcPr>
            <w:tcW w:w="5432" w:type="dxa"/>
            <w:gridSpan w:val="3"/>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rPr>
              <w:t>信息内容</w:t>
            </w:r>
          </w:p>
        </w:tc>
        <w:tc>
          <w:tcPr>
            <w:tcW w:w="5432" w:type="dxa"/>
            <w:gridSpan w:val="3"/>
            <w:shd w:val="clear" w:color="auto" w:fill="auto"/>
          </w:tcPr>
          <w:p>
            <w:pPr>
              <w:widowControl/>
              <w:spacing w:after="144" w:line="300" w:lineRule="exact"/>
              <w:jc w:val="center"/>
              <w:rPr>
                <w:sz w:val="24"/>
              </w:rPr>
            </w:pPr>
            <w:r>
              <w:rPr>
                <w:rFonts w:hint="eastAsia" w:ascii="宋体" w:hAnsi="宋体" w:cs="宋体"/>
                <w:kern w:val="0"/>
                <w:sz w:val="24"/>
                <w:lang w:val="en-US" w:eastAsia="zh-CN"/>
              </w:rPr>
              <w:t>本年</w:t>
            </w:r>
            <w:r>
              <w:rPr>
                <w:rFonts w:hint="eastAsia" w:ascii="宋体" w:hAnsi="宋体" w:cs="宋体"/>
                <w:kern w:val="0"/>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行政处罚</w:t>
            </w:r>
          </w:p>
        </w:tc>
        <w:tc>
          <w:tcPr>
            <w:tcW w:w="5432" w:type="dxa"/>
            <w:gridSpan w:val="3"/>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行政强制</w:t>
            </w:r>
          </w:p>
        </w:tc>
        <w:tc>
          <w:tcPr>
            <w:tcW w:w="5432" w:type="dxa"/>
            <w:gridSpan w:val="3"/>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4"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rPr>
              <w:t>信息内容</w:t>
            </w:r>
          </w:p>
        </w:tc>
        <w:tc>
          <w:tcPr>
            <w:tcW w:w="5432" w:type="dxa"/>
            <w:gridSpan w:val="3"/>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行政事业性收费</w:t>
            </w:r>
          </w:p>
        </w:tc>
        <w:tc>
          <w:tcPr>
            <w:tcW w:w="5432" w:type="dxa"/>
            <w:gridSpan w:val="3"/>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bl>
    <w:p>
      <w:pPr>
        <w:pStyle w:val="4"/>
        <w:widowControl/>
        <w:spacing w:before="0" w:beforeAutospacing="0" w:after="0" w:afterAutospacing="0" w:line="560" w:lineRule="exact"/>
        <w:ind w:firstLine="640" w:firstLineChars="200"/>
        <w:jc w:val="both"/>
        <w:rPr>
          <w:rFonts w:ascii="黑体" w:hAnsi="黑体" w:eastAsia="黑体" w:cs="宋体"/>
          <w:sz w:val="32"/>
          <w:szCs w:val="30"/>
        </w:rPr>
      </w:pPr>
      <w:r>
        <w:rPr>
          <w:rFonts w:hint="eastAsia" w:ascii="黑体" w:hAnsi="黑体" w:eastAsia="黑体" w:cs="宋体"/>
          <w:sz w:val="32"/>
          <w:szCs w:val="30"/>
        </w:rPr>
        <w:t>三、收到和处理政府信息公开申请情况</w:t>
      </w:r>
    </w:p>
    <w:tbl>
      <w:tblPr>
        <w:tblStyle w:val="5"/>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936"/>
        <w:gridCol w:w="3377"/>
        <w:gridCol w:w="456"/>
        <w:gridCol w:w="707"/>
        <w:gridCol w:w="707"/>
        <w:gridCol w:w="706"/>
        <w:gridCol w:w="707"/>
        <w:gridCol w:w="465"/>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 w:hRule="atLeast"/>
          <w:jc w:val="center"/>
        </w:trPr>
        <w:tc>
          <w:tcPr>
            <w:tcW w:w="5010" w:type="dxa"/>
            <w:gridSpan w:val="3"/>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（本列数据的勾稽关系为：第一项加第二项之和，等于第三项加第四项之和）</w:t>
            </w:r>
          </w:p>
        </w:tc>
        <w:tc>
          <w:tcPr>
            <w:tcW w:w="4204" w:type="dxa"/>
            <w:gridSpan w:val="7"/>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vMerge w:val="continue"/>
            <w:tcMar>
              <w:left w:w="108" w:type="dxa"/>
              <w:right w:w="108" w:type="dxa"/>
            </w:tcMar>
            <w:vAlign w:val="center"/>
          </w:tcPr>
          <w:p>
            <w:pPr>
              <w:spacing w:line="260" w:lineRule="exact"/>
              <w:rPr>
                <w:rFonts w:ascii="宋体"/>
                <w:sz w:val="24"/>
              </w:rPr>
            </w:pPr>
          </w:p>
        </w:tc>
        <w:tc>
          <w:tcPr>
            <w:tcW w:w="456"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自然人</w:t>
            </w:r>
          </w:p>
        </w:tc>
        <w:tc>
          <w:tcPr>
            <w:tcW w:w="3292" w:type="dxa"/>
            <w:gridSpan w:val="5"/>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法人或其他组织</w:t>
            </w:r>
          </w:p>
        </w:tc>
        <w:tc>
          <w:tcPr>
            <w:tcW w:w="456"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jc w:val="center"/>
        </w:trPr>
        <w:tc>
          <w:tcPr>
            <w:tcW w:w="5010" w:type="dxa"/>
            <w:gridSpan w:val="3"/>
            <w:vMerge w:val="continue"/>
            <w:tcMar>
              <w:left w:w="108" w:type="dxa"/>
              <w:right w:w="108" w:type="dxa"/>
            </w:tcMar>
            <w:vAlign w:val="center"/>
          </w:tcPr>
          <w:p>
            <w:pPr>
              <w:spacing w:line="260" w:lineRule="exact"/>
              <w:rPr>
                <w:rFonts w:ascii="宋体"/>
                <w:sz w:val="24"/>
              </w:rPr>
            </w:pPr>
          </w:p>
        </w:tc>
        <w:tc>
          <w:tcPr>
            <w:tcW w:w="456" w:type="dxa"/>
            <w:vMerge w:val="continue"/>
            <w:tcMar>
              <w:left w:w="108" w:type="dxa"/>
              <w:right w:w="108" w:type="dxa"/>
            </w:tcMar>
            <w:vAlign w:val="center"/>
          </w:tcPr>
          <w:p>
            <w:pPr>
              <w:spacing w:line="260" w:lineRule="exact"/>
              <w:rPr>
                <w:rFonts w:ascii="宋体"/>
                <w:sz w:val="24"/>
              </w:rPr>
            </w:pP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商业企业</w:t>
            </w: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科研机构</w:t>
            </w:r>
          </w:p>
        </w:tc>
        <w:tc>
          <w:tcPr>
            <w:tcW w:w="706"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社会公益组织</w:t>
            </w: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法律服务机构</w:t>
            </w:r>
          </w:p>
        </w:tc>
        <w:tc>
          <w:tcPr>
            <w:tcW w:w="465"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其他</w:t>
            </w:r>
          </w:p>
        </w:tc>
        <w:tc>
          <w:tcPr>
            <w:tcW w:w="456" w:type="dxa"/>
            <w:vMerge w:val="continue"/>
            <w:tcMar>
              <w:left w:w="108" w:type="dxa"/>
              <w:right w:w="108" w:type="dxa"/>
            </w:tcMar>
            <w:vAlign w:val="center"/>
          </w:tcPr>
          <w:p>
            <w:pPr>
              <w:spacing w:line="26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2" w:hRule="atLeast"/>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rPr>
              <w:t>一、本年新收政府信息公开申请数量</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rPr>
              <w:t>二、上年结转政府信息公开申请数量</w:t>
            </w:r>
          </w:p>
        </w:tc>
        <w:tc>
          <w:tcPr>
            <w:tcW w:w="456" w:type="dxa"/>
            <w:tcMar>
              <w:left w:w="108" w:type="dxa"/>
              <w:right w:w="108" w:type="dxa"/>
            </w:tcMar>
            <w:vAlign w:val="center"/>
          </w:tcPr>
          <w:p>
            <w:pPr>
              <w:widowControl/>
              <w:spacing w:after="144" w:line="260" w:lineRule="exact"/>
              <w:jc w:val="center"/>
              <w:rPr>
                <w:sz w:val="24"/>
              </w:rPr>
            </w:pP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 w:hRule="atLeast"/>
          <w:jc w:val="center"/>
        </w:trPr>
        <w:tc>
          <w:tcPr>
            <w:tcW w:w="697"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三、本年度办理结果</w:t>
            </w:r>
          </w:p>
        </w:tc>
        <w:tc>
          <w:tcPr>
            <w:tcW w:w="4313" w:type="dxa"/>
            <w:gridSpan w:val="2"/>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（一）予以公开</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4313" w:type="dxa"/>
            <w:gridSpan w:val="2"/>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（二）部分公开（区分处理的，只计这一情形，不计其他情形）</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（三）不予公开</w:t>
            </w: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1.属于国家秘密</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2.其他法律行政法规禁止公开</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3.危及“三安全一稳定”</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4.保护第三方合法权益</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5.属于三类内部事务信息</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6.属于四类过程性信息</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7.属于行政执法案卷</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8.属于行政查询事项</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7"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（四）无法提供</w:t>
            </w: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1.本机关不掌握相关政府信息</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eastAsia="zh-CN"/>
              </w:rPr>
            </w:pP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2.没有现成信息需要另行制作</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3.补正后申请内容仍不明确</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（五）不予处理</w:t>
            </w: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1.信访举报投诉类申请</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2.重复申请</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3.要求提供公开出版物</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4.无正当理由大量反复申请</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5.要求行政机关确认或重新出具已获取信息</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cs="Calibri"/>
                <w:kern w:val="0"/>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rFonts w:hint="eastAsia" w:ascii="宋体" w:hAnsi="宋体" w:cs="宋体"/>
                <w:kern w:val="0"/>
                <w:sz w:val="24"/>
                <w:lang w:val="en-US" w:eastAsia="zh-CN"/>
              </w:rPr>
            </w:pPr>
            <w:r>
              <w:rPr>
                <w:rFonts w:hint="eastAsia" w:ascii="宋体" w:hAnsi="宋体" w:cs="宋体"/>
                <w:kern w:val="0"/>
                <w:sz w:val="24"/>
              </w:rPr>
              <w:t>（</w:t>
            </w:r>
            <w:r>
              <w:rPr>
                <w:rFonts w:hint="eastAsia" w:ascii="宋体" w:hAnsi="宋体" w:cs="宋体"/>
                <w:kern w:val="0"/>
                <w:sz w:val="24"/>
                <w:lang w:val="en-US" w:eastAsia="zh-CN"/>
              </w:rPr>
              <w:t>六</w:t>
            </w:r>
            <w:r>
              <w:rPr>
                <w:rFonts w:hint="eastAsia" w:ascii="宋体" w:hAnsi="宋体" w:cs="宋体"/>
                <w:kern w:val="0"/>
                <w:sz w:val="24"/>
              </w:rPr>
              <w:t>）</w:t>
            </w:r>
            <w:r>
              <w:rPr>
                <w:rFonts w:hint="eastAsia" w:ascii="宋体" w:hAnsi="宋体" w:cs="宋体"/>
                <w:kern w:val="0"/>
                <w:sz w:val="24"/>
                <w:lang w:val="en-US" w:eastAsia="zh-CN"/>
              </w:rPr>
              <w:t>其他处理</w:t>
            </w: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1.申请人无正当理由逾期不补正、行政机关不再处理其政府信息公开申请</w:t>
            </w:r>
          </w:p>
        </w:tc>
        <w:tc>
          <w:tcPr>
            <w:tcW w:w="456" w:type="dxa"/>
            <w:tcMar>
              <w:left w:w="108" w:type="dxa"/>
              <w:right w:w="108" w:type="dxa"/>
            </w:tcMar>
            <w:vAlign w:val="center"/>
          </w:tcPr>
          <w:p>
            <w:pPr>
              <w:widowControl/>
              <w:spacing w:after="144" w:line="260" w:lineRule="exact"/>
              <w:jc w:val="center"/>
              <w:rPr>
                <w:rFonts w:cs="Calibri"/>
                <w:kern w:val="0"/>
                <w:sz w:val="24"/>
              </w:rPr>
            </w:pPr>
          </w:p>
        </w:tc>
        <w:tc>
          <w:tcPr>
            <w:tcW w:w="707" w:type="dxa"/>
            <w:tcMar>
              <w:left w:w="108" w:type="dxa"/>
              <w:right w:w="108" w:type="dxa"/>
            </w:tcMar>
            <w:vAlign w:val="center"/>
          </w:tcPr>
          <w:p>
            <w:pPr>
              <w:widowControl/>
              <w:spacing w:after="144" w:line="260" w:lineRule="exact"/>
              <w:jc w:val="center"/>
              <w:rPr>
                <w:rFonts w:cs="Calibri"/>
                <w:kern w:val="0"/>
                <w:sz w:val="24"/>
              </w:rPr>
            </w:pPr>
          </w:p>
        </w:tc>
        <w:tc>
          <w:tcPr>
            <w:tcW w:w="707" w:type="dxa"/>
            <w:tcMar>
              <w:left w:w="108" w:type="dxa"/>
              <w:right w:w="108" w:type="dxa"/>
            </w:tcMar>
            <w:vAlign w:val="center"/>
          </w:tcPr>
          <w:p>
            <w:pPr>
              <w:widowControl/>
              <w:spacing w:after="144" w:line="260" w:lineRule="exact"/>
              <w:jc w:val="center"/>
              <w:rPr>
                <w:rFonts w:cs="Calibri"/>
                <w:kern w:val="0"/>
                <w:sz w:val="24"/>
              </w:rPr>
            </w:pPr>
          </w:p>
        </w:tc>
        <w:tc>
          <w:tcPr>
            <w:tcW w:w="706" w:type="dxa"/>
            <w:tcMar>
              <w:left w:w="108" w:type="dxa"/>
              <w:right w:w="108" w:type="dxa"/>
            </w:tcMar>
            <w:vAlign w:val="center"/>
          </w:tcPr>
          <w:p>
            <w:pPr>
              <w:widowControl/>
              <w:spacing w:after="144" w:line="260" w:lineRule="exact"/>
              <w:jc w:val="center"/>
              <w:rPr>
                <w:rFonts w:cs="Calibri"/>
                <w:kern w:val="0"/>
                <w:sz w:val="24"/>
              </w:rPr>
            </w:pPr>
          </w:p>
        </w:tc>
        <w:tc>
          <w:tcPr>
            <w:tcW w:w="707" w:type="dxa"/>
            <w:tcMar>
              <w:left w:w="108" w:type="dxa"/>
              <w:right w:w="108" w:type="dxa"/>
            </w:tcMar>
            <w:vAlign w:val="center"/>
          </w:tcPr>
          <w:p>
            <w:pPr>
              <w:widowControl/>
              <w:spacing w:after="144" w:line="260" w:lineRule="exact"/>
              <w:jc w:val="center"/>
              <w:rPr>
                <w:rFonts w:cs="Calibri"/>
                <w:kern w:val="0"/>
                <w:sz w:val="24"/>
              </w:rPr>
            </w:pPr>
          </w:p>
        </w:tc>
        <w:tc>
          <w:tcPr>
            <w:tcW w:w="465" w:type="dxa"/>
            <w:tcMar>
              <w:left w:w="108" w:type="dxa"/>
              <w:right w:w="108" w:type="dxa"/>
            </w:tcMar>
            <w:vAlign w:val="center"/>
          </w:tcPr>
          <w:p>
            <w:pPr>
              <w:widowControl/>
              <w:spacing w:after="144" w:line="260" w:lineRule="exact"/>
              <w:jc w:val="center"/>
              <w:rPr>
                <w:rFonts w:cs="Calibri"/>
                <w:kern w:val="0"/>
                <w:sz w:val="24"/>
              </w:rPr>
            </w:pPr>
          </w:p>
        </w:tc>
        <w:tc>
          <w:tcPr>
            <w:tcW w:w="45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2.申请人逾期未按收费通知要求缴纳费用、行政机关不再处理其政府信息公开申请</w:t>
            </w:r>
          </w:p>
        </w:tc>
        <w:tc>
          <w:tcPr>
            <w:tcW w:w="456" w:type="dxa"/>
            <w:tcMar>
              <w:left w:w="108" w:type="dxa"/>
              <w:right w:w="108" w:type="dxa"/>
            </w:tcMar>
            <w:vAlign w:val="center"/>
          </w:tcPr>
          <w:p>
            <w:pPr>
              <w:widowControl/>
              <w:spacing w:after="144" w:line="260" w:lineRule="exact"/>
              <w:jc w:val="center"/>
              <w:rPr>
                <w:rFonts w:cs="Calibri"/>
                <w:kern w:val="0"/>
                <w:sz w:val="24"/>
              </w:rPr>
            </w:pPr>
          </w:p>
        </w:tc>
        <w:tc>
          <w:tcPr>
            <w:tcW w:w="707" w:type="dxa"/>
            <w:tcMar>
              <w:left w:w="108" w:type="dxa"/>
              <w:right w:w="108" w:type="dxa"/>
            </w:tcMar>
            <w:vAlign w:val="center"/>
          </w:tcPr>
          <w:p>
            <w:pPr>
              <w:widowControl/>
              <w:spacing w:after="144" w:line="260" w:lineRule="exact"/>
              <w:jc w:val="center"/>
              <w:rPr>
                <w:rFonts w:cs="Calibri"/>
                <w:kern w:val="0"/>
                <w:sz w:val="24"/>
              </w:rPr>
            </w:pPr>
          </w:p>
        </w:tc>
        <w:tc>
          <w:tcPr>
            <w:tcW w:w="707" w:type="dxa"/>
            <w:tcMar>
              <w:left w:w="108" w:type="dxa"/>
              <w:right w:w="108" w:type="dxa"/>
            </w:tcMar>
            <w:vAlign w:val="center"/>
          </w:tcPr>
          <w:p>
            <w:pPr>
              <w:widowControl/>
              <w:spacing w:after="144" w:line="260" w:lineRule="exact"/>
              <w:jc w:val="center"/>
              <w:rPr>
                <w:rFonts w:cs="Calibri"/>
                <w:kern w:val="0"/>
                <w:sz w:val="24"/>
              </w:rPr>
            </w:pPr>
          </w:p>
        </w:tc>
        <w:tc>
          <w:tcPr>
            <w:tcW w:w="706" w:type="dxa"/>
            <w:tcMar>
              <w:left w:w="108" w:type="dxa"/>
              <w:right w:w="108" w:type="dxa"/>
            </w:tcMar>
            <w:vAlign w:val="center"/>
          </w:tcPr>
          <w:p>
            <w:pPr>
              <w:widowControl/>
              <w:spacing w:after="144" w:line="260" w:lineRule="exact"/>
              <w:jc w:val="center"/>
              <w:rPr>
                <w:rFonts w:cs="Calibri"/>
                <w:kern w:val="0"/>
                <w:sz w:val="24"/>
              </w:rPr>
            </w:pPr>
          </w:p>
        </w:tc>
        <w:tc>
          <w:tcPr>
            <w:tcW w:w="707" w:type="dxa"/>
            <w:tcMar>
              <w:left w:w="108" w:type="dxa"/>
              <w:right w:w="108" w:type="dxa"/>
            </w:tcMar>
            <w:vAlign w:val="center"/>
          </w:tcPr>
          <w:p>
            <w:pPr>
              <w:widowControl/>
              <w:spacing w:after="144" w:line="260" w:lineRule="exact"/>
              <w:jc w:val="center"/>
              <w:rPr>
                <w:rFonts w:cs="Calibri"/>
                <w:kern w:val="0"/>
                <w:sz w:val="24"/>
              </w:rPr>
            </w:pPr>
          </w:p>
        </w:tc>
        <w:tc>
          <w:tcPr>
            <w:tcW w:w="465" w:type="dxa"/>
            <w:tcMar>
              <w:left w:w="108" w:type="dxa"/>
              <w:right w:w="108" w:type="dxa"/>
            </w:tcMar>
            <w:vAlign w:val="center"/>
          </w:tcPr>
          <w:p>
            <w:pPr>
              <w:widowControl/>
              <w:spacing w:after="144" w:line="260" w:lineRule="exact"/>
              <w:jc w:val="center"/>
              <w:rPr>
                <w:rFonts w:cs="Calibri"/>
                <w:kern w:val="0"/>
                <w:sz w:val="24"/>
              </w:rPr>
            </w:pPr>
          </w:p>
        </w:tc>
        <w:tc>
          <w:tcPr>
            <w:tcW w:w="45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3.其他</w:t>
            </w:r>
          </w:p>
        </w:tc>
        <w:tc>
          <w:tcPr>
            <w:tcW w:w="456" w:type="dxa"/>
            <w:tcMar>
              <w:left w:w="108" w:type="dxa"/>
              <w:right w:w="108" w:type="dxa"/>
            </w:tcMar>
            <w:vAlign w:val="center"/>
          </w:tcPr>
          <w:p>
            <w:pPr>
              <w:widowControl/>
              <w:spacing w:after="144" w:line="260" w:lineRule="exact"/>
              <w:jc w:val="center"/>
              <w:rPr>
                <w:rFonts w:cs="Calibri"/>
                <w:kern w:val="0"/>
                <w:sz w:val="24"/>
              </w:rPr>
            </w:pPr>
          </w:p>
        </w:tc>
        <w:tc>
          <w:tcPr>
            <w:tcW w:w="707" w:type="dxa"/>
            <w:tcMar>
              <w:left w:w="108" w:type="dxa"/>
              <w:right w:w="108" w:type="dxa"/>
            </w:tcMar>
            <w:vAlign w:val="center"/>
          </w:tcPr>
          <w:p>
            <w:pPr>
              <w:widowControl/>
              <w:spacing w:after="144" w:line="260" w:lineRule="exact"/>
              <w:jc w:val="center"/>
              <w:rPr>
                <w:rFonts w:cs="Calibri"/>
                <w:kern w:val="0"/>
                <w:sz w:val="24"/>
              </w:rPr>
            </w:pPr>
          </w:p>
        </w:tc>
        <w:tc>
          <w:tcPr>
            <w:tcW w:w="707" w:type="dxa"/>
            <w:tcMar>
              <w:left w:w="108" w:type="dxa"/>
              <w:right w:w="108" w:type="dxa"/>
            </w:tcMar>
            <w:vAlign w:val="center"/>
          </w:tcPr>
          <w:p>
            <w:pPr>
              <w:widowControl/>
              <w:spacing w:after="144" w:line="260" w:lineRule="exact"/>
              <w:jc w:val="center"/>
              <w:rPr>
                <w:rFonts w:cs="Calibri"/>
                <w:kern w:val="0"/>
                <w:sz w:val="24"/>
              </w:rPr>
            </w:pPr>
          </w:p>
        </w:tc>
        <w:tc>
          <w:tcPr>
            <w:tcW w:w="706" w:type="dxa"/>
            <w:tcMar>
              <w:left w:w="108" w:type="dxa"/>
              <w:right w:w="108" w:type="dxa"/>
            </w:tcMar>
            <w:vAlign w:val="center"/>
          </w:tcPr>
          <w:p>
            <w:pPr>
              <w:widowControl/>
              <w:spacing w:after="144" w:line="260" w:lineRule="exact"/>
              <w:jc w:val="center"/>
              <w:rPr>
                <w:rFonts w:cs="Calibri"/>
                <w:kern w:val="0"/>
                <w:sz w:val="24"/>
              </w:rPr>
            </w:pPr>
          </w:p>
        </w:tc>
        <w:tc>
          <w:tcPr>
            <w:tcW w:w="707" w:type="dxa"/>
            <w:tcMar>
              <w:left w:w="108" w:type="dxa"/>
              <w:right w:w="108" w:type="dxa"/>
            </w:tcMar>
            <w:vAlign w:val="center"/>
          </w:tcPr>
          <w:p>
            <w:pPr>
              <w:widowControl/>
              <w:spacing w:after="144" w:line="260" w:lineRule="exact"/>
              <w:jc w:val="center"/>
              <w:rPr>
                <w:rFonts w:cs="Calibri"/>
                <w:kern w:val="0"/>
                <w:sz w:val="24"/>
              </w:rPr>
            </w:pPr>
          </w:p>
        </w:tc>
        <w:tc>
          <w:tcPr>
            <w:tcW w:w="465" w:type="dxa"/>
            <w:tcMar>
              <w:left w:w="108" w:type="dxa"/>
              <w:right w:w="108" w:type="dxa"/>
            </w:tcMar>
            <w:vAlign w:val="center"/>
          </w:tcPr>
          <w:p>
            <w:pPr>
              <w:widowControl/>
              <w:spacing w:after="144" w:line="260" w:lineRule="exact"/>
              <w:jc w:val="center"/>
              <w:rPr>
                <w:rFonts w:cs="Calibri"/>
                <w:kern w:val="0"/>
                <w:sz w:val="24"/>
              </w:rPr>
            </w:pPr>
          </w:p>
        </w:tc>
        <w:tc>
          <w:tcPr>
            <w:tcW w:w="456" w:type="dxa"/>
            <w:tcMar>
              <w:left w:w="108" w:type="dxa"/>
              <w:right w:w="108" w:type="dxa"/>
            </w:tcMar>
            <w:vAlign w:val="center"/>
          </w:tcPr>
          <w:p>
            <w:pPr>
              <w:widowControl/>
              <w:spacing w:after="144" w:line="260" w:lineRule="exact"/>
              <w:jc w:val="center"/>
              <w:rPr>
                <w:rFonts w:cs="Calibr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4313" w:type="dxa"/>
            <w:gridSpan w:val="2"/>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（七）总计</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rPr>
              <w:t>四、结转下年度继续办理</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widowControl/>
              <w:spacing w:after="144" w:line="260" w:lineRule="exact"/>
              <w:jc w:val="center"/>
              <w:rPr>
                <w:rFonts w:hint="eastAsia" w:eastAsia="宋体"/>
                <w:sz w:val="24"/>
                <w:lang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eastAsia="zh-CN"/>
              </w:rPr>
            </w:pP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eastAsia="zh-CN"/>
              </w:rPr>
            </w:pP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eastAsia="zh-CN"/>
              </w:rPr>
            </w:pPr>
            <w:r>
              <w:rPr>
                <w:rFonts w:hint="eastAsia" w:cs="Calibri"/>
                <w:kern w:val="0"/>
                <w:sz w:val="24"/>
                <w:lang w:val="en-US" w:eastAsia="zh-CN"/>
              </w:rPr>
              <w:t>0</w:t>
            </w:r>
          </w:p>
        </w:tc>
        <w:tc>
          <w:tcPr>
            <w:tcW w:w="456" w:type="dxa"/>
            <w:tcMar>
              <w:left w:w="108" w:type="dxa"/>
              <w:right w:w="108" w:type="dxa"/>
            </w:tcMar>
            <w:vAlign w:val="center"/>
          </w:tcPr>
          <w:p>
            <w:pPr>
              <w:spacing w:line="260" w:lineRule="exact"/>
              <w:rPr>
                <w:rFonts w:hint="eastAsia" w:ascii="宋体" w:eastAsia="宋体"/>
                <w:sz w:val="24"/>
                <w:lang w:val="en-US" w:eastAsia="zh-CN"/>
              </w:rPr>
            </w:pPr>
            <w:r>
              <w:rPr>
                <w:rFonts w:hint="eastAsia" w:ascii="宋体"/>
                <w:sz w:val="24"/>
                <w:lang w:val="en-US" w:eastAsia="zh-CN"/>
              </w:rPr>
              <w:t>0</w:t>
            </w:r>
          </w:p>
        </w:tc>
      </w:tr>
    </w:tbl>
    <w:p>
      <w:pPr>
        <w:spacing w:line="560" w:lineRule="exact"/>
        <w:ind w:firstLine="636" w:firstLineChars="199"/>
        <w:rPr>
          <w:rFonts w:ascii="黑体" w:hAnsi="黑体" w:eastAsia="黑体" w:cs="宋体"/>
          <w:sz w:val="32"/>
          <w:szCs w:val="32"/>
        </w:rPr>
      </w:pPr>
      <w:r>
        <w:rPr>
          <w:rFonts w:hint="eastAsia" w:ascii="黑体" w:hAnsi="黑体" w:eastAsia="黑体" w:cs="宋体"/>
          <w:sz w:val="32"/>
          <w:szCs w:val="32"/>
        </w:rPr>
        <w:t>四、政府信息公开行政复议、行政诉讼情况</w:t>
      </w:r>
    </w:p>
    <w:tbl>
      <w:tblPr>
        <w:tblStyle w:val="5"/>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851"/>
        <w:gridCol w:w="836"/>
        <w:gridCol w:w="706"/>
        <w:gridCol w:w="456"/>
        <w:gridCol w:w="706"/>
        <w:gridCol w:w="706"/>
        <w:gridCol w:w="711"/>
        <w:gridCol w:w="789"/>
        <w:gridCol w:w="456"/>
        <w:gridCol w:w="456"/>
        <w:gridCol w:w="527"/>
        <w:gridCol w:w="456"/>
        <w:gridCol w:w="469"/>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695"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行政复议</w:t>
            </w:r>
          </w:p>
        </w:tc>
        <w:tc>
          <w:tcPr>
            <w:tcW w:w="5732" w:type="dxa"/>
            <w:gridSpan w:val="10"/>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851"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83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其他结果</w:t>
            </w:r>
          </w:p>
        </w:tc>
        <w:tc>
          <w:tcPr>
            <w:tcW w:w="70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c>
          <w:tcPr>
            <w:tcW w:w="3368"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未经复议直接起诉</w:t>
            </w:r>
          </w:p>
        </w:tc>
        <w:tc>
          <w:tcPr>
            <w:tcW w:w="2364"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vMerge w:val="continue"/>
            <w:tcBorders>
              <w:top w:val="nil"/>
            </w:tcBorders>
            <w:tcMar>
              <w:left w:w="108" w:type="dxa"/>
              <w:right w:w="108" w:type="dxa"/>
            </w:tcMar>
            <w:vAlign w:val="center"/>
          </w:tcPr>
          <w:p>
            <w:pPr>
              <w:widowControl/>
              <w:spacing w:after="144" w:line="260" w:lineRule="exact"/>
              <w:jc w:val="left"/>
              <w:rPr>
                <w:rFonts w:ascii="宋体" w:hAnsi="宋体" w:cs="宋体"/>
                <w:kern w:val="0"/>
                <w:sz w:val="24"/>
              </w:rPr>
            </w:pPr>
          </w:p>
        </w:tc>
        <w:tc>
          <w:tcPr>
            <w:tcW w:w="851"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83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70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45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70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70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711" w:type="dxa"/>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其他结果</w:t>
            </w:r>
          </w:p>
        </w:tc>
        <w:tc>
          <w:tcPr>
            <w:tcW w:w="789"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527"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其他结果</w:t>
            </w:r>
          </w:p>
        </w:tc>
        <w:tc>
          <w:tcPr>
            <w:tcW w:w="469"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851"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83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11"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89"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527"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69"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spacing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bl>
    <w:p>
      <w:pPr>
        <w:spacing w:line="560" w:lineRule="exact"/>
        <w:ind w:firstLine="636" w:firstLineChars="199"/>
        <w:rPr>
          <w:rFonts w:ascii="黑体" w:hAnsi="黑体" w:eastAsia="黑体" w:cs="宋体"/>
          <w:sz w:val="32"/>
          <w:szCs w:val="32"/>
        </w:rPr>
      </w:pPr>
      <w:r>
        <w:rPr>
          <w:rFonts w:hint="eastAsia" w:ascii="黑体" w:hAnsi="黑体" w:eastAsia="黑体" w:cs="宋体"/>
          <w:sz w:val="32"/>
          <w:szCs w:val="32"/>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kern w:val="0"/>
          <w:sz w:val="32"/>
          <w:szCs w:val="32"/>
          <w:bdr w:val="none" w:color="auto" w:sz="0" w:space="0"/>
          <w:shd w:val="clear" w:fill="FFFFFF"/>
          <w:lang w:val="en-US" w:eastAsia="zh-CN" w:bidi="ar"/>
        </w:rPr>
        <w:t>2022</w:t>
      </w:r>
      <w:r>
        <w:rPr>
          <w:rFonts w:hint="eastAsia" w:ascii="仿宋_GB2312" w:hAnsi="仿宋_GB2312" w:eastAsia="仿宋_GB2312" w:cs="仿宋_GB2312"/>
          <w:i w:val="0"/>
          <w:caps w:val="0"/>
          <w:color w:val="auto"/>
          <w:spacing w:val="0"/>
          <w:kern w:val="0"/>
          <w:sz w:val="32"/>
          <w:szCs w:val="32"/>
          <w:bdr w:val="none" w:color="auto" w:sz="0" w:space="0"/>
          <w:shd w:val="clear" w:fill="FFFFFF"/>
          <w:lang w:val="en-US" w:eastAsia="zh-CN" w:bidi="ar"/>
        </w:rPr>
        <w:t>年，我局政务公开工作虽然取得一定成效，但仍存在一些问题，主要表现在：一是对政务公开的认识还有待进一步加强，工作水平和能力还需要进一步提高。二是政务公开的时效性还有待提升。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bdr w:val="none" w:color="auto" w:sz="0" w:space="0"/>
          <w:shd w:val="clear" w:fill="FFFFFF"/>
          <w:lang w:val="en-US" w:eastAsia="zh-CN" w:bidi="ar"/>
        </w:rPr>
        <w:t>一是继续强化政务公开工作，进一步完善政务信息公开内容，创新工作管理方式方法，完善主动公开的政府信息目录，坚持把人民群众普遍关心、涉及群众切身利益的经济发展热点作为政务公开的重点内容，进一步加大公开力度，努力建设“阳光统计”；二是进一步加强政务公开工作人员的培训，进一步做到信息公开工作精、准、细、快。严格要求工作人员及时发布各类统计信息，提高政务公开的时效性；三是提高统计信息公布的时效性，每月及时公布各专业统计动态信息和专业分析，每季度公布季度数据分析，同时及时公布各类普查工作动态，为全市人民提供及时、准确的统计信息和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kern w:val="0"/>
          <w:sz w:val="32"/>
          <w:szCs w:val="32"/>
          <w:bdr w:val="none" w:color="auto" w:sz="0" w:space="0"/>
          <w:shd w:val="clear" w:fill="FFFFFF"/>
          <w:lang w:val="en-US" w:eastAsia="zh-CN" w:bidi="ar"/>
        </w:rPr>
        <w:t>2023</w:t>
      </w:r>
      <w:r>
        <w:rPr>
          <w:rFonts w:hint="eastAsia" w:ascii="仿宋_GB2312" w:hAnsi="仿宋_GB2312" w:eastAsia="仿宋_GB2312" w:cs="仿宋_GB2312"/>
          <w:i w:val="0"/>
          <w:caps w:val="0"/>
          <w:color w:val="auto"/>
          <w:spacing w:val="0"/>
          <w:kern w:val="0"/>
          <w:sz w:val="32"/>
          <w:szCs w:val="32"/>
          <w:bdr w:val="none" w:color="auto" w:sz="0" w:space="0"/>
          <w:shd w:val="clear" w:fill="FFFFFF"/>
          <w:lang w:val="en-US" w:eastAsia="zh-CN" w:bidi="ar"/>
        </w:rPr>
        <w:t>年，市统计局将针对新形势的要求，进一步深化信息公开内容和信息公开量，完善工作机制，拓宽政府信息公开形式的渠道，为进一步提高社会对政府信息公开的认知度和群众的满意度，完善制度建设和配套措施，不断提高统计部门政府信息公开工作水平。</w:t>
      </w:r>
    </w:p>
    <w:p>
      <w:pPr>
        <w:spacing w:line="560" w:lineRule="exact"/>
        <w:ind w:firstLine="636" w:firstLineChars="199"/>
        <w:rPr>
          <w:rFonts w:ascii="黑体" w:hAnsi="黑体" w:eastAsia="黑体" w:cs="宋体"/>
          <w:sz w:val="32"/>
          <w:szCs w:val="32"/>
        </w:rPr>
      </w:pPr>
      <w:r>
        <w:rPr>
          <w:rFonts w:hint="eastAsia" w:ascii="黑体" w:hAnsi="黑体" w:eastAsia="黑体" w:cs="宋体"/>
          <w:sz w:val="32"/>
          <w:szCs w:val="32"/>
        </w:rPr>
        <w:t>六、其他需要报告的事项</w:t>
      </w:r>
    </w:p>
    <w:p>
      <w:pPr>
        <w:spacing w:line="560" w:lineRule="exact"/>
        <w:ind w:firstLine="636" w:firstLineChars="19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caps w:val="0"/>
          <w:color w:val="333333"/>
          <w:spacing w:val="0"/>
          <w:sz w:val="32"/>
          <w:szCs w:val="32"/>
          <w:shd w:val="clear" w:fill="FFFFFF"/>
        </w:rPr>
        <w:t>无相关说明及附件。</w:t>
      </w:r>
    </w:p>
    <w:p>
      <w:pPr>
        <w:rPr>
          <w:rFonts w:hint="eastAsia" w:ascii="仿宋_GB2312" w:hAnsi="仿宋_GB2312" w:eastAsia="仿宋_GB2312" w:cs="仿宋_GB2312"/>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填报人：马金玲             电话：15999289719</w:t>
      </w: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单位盖章：伊宁市统计局</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仿宋">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A2B98"/>
    <w:rsid w:val="07644625"/>
    <w:rsid w:val="0B56224D"/>
    <w:rsid w:val="0D2A2B98"/>
    <w:rsid w:val="176640D5"/>
    <w:rsid w:val="1D213799"/>
    <w:rsid w:val="247D0A6E"/>
    <w:rsid w:val="28B357ED"/>
    <w:rsid w:val="3B8501CC"/>
    <w:rsid w:val="440627C5"/>
    <w:rsid w:val="440A597A"/>
    <w:rsid w:val="4C77467C"/>
    <w:rsid w:val="4DAD5B2E"/>
    <w:rsid w:val="502D0E88"/>
    <w:rsid w:val="569D03DF"/>
    <w:rsid w:val="5A163F32"/>
    <w:rsid w:val="6ACF71A2"/>
    <w:rsid w:val="74621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166</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2021-12-23T10:31:00Z</dcterms:created>
  <dc:creator>李静</dc:creator>
  <cp:lastModifiedBy>Administrator</cp:lastModifiedBy>
  <cp:lastPrinted>2023-01-18T05:54:59Z</cp:lastPrinted>
  <dcterms:modified xsi:type="dcterms:W3CDTF">2023-01-18T05:58:39Z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