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7F07">
      <w:pPr>
        <w:ind w:firstLine="1320" w:firstLineChars="3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sz w:val="44"/>
          <w:szCs w:val="44"/>
        </w:rPr>
        <w:t>安全生产监督检查综合事项</w:t>
      </w:r>
      <w:r>
        <w:rPr>
          <w:rFonts w:hint="eastAsia" w:ascii="方正小标宋简体" w:hAnsi="方正小标宋简体" w:eastAsia="方正小标宋简体" w:cs="方正小标宋简体"/>
          <w:b w:val="0"/>
          <w:sz w:val="44"/>
          <w:szCs w:val="44"/>
          <w:lang w:val="en-US" w:eastAsia="zh-CN"/>
        </w:rPr>
        <w:t>执法检查依据及法律责任指引</w:t>
      </w:r>
    </w:p>
    <w:tbl>
      <w:tblPr>
        <w:tblStyle w:val="8"/>
        <w:tblW w:w="16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22"/>
        <w:gridCol w:w="1341"/>
        <w:gridCol w:w="1438"/>
        <w:gridCol w:w="4795"/>
        <w:gridCol w:w="7277"/>
        <w:gridCol w:w="741"/>
      </w:tblGrid>
      <w:tr w14:paraId="13D1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blHeader/>
          <w:jc w:val="center"/>
        </w:trPr>
        <w:tc>
          <w:tcPr>
            <w:tcW w:w="522" w:type="dxa"/>
            <w:vAlign w:val="center"/>
          </w:tcPr>
          <w:p w14:paraId="0F49D339">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序号</w:t>
            </w:r>
          </w:p>
        </w:tc>
        <w:tc>
          <w:tcPr>
            <w:tcW w:w="1341" w:type="dxa"/>
            <w:vAlign w:val="center"/>
          </w:tcPr>
          <w:p w14:paraId="56C38247">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检查事项</w:t>
            </w:r>
          </w:p>
        </w:tc>
        <w:tc>
          <w:tcPr>
            <w:tcW w:w="1438" w:type="dxa"/>
            <w:vAlign w:val="center"/>
          </w:tcPr>
          <w:p w14:paraId="0AC8DA88">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检查内容</w:t>
            </w:r>
          </w:p>
        </w:tc>
        <w:tc>
          <w:tcPr>
            <w:tcW w:w="4795" w:type="dxa"/>
            <w:vAlign w:val="center"/>
          </w:tcPr>
          <w:p w14:paraId="7BD5581E">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检查依据指引</w:t>
            </w:r>
          </w:p>
        </w:tc>
        <w:tc>
          <w:tcPr>
            <w:tcW w:w="7277" w:type="dxa"/>
            <w:vAlign w:val="center"/>
          </w:tcPr>
          <w:p w14:paraId="04E4408B">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法律责任指引</w:t>
            </w:r>
          </w:p>
        </w:tc>
        <w:tc>
          <w:tcPr>
            <w:tcW w:w="741" w:type="dxa"/>
            <w:vAlign w:val="center"/>
          </w:tcPr>
          <w:p w14:paraId="391F72AA">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备注</w:t>
            </w:r>
          </w:p>
        </w:tc>
      </w:tr>
      <w:tr w14:paraId="4B13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955" w:hRule="atLeast"/>
          <w:jc w:val="center"/>
        </w:trPr>
        <w:tc>
          <w:tcPr>
            <w:tcW w:w="522" w:type="dxa"/>
            <w:vAlign w:val="center"/>
          </w:tcPr>
          <w:p w14:paraId="2B94CC30">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c>
          <w:tcPr>
            <w:tcW w:w="1341" w:type="dxa"/>
            <w:vAlign w:val="center"/>
          </w:tcPr>
          <w:p w14:paraId="6DF8396D">
            <w:pPr>
              <w:widowControl/>
              <w:adjustRightInd w:val="0"/>
              <w:snapToGrid w:val="0"/>
              <w:rPr>
                <w:rFonts w:ascii="宋体" w:hAnsi="宋体" w:cs="宋体"/>
                <w:color w:val="auto"/>
                <w:kern w:val="0"/>
                <w:szCs w:val="21"/>
              </w:rPr>
            </w:pPr>
            <w:r>
              <w:rPr>
                <w:rFonts w:hint="eastAsia" w:ascii="宋体" w:hAnsi="宋体" w:cs="宋体"/>
                <w:color w:val="auto"/>
                <w:kern w:val="0"/>
                <w:szCs w:val="21"/>
              </w:rPr>
              <w:t>主要负责人履行职责情况</w:t>
            </w:r>
          </w:p>
        </w:tc>
        <w:tc>
          <w:tcPr>
            <w:tcW w:w="1438" w:type="dxa"/>
            <w:vAlign w:val="center"/>
          </w:tcPr>
          <w:p w14:paraId="1D0B0101">
            <w:pPr>
              <w:widowControl/>
              <w:adjustRightInd w:val="0"/>
              <w:snapToGrid w:val="0"/>
              <w:rPr>
                <w:rFonts w:ascii="宋体" w:hAnsi="宋体" w:cs="宋体"/>
                <w:color w:val="auto"/>
                <w:kern w:val="0"/>
                <w:szCs w:val="21"/>
              </w:rPr>
            </w:pPr>
            <w:r>
              <w:rPr>
                <w:rFonts w:hint="eastAsia" w:ascii="宋体" w:hAnsi="宋体" w:cs="宋体"/>
                <w:color w:val="auto"/>
                <w:kern w:val="0"/>
                <w:szCs w:val="21"/>
              </w:rPr>
              <w:t>生产经营单位的主要负责人履行对本单位安全生产工作法定职责</w:t>
            </w:r>
          </w:p>
        </w:tc>
        <w:tc>
          <w:tcPr>
            <w:tcW w:w="4795" w:type="dxa"/>
            <w:vAlign w:val="center"/>
          </w:tcPr>
          <w:p w14:paraId="56A2EE1A">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》第二十一条　生产经营单位的主要负责人对本单位安全生产工作负有下列职责:</w:t>
            </w:r>
          </w:p>
          <w:p w14:paraId="2AB273A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（一）建立健全并落实本单位全员安全生产责任制，加强安全生产标准化建设；</w:t>
            </w:r>
          </w:p>
          <w:p w14:paraId="42FBD704">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（二）组织制定并实施本单位安全生产规章制度和操作规程；</w:t>
            </w:r>
          </w:p>
          <w:p w14:paraId="6FED8CEC">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（三）组织制定并实施本单位安全生产教育和培训计划；</w:t>
            </w:r>
          </w:p>
          <w:p w14:paraId="01A30C90">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（四）保证本单位安全生产投入的有效实施；</w:t>
            </w:r>
          </w:p>
          <w:p w14:paraId="570C534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（五）组织建立并落实安全风险分级管控和隐患排查治理双重预防工作机制，督促、检查本单位的安全生产工作，及时消除生产安全事故隐患；</w:t>
            </w:r>
          </w:p>
          <w:p w14:paraId="3E978E11">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（六）组织制定并实施本单位的生产安全事故应急救援预案；</w:t>
            </w:r>
          </w:p>
          <w:p w14:paraId="14F1B946">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（七）及时、如实报告生产安全事故。</w:t>
            </w:r>
          </w:p>
          <w:p w14:paraId="69F2E94D">
            <w:pPr>
              <w:widowControl/>
              <w:adjustRightInd w:val="0"/>
              <w:snapToGrid w:val="0"/>
              <w:rPr>
                <w:rFonts w:ascii="宋体" w:hAnsi="宋体" w:cs="宋体"/>
                <w:color w:val="auto"/>
                <w:kern w:val="0"/>
                <w:szCs w:val="21"/>
              </w:rPr>
            </w:pPr>
          </w:p>
        </w:tc>
        <w:tc>
          <w:tcPr>
            <w:tcW w:w="7277" w:type="dxa"/>
            <w:vAlign w:val="center"/>
          </w:tcPr>
          <w:p w14:paraId="4C5A790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14:paraId="0D5B46F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生产经营单位的主要负责人有前款违法行为，导致发生生产安全事故的，给予撤职处分；构成犯罪的，依照刑法有关规定追究刑事责任。</w:t>
            </w:r>
          </w:p>
          <w:p w14:paraId="27557C34">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741" w:type="dxa"/>
            <w:vAlign w:val="center"/>
          </w:tcPr>
          <w:p w14:paraId="587D24CC">
            <w:pPr>
              <w:widowControl/>
              <w:adjustRightInd w:val="0"/>
              <w:snapToGrid w:val="0"/>
              <w:rPr>
                <w:rFonts w:ascii="宋体" w:hAnsi="宋体" w:cs="宋体"/>
                <w:color w:val="auto"/>
                <w:kern w:val="0"/>
                <w:szCs w:val="21"/>
              </w:rPr>
            </w:pPr>
          </w:p>
        </w:tc>
      </w:tr>
      <w:tr w14:paraId="43FF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484" w:hRule="atLeast"/>
          <w:jc w:val="center"/>
        </w:trPr>
        <w:tc>
          <w:tcPr>
            <w:tcW w:w="522" w:type="dxa"/>
            <w:vMerge w:val="restart"/>
            <w:vAlign w:val="center"/>
          </w:tcPr>
          <w:p w14:paraId="0AAEA2B2">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w:t>
            </w:r>
          </w:p>
        </w:tc>
        <w:tc>
          <w:tcPr>
            <w:tcW w:w="1341" w:type="dxa"/>
            <w:vMerge w:val="restart"/>
            <w:vAlign w:val="center"/>
          </w:tcPr>
          <w:p w14:paraId="71AB13BE">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安全投入保障情况</w:t>
            </w:r>
          </w:p>
        </w:tc>
        <w:tc>
          <w:tcPr>
            <w:tcW w:w="1438" w:type="dxa"/>
            <w:vAlign w:val="center"/>
          </w:tcPr>
          <w:p w14:paraId="1763DC84">
            <w:pPr>
              <w:widowControl/>
              <w:adjustRightInd w:val="0"/>
              <w:snapToGrid w:val="0"/>
              <w:rPr>
                <w:rFonts w:ascii="宋体" w:hAnsi="宋体" w:cs="宋体"/>
                <w:color w:val="auto"/>
                <w:kern w:val="0"/>
                <w:szCs w:val="21"/>
              </w:rPr>
            </w:pPr>
            <w:r>
              <w:rPr>
                <w:rFonts w:hint="eastAsia" w:ascii="宋体" w:hAnsi="宋体" w:cs="宋体"/>
                <w:color w:val="auto"/>
                <w:kern w:val="0"/>
                <w:szCs w:val="21"/>
              </w:rPr>
              <w:t>2.1 资金投入保障</w:t>
            </w:r>
          </w:p>
        </w:tc>
        <w:tc>
          <w:tcPr>
            <w:tcW w:w="4795" w:type="dxa"/>
            <w:vAlign w:val="center"/>
          </w:tcPr>
          <w:p w14:paraId="5584485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14:paraId="30AC9BB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277" w:type="dxa"/>
            <w:vAlign w:val="center"/>
          </w:tcPr>
          <w:p w14:paraId="6EAED9B9">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1FB2BAE2">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有前款违法行为，导致发生生产安全事故的，对生产经营单位的主要负责人给予撤职处分，对个人经营的投资人处二万元以上二十万元以下的罚款；构成犯罪的，依照刑法有关规定追究刑事责任。</w:t>
            </w:r>
          </w:p>
          <w:p w14:paraId="683C394B">
            <w:pPr>
              <w:widowControl/>
              <w:adjustRightInd w:val="0"/>
              <w:snapToGrid w:val="0"/>
              <w:ind w:firstLine="420" w:firstLineChars="200"/>
              <w:rPr>
                <w:rFonts w:ascii="宋体" w:hAnsi="宋体" w:cs="宋体"/>
                <w:color w:val="auto"/>
                <w:kern w:val="0"/>
                <w:szCs w:val="21"/>
              </w:rPr>
            </w:pPr>
          </w:p>
        </w:tc>
        <w:tc>
          <w:tcPr>
            <w:tcW w:w="741" w:type="dxa"/>
            <w:vMerge w:val="restart"/>
            <w:vAlign w:val="center"/>
          </w:tcPr>
          <w:p w14:paraId="790A422B">
            <w:pPr>
              <w:widowControl/>
              <w:adjustRightInd w:val="0"/>
              <w:snapToGrid w:val="0"/>
              <w:rPr>
                <w:rFonts w:ascii="宋体" w:hAnsi="宋体" w:cs="宋体"/>
                <w:color w:val="auto"/>
                <w:kern w:val="0"/>
                <w:szCs w:val="21"/>
              </w:rPr>
            </w:pPr>
          </w:p>
        </w:tc>
      </w:tr>
      <w:tr w14:paraId="6C8A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04" w:hRule="atLeast"/>
          <w:jc w:val="center"/>
        </w:trPr>
        <w:tc>
          <w:tcPr>
            <w:tcW w:w="522" w:type="dxa"/>
            <w:vMerge w:val="continue"/>
            <w:vAlign w:val="center"/>
          </w:tcPr>
          <w:p w14:paraId="471161BB">
            <w:pPr>
              <w:widowControl/>
              <w:adjustRightInd w:val="0"/>
              <w:snapToGrid w:val="0"/>
              <w:jc w:val="center"/>
              <w:rPr>
                <w:rFonts w:ascii="宋体" w:hAnsi="宋体" w:cs="宋体"/>
                <w:color w:val="auto"/>
                <w:kern w:val="0"/>
                <w:szCs w:val="21"/>
              </w:rPr>
            </w:pPr>
          </w:p>
        </w:tc>
        <w:tc>
          <w:tcPr>
            <w:tcW w:w="1341" w:type="dxa"/>
            <w:vMerge w:val="continue"/>
            <w:vAlign w:val="center"/>
          </w:tcPr>
          <w:p w14:paraId="36429033">
            <w:pPr>
              <w:widowControl/>
              <w:adjustRightInd w:val="0"/>
              <w:snapToGrid w:val="0"/>
              <w:rPr>
                <w:rFonts w:ascii="宋体" w:hAnsi="宋体" w:cs="宋体"/>
                <w:color w:val="auto"/>
                <w:kern w:val="0"/>
                <w:szCs w:val="21"/>
              </w:rPr>
            </w:pPr>
          </w:p>
        </w:tc>
        <w:tc>
          <w:tcPr>
            <w:tcW w:w="1438" w:type="dxa"/>
            <w:vAlign w:val="center"/>
          </w:tcPr>
          <w:p w14:paraId="637941B6">
            <w:pPr>
              <w:widowControl/>
              <w:adjustRightInd w:val="0"/>
              <w:snapToGrid w:val="0"/>
              <w:rPr>
                <w:rFonts w:ascii="宋体" w:hAnsi="宋体" w:cs="宋体"/>
                <w:color w:val="auto"/>
                <w:kern w:val="0"/>
                <w:szCs w:val="21"/>
              </w:rPr>
            </w:pPr>
            <w:r>
              <w:rPr>
                <w:rFonts w:hint="eastAsia" w:ascii="宋体" w:hAnsi="宋体" w:cs="宋体"/>
                <w:color w:val="auto"/>
                <w:kern w:val="0"/>
                <w:szCs w:val="21"/>
              </w:rPr>
              <w:t>2.2 安全费用提取和使用</w:t>
            </w:r>
          </w:p>
        </w:tc>
        <w:tc>
          <w:tcPr>
            <w:tcW w:w="4795" w:type="dxa"/>
            <w:vAlign w:val="center"/>
          </w:tcPr>
          <w:p w14:paraId="5452D0F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》第二十</w:t>
            </w:r>
            <w:r>
              <w:rPr>
                <w:rFonts w:hint="eastAsia" w:ascii="宋体" w:hAnsi="宋体" w:cs="宋体"/>
                <w:color w:val="auto"/>
                <w:kern w:val="0"/>
                <w:szCs w:val="21"/>
                <w:lang w:eastAsia="zh-CN"/>
              </w:rPr>
              <w:t>三</w:t>
            </w:r>
            <w:r>
              <w:rPr>
                <w:rFonts w:hint="eastAsia" w:ascii="宋体" w:hAnsi="宋体" w:cs="宋体"/>
                <w:color w:val="auto"/>
                <w:kern w:val="0"/>
                <w:szCs w:val="21"/>
              </w:rPr>
              <w:t>条 ……</w:t>
            </w:r>
          </w:p>
          <w:p w14:paraId="76E6A7CF">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1E49558A">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《企业安全生产费用提取和使用管理办法》（财资〔2022〕136号</w:t>
            </w:r>
          </w:p>
          <w:p w14:paraId="0440B525">
            <w:pPr>
              <w:widowControl/>
              <w:adjustRightInd w:val="0"/>
              <w:snapToGrid w:val="0"/>
              <w:ind w:firstLine="420" w:firstLineChars="200"/>
              <w:rPr>
                <w:rFonts w:ascii="宋体" w:hAnsi="宋体" w:cs="宋体"/>
                <w:color w:val="auto"/>
                <w:kern w:val="0"/>
                <w:szCs w:val="21"/>
              </w:rPr>
            </w:pPr>
          </w:p>
        </w:tc>
        <w:tc>
          <w:tcPr>
            <w:tcW w:w="7277" w:type="dxa"/>
            <w:vAlign w:val="center"/>
          </w:tcPr>
          <w:p w14:paraId="459D31F1">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14:paraId="21C462D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（一）提取或者使用安全生产费用；</w:t>
            </w:r>
          </w:p>
          <w:p w14:paraId="4974CB5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14:paraId="5500ED62">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生产经营单位主要负责人、个人经营的投资人有前款违法行为，导致发生生产安全事故的，依照《生产安全事故罚款处罚规定（试行）》的规定给予处罚。</w:t>
            </w:r>
          </w:p>
        </w:tc>
        <w:tc>
          <w:tcPr>
            <w:tcW w:w="741" w:type="dxa"/>
            <w:vMerge w:val="continue"/>
            <w:vAlign w:val="center"/>
          </w:tcPr>
          <w:p w14:paraId="5AD42796">
            <w:pPr>
              <w:widowControl/>
              <w:adjustRightInd w:val="0"/>
              <w:snapToGrid w:val="0"/>
              <w:rPr>
                <w:rFonts w:ascii="宋体" w:hAnsi="宋体" w:cs="宋体"/>
                <w:color w:val="auto"/>
                <w:kern w:val="0"/>
                <w:szCs w:val="21"/>
              </w:rPr>
            </w:pPr>
          </w:p>
        </w:tc>
      </w:tr>
      <w:tr w14:paraId="1567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522" w:type="dxa"/>
            <w:vMerge w:val="continue"/>
            <w:vAlign w:val="center"/>
          </w:tcPr>
          <w:p w14:paraId="4BDF5448">
            <w:pPr>
              <w:widowControl/>
              <w:adjustRightInd w:val="0"/>
              <w:snapToGrid w:val="0"/>
              <w:jc w:val="center"/>
              <w:rPr>
                <w:rFonts w:ascii="宋体" w:hAnsi="宋体" w:cs="宋体"/>
                <w:color w:val="auto"/>
                <w:kern w:val="0"/>
                <w:szCs w:val="21"/>
              </w:rPr>
            </w:pPr>
          </w:p>
        </w:tc>
        <w:tc>
          <w:tcPr>
            <w:tcW w:w="1341" w:type="dxa"/>
            <w:vMerge w:val="continue"/>
            <w:vAlign w:val="center"/>
          </w:tcPr>
          <w:p w14:paraId="52E40E77">
            <w:pPr>
              <w:widowControl/>
              <w:adjustRightInd w:val="0"/>
              <w:snapToGrid w:val="0"/>
              <w:rPr>
                <w:rFonts w:ascii="宋体" w:hAnsi="宋体" w:cs="宋体"/>
                <w:color w:val="auto"/>
                <w:kern w:val="0"/>
                <w:szCs w:val="21"/>
              </w:rPr>
            </w:pPr>
          </w:p>
        </w:tc>
        <w:tc>
          <w:tcPr>
            <w:tcW w:w="1438" w:type="dxa"/>
            <w:vAlign w:val="center"/>
          </w:tcPr>
          <w:p w14:paraId="7FA69907">
            <w:pPr>
              <w:widowControl/>
              <w:adjustRightInd w:val="0"/>
              <w:snapToGrid w:val="0"/>
              <w:rPr>
                <w:rFonts w:ascii="宋体" w:hAnsi="宋体" w:cs="宋体"/>
                <w:color w:val="auto"/>
                <w:kern w:val="0"/>
                <w:szCs w:val="21"/>
              </w:rPr>
            </w:pPr>
            <w:r>
              <w:rPr>
                <w:rFonts w:hint="eastAsia" w:ascii="宋体" w:hAnsi="宋体" w:cs="宋体"/>
                <w:color w:val="auto"/>
                <w:kern w:val="0"/>
                <w:szCs w:val="21"/>
              </w:rPr>
              <w:t>2.3 劳动防护用品配备经费</w:t>
            </w:r>
          </w:p>
        </w:tc>
        <w:tc>
          <w:tcPr>
            <w:tcW w:w="4795" w:type="dxa"/>
            <w:vAlign w:val="center"/>
          </w:tcPr>
          <w:p w14:paraId="4B830CF9">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》第四十七条　生产经营单位应当安排用于配备劳动防护用品、进行安全生产培训的经费。</w:t>
            </w:r>
          </w:p>
          <w:p w14:paraId="53D20BB9">
            <w:pPr>
              <w:widowControl/>
              <w:adjustRightInd w:val="0"/>
              <w:snapToGrid w:val="0"/>
              <w:ind w:firstLine="420" w:firstLineChars="200"/>
              <w:rPr>
                <w:rFonts w:ascii="宋体" w:hAnsi="宋体" w:cs="宋体"/>
                <w:color w:val="auto"/>
                <w:kern w:val="0"/>
                <w:szCs w:val="21"/>
              </w:rPr>
            </w:pPr>
          </w:p>
        </w:tc>
        <w:tc>
          <w:tcPr>
            <w:tcW w:w="7277" w:type="dxa"/>
            <w:vAlign w:val="center"/>
          </w:tcPr>
          <w:p w14:paraId="6C9F91E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14:paraId="269FC9E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14:paraId="465BB810">
            <w:pPr>
              <w:widowControl/>
              <w:adjustRightInd w:val="0"/>
              <w:snapToGrid w:val="0"/>
              <w:ind w:firstLine="422" w:firstLineChars="200"/>
              <w:rPr>
                <w:rFonts w:hint="eastAsia" w:ascii="宋体" w:hAnsi="宋体" w:cs="宋体"/>
                <w:color w:val="auto"/>
                <w:kern w:val="0"/>
                <w:szCs w:val="21"/>
              </w:rPr>
            </w:pPr>
            <w:r>
              <w:rPr>
                <w:rFonts w:hint="eastAsia" w:ascii="宋体" w:hAnsi="宋体" w:cs="宋体"/>
                <w:b/>
                <w:bCs/>
                <w:color w:val="auto"/>
                <w:kern w:val="0"/>
                <w:szCs w:val="21"/>
              </w:rPr>
              <w:t>（二）用于配备劳动防护用品的经费；</w:t>
            </w:r>
          </w:p>
          <w:p w14:paraId="1C09D61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14:paraId="4CF0D4C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生产经营单位主要负责人、个人经营的投资人有前款违法行为，导致发生生产安全事故的，依照《生产安全事故罚款处罚规定（试行）》的规定给予处罚。</w:t>
            </w:r>
          </w:p>
        </w:tc>
        <w:tc>
          <w:tcPr>
            <w:tcW w:w="741" w:type="dxa"/>
            <w:vMerge w:val="continue"/>
            <w:vAlign w:val="center"/>
          </w:tcPr>
          <w:p w14:paraId="6606D965">
            <w:pPr>
              <w:widowControl/>
              <w:adjustRightInd w:val="0"/>
              <w:snapToGrid w:val="0"/>
              <w:rPr>
                <w:rFonts w:ascii="宋体" w:hAnsi="宋体" w:cs="宋体"/>
                <w:color w:val="auto"/>
                <w:kern w:val="0"/>
                <w:szCs w:val="21"/>
              </w:rPr>
            </w:pPr>
          </w:p>
        </w:tc>
      </w:tr>
      <w:tr w14:paraId="2AAB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74" w:hRule="atLeast"/>
          <w:jc w:val="center"/>
        </w:trPr>
        <w:tc>
          <w:tcPr>
            <w:tcW w:w="522" w:type="dxa"/>
            <w:vMerge w:val="continue"/>
            <w:vAlign w:val="center"/>
          </w:tcPr>
          <w:p w14:paraId="1B882947">
            <w:pPr>
              <w:widowControl/>
              <w:adjustRightInd w:val="0"/>
              <w:snapToGrid w:val="0"/>
              <w:jc w:val="center"/>
              <w:rPr>
                <w:rFonts w:ascii="宋体" w:hAnsi="宋体" w:cs="宋体"/>
                <w:color w:val="auto"/>
                <w:kern w:val="0"/>
                <w:szCs w:val="21"/>
              </w:rPr>
            </w:pPr>
          </w:p>
        </w:tc>
        <w:tc>
          <w:tcPr>
            <w:tcW w:w="1341" w:type="dxa"/>
            <w:vMerge w:val="continue"/>
            <w:vAlign w:val="center"/>
          </w:tcPr>
          <w:p w14:paraId="7E9EC62B">
            <w:pPr>
              <w:widowControl/>
              <w:adjustRightInd w:val="0"/>
              <w:snapToGrid w:val="0"/>
              <w:rPr>
                <w:rFonts w:ascii="宋体" w:hAnsi="宋体" w:cs="宋体"/>
                <w:color w:val="auto"/>
                <w:kern w:val="0"/>
                <w:szCs w:val="21"/>
              </w:rPr>
            </w:pPr>
          </w:p>
        </w:tc>
        <w:tc>
          <w:tcPr>
            <w:tcW w:w="1438" w:type="dxa"/>
            <w:vAlign w:val="center"/>
          </w:tcPr>
          <w:p w14:paraId="71E081A0">
            <w:pPr>
              <w:widowControl/>
              <w:adjustRightInd w:val="0"/>
              <w:snapToGrid w:val="0"/>
              <w:rPr>
                <w:rFonts w:ascii="宋体" w:hAnsi="宋体" w:cs="宋体"/>
                <w:color w:val="auto"/>
                <w:kern w:val="0"/>
                <w:szCs w:val="21"/>
              </w:rPr>
            </w:pPr>
            <w:r>
              <w:rPr>
                <w:rFonts w:hint="eastAsia" w:ascii="宋体" w:hAnsi="宋体" w:cs="宋体"/>
                <w:color w:val="auto"/>
                <w:kern w:val="0"/>
                <w:szCs w:val="21"/>
              </w:rPr>
              <w:t>2.4 安全生产教育和培训经费</w:t>
            </w:r>
          </w:p>
        </w:tc>
        <w:tc>
          <w:tcPr>
            <w:tcW w:w="4795" w:type="dxa"/>
            <w:vAlign w:val="center"/>
          </w:tcPr>
          <w:p w14:paraId="041B7675">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》第四十</w:t>
            </w:r>
            <w:r>
              <w:rPr>
                <w:rFonts w:hint="eastAsia" w:ascii="宋体" w:hAnsi="宋体" w:cs="宋体"/>
                <w:color w:val="auto"/>
                <w:kern w:val="0"/>
                <w:szCs w:val="21"/>
                <w:lang w:eastAsia="zh-CN"/>
              </w:rPr>
              <w:t>七</w:t>
            </w:r>
            <w:r>
              <w:rPr>
                <w:rFonts w:hint="eastAsia" w:ascii="宋体" w:hAnsi="宋体" w:cs="宋体"/>
                <w:color w:val="auto"/>
                <w:kern w:val="0"/>
                <w:szCs w:val="21"/>
              </w:rPr>
              <w:t>条  生产经营单位应当安排用于配备劳动防护用品、进行安全生产培训的经费。</w:t>
            </w:r>
          </w:p>
        </w:tc>
        <w:tc>
          <w:tcPr>
            <w:tcW w:w="7277" w:type="dxa"/>
            <w:vAlign w:val="center"/>
          </w:tcPr>
          <w:p w14:paraId="6E58A826">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14:paraId="2E72ABF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14:paraId="3FB6819C">
            <w:pPr>
              <w:widowControl/>
              <w:adjustRightInd w:val="0"/>
              <w:snapToGrid w:val="0"/>
              <w:ind w:firstLine="422" w:firstLineChars="200"/>
              <w:rPr>
                <w:rFonts w:hint="eastAsia" w:ascii="宋体" w:hAnsi="宋体" w:cs="宋体"/>
                <w:color w:val="auto"/>
                <w:kern w:val="0"/>
                <w:szCs w:val="21"/>
              </w:rPr>
            </w:pPr>
            <w:r>
              <w:rPr>
                <w:rFonts w:hint="eastAsia" w:ascii="宋体" w:hAnsi="宋体" w:cs="宋体"/>
                <w:b/>
                <w:bCs/>
                <w:color w:val="auto"/>
                <w:kern w:val="0"/>
                <w:szCs w:val="21"/>
              </w:rPr>
              <w:t>（三）用于安全生产教育和培训的经费</w:t>
            </w:r>
            <w:r>
              <w:rPr>
                <w:rFonts w:hint="eastAsia" w:ascii="宋体" w:hAnsi="宋体" w:cs="宋体"/>
                <w:b/>
                <w:bCs/>
                <w:color w:val="auto"/>
                <w:kern w:val="0"/>
                <w:szCs w:val="21"/>
                <w:lang w:eastAsia="zh-CN"/>
              </w:rPr>
              <w:t>；</w:t>
            </w:r>
          </w:p>
          <w:p w14:paraId="25623BC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14:paraId="779ED6B9">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生产经营单位主要负责人、个人经营的投资人有前款违法行为，导致发生生产安全事故的，依照《生产安全事故罚款处罚规定（试行）》的规定给予处罚。</w:t>
            </w:r>
          </w:p>
        </w:tc>
        <w:tc>
          <w:tcPr>
            <w:tcW w:w="741" w:type="dxa"/>
            <w:vMerge w:val="continue"/>
            <w:vAlign w:val="center"/>
          </w:tcPr>
          <w:p w14:paraId="11AE33E9">
            <w:pPr>
              <w:widowControl/>
              <w:adjustRightInd w:val="0"/>
              <w:snapToGrid w:val="0"/>
              <w:rPr>
                <w:rFonts w:ascii="宋体" w:hAnsi="宋体" w:cs="宋体"/>
                <w:color w:val="auto"/>
                <w:kern w:val="0"/>
                <w:szCs w:val="21"/>
              </w:rPr>
            </w:pPr>
          </w:p>
        </w:tc>
      </w:tr>
      <w:tr w14:paraId="3063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522" w:type="dxa"/>
            <w:vMerge w:val="restart"/>
            <w:vAlign w:val="center"/>
          </w:tcPr>
          <w:p w14:paraId="4FAF9923">
            <w:pPr>
              <w:jc w:val="center"/>
              <w:rPr>
                <w:rFonts w:ascii="宋体" w:hAnsi="宋体" w:cs="宋体"/>
                <w:color w:val="auto"/>
                <w:kern w:val="0"/>
                <w:szCs w:val="21"/>
              </w:rPr>
            </w:pPr>
            <w:r>
              <w:rPr>
                <w:rFonts w:hint="eastAsia" w:ascii="宋体" w:hAnsi="宋体" w:cs="宋体"/>
                <w:color w:val="auto"/>
                <w:kern w:val="0"/>
                <w:szCs w:val="21"/>
              </w:rPr>
              <w:t>3</w:t>
            </w:r>
          </w:p>
        </w:tc>
        <w:tc>
          <w:tcPr>
            <w:tcW w:w="1341" w:type="dxa"/>
            <w:vMerge w:val="restart"/>
            <w:vAlign w:val="center"/>
          </w:tcPr>
          <w:p w14:paraId="0E6DE1DF">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安全生产管理机构人员设置配备及规章制度制定与执行情况</w:t>
            </w:r>
          </w:p>
        </w:tc>
        <w:tc>
          <w:tcPr>
            <w:tcW w:w="1438" w:type="dxa"/>
            <w:vAlign w:val="center"/>
          </w:tcPr>
          <w:p w14:paraId="7EA1C8BE">
            <w:pPr>
              <w:widowControl/>
              <w:adjustRightInd w:val="0"/>
              <w:snapToGrid w:val="0"/>
              <w:rPr>
                <w:rFonts w:ascii="宋体" w:hAnsi="宋体" w:cs="宋体"/>
                <w:color w:val="auto"/>
                <w:kern w:val="0"/>
                <w:szCs w:val="21"/>
              </w:rPr>
            </w:pPr>
            <w:r>
              <w:rPr>
                <w:rFonts w:hint="eastAsia" w:ascii="宋体" w:hAnsi="宋体" w:cs="宋体"/>
                <w:color w:val="auto"/>
                <w:kern w:val="0"/>
                <w:szCs w:val="21"/>
              </w:rPr>
              <w:t>3.1 高危行业生产经营单位设置机构、配备专职人员；其他生产经营单位设置机构、配备专兼职人员</w:t>
            </w:r>
          </w:p>
        </w:tc>
        <w:tc>
          <w:tcPr>
            <w:tcW w:w="4795" w:type="dxa"/>
            <w:vAlign w:val="center"/>
          </w:tcPr>
          <w:p w14:paraId="13D4EEA0">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第二十四条　矿山、金属冶炼、建筑施工、运输单位和危险物品的生产、经营、储存、装卸单位，应当设置安全生产管理机构或者配备专职安全生产管理人员。</w:t>
            </w:r>
          </w:p>
          <w:p w14:paraId="0CD3672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w:t>
            </w:r>
          </w:p>
          <w:p w14:paraId="736E1350">
            <w:pPr>
              <w:widowControl/>
              <w:adjustRightInd w:val="0"/>
              <w:snapToGrid w:val="0"/>
              <w:ind w:firstLine="420" w:firstLineChars="200"/>
              <w:rPr>
                <w:rFonts w:ascii="宋体" w:hAnsi="宋体" w:cs="宋体"/>
                <w:color w:val="auto"/>
                <w:kern w:val="0"/>
                <w:szCs w:val="21"/>
              </w:rPr>
            </w:pPr>
          </w:p>
        </w:tc>
        <w:tc>
          <w:tcPr>
            <w:tcW w:w="7277" w:type="dxa"/>
            <w:vAlign w:val="center"/>
          </w:tcPr>
          <w:p w14:paraId="4F8DB7E6">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371607C">
            <w:pPr>
              <w:widowControl/>
              <w:numPr>
                <w:ilvl w:val="0"/>
                <w:numId w:val="1"/>
              </w:numPr>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未按照规定设置安全生产管理机构或者配备安全生产管理人员、注册安全工程师的；</w:t>
            </w:r>
          </w:p>
          <w:p w14:paraId="63130C46">
            <w:pPr>
              <w:widowControl/>
              <w:numPr>
                <w:ilvl w:val="0"/>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Align w:val="center"/>
          </w:tcPr>
          <w:p w14:paraId="3763AFFC">
            <w:pPr>
              <w:widowControl/>
              <w:adjustRightInd w:val="0"/>
              <w:snapToGrid w:val="0"/>
              <w:rPr>
                <w:rFonts w:ascii="宋体" w:hAnsi="宋体" w:cs="宋体"/>
                <w:color w:val="auto"/>
                <w:kern w:val="0"/>
                <w:szCs w:val="21"/>
              </w:rPr>
            </w:pPr>
          </w:p>
        </w:tc>
      </w:tr>
      <w:tr w14:paraId="6BCE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26" w:hRule="atLeast"/>
          <w:jc w:val="center"/>
        </w:trPr>
        <w:tc>
          <w:tcPr>
            <w:tcW w:w="522" w:type="dxa"/>
            <w:vMerge w:val="continue"/>
            <w:vAlign w:val="center"/>
          </w:tcPr>
          <w:p w14:paraId="60C6BE5A">
            <w:pPr>
              <w:jc w:val="center"/>
              <w:rPr>
                <w:rFonts w:ascii="宋体" w:hAnsi="宋体" w:cs="宋体"/>
                <w:color w:val="auto"/>
                <w:kern w:val="0"/>
                <w:szCs w:val="21"/>
              </w:rPr>
            </w:pPr>
          </w:p>
        </w:tc>
        <w:tc>
          <w:tcPr>
            <w:tcW w:w="1341" w:type="dxa"/>
            <w:vMerge w:val="continue"/>
            <w:vAlign w:val="center"/>
          </w:tcPr>
          <w:p w14:paraId="4337A037">
            <w:pPr>
              <w:widowControl/>
              <w:adjustRightInd w:val="0"/>
              <w:snapToGrid w:val="0"/>
              <w:rPr>
                <w:rFonts w:ascii="宋体" w:hAnsi="宋体" w:cs="宋体"/>
                <w:color w:val="auto"/>
                <w:kern w:val="0"/>
                <w:szCs w:val="21"/>
              </w:rPr>
            </w:pPr>
          </w:p>
        </w:tc>
        <w:tc>
          <w:tcPr>
            <w:tcW w:w="1438" w:type="dxa"/>
            <w:vAlign w:val="center"/>
          </w:tcPr>
          <w:p w14:paraId="65F11210">
            <w:pPr>
              <w:widowControl/>
              <w:adjustRightInd w:val="0"/>
              <w:snapToGrid w:val="0"/>
              <w:rPr>
                <w:rFonts w:ascii="宋体" w:hAnsi="宋体" w:cs="宋体"/>
                <w:color w:val="auto"/>
                <w:kern w:val="0"/>
                <w:szCs w:val="21"/>
              </w:rPr>
            </w:pPr>
            <w:r>
              <w:rPr>
                <w:rFonts w:hint="eastAsia" w:ascii="宋体" w:hAnsi="宋体" w:cs="宋体"/>
                <w:color w:val="auto"/>
                <w:kern w:val="0"/>
                <w:szCs w:val="21"/>
              </w:rPr>
              <w:t>3.2 危险物品生产经营单位建立专门的安全管理制度，采取可靠的安全措施</w:t>
            </w:r>
          </w:p>
        </w:tc>
        <w:tc>
          <w:tcPr>
            <w:tcW w:w="4795" w:type="dxa"/>
            <w:vAlign w:val="center"/>
          </w:tcPr>
          <w:p w14:paraId="6F58E27B">
            <w:pPr>
              <w:widowControl/>
              <w:adjustRightInd w:val="0"/>
              <w:snapToGrid w:val="0"/>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w:t>
            </w:r>
            <w:r>
              <w:rPr>
                <w:rFonts w:hint="eastAsia" w:ascii="宋体" w:hAnsi="宋体" w:cs="宋体"/>
                <w:color w:val="auto"/>
                <w:kern w:val="0"/>
                <w:szCs w:val="21"/>
                <w:lang w:eastAsia="zh-CN"/>
              </w:rPr>
              <w:t>九</w:t>
            </w:r>
            <w:r>
              <w:rPr>
                <w:rFonts w:hint="eastAsia" w:ascii="宋体" w:hAnsi="宋体" w:cs="宋体"/>
                <w:color w:val="auto"/>
                <w:kern w:val="0"/>
                <w:szCs w:val="21"/>
              </w:rPr>
              <w:t xml:space="preserve">条  </w:t>
            </w:r>
            <w:r>
              <w:rPr>
                <w:rFonts w:hint="eastAsia" w:ascii="宋体" w:hAnsi="宋体" w:cs="宋体"/>
                <w:color w:val="auto"/>
                <w:kern w:val="0"/>
                <w:szCs w:val="21"/>
                <w:lang w:eastAsia="zh-CN"/>
              </w:rPr>
              <w:t>……</w:t>
            </w:r>
          </w:p>
          <w:p w14:paraId="5109DF9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0E74FCDA">
            <w:pPr>
              <w:widowControl/>
              <w:adjustRightInd w:val="0"/>
              <w:snapToGrid w:val="0"/>
              <w:ind w:firstLine="420" w:firstLineChars="200"/>
              <w:rPr>
                <w:rFonts w:hint="eastAsia" w:ascii="宋体" w:hAnsi="宋体" w:cs="宋体"/>
                <w:color w:val="auto"/>
                <w:kern w:val="0"/>
                <w:szCs w:val="21"/>
              </w:rPr>
            </w:pPr>
          </w:p>
        </w:tc>
        <w:tc>
          <w:tcPr>
            <w:tcW w:w="7277" w:type="dxa"/>
            <w:vAlign w:val="center"/>
          </w:tcPr>
          <w:p w14:paraId="46196F25">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EB7E70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（一）生产、经营、运输、储存、使用危险物品或者处置废弃危险物品，未建立专门安全管理制度、未采取可靠的安全措施的；</w:t>
            </w:r>
          </w:p>
          <w:p w14:paraId="1A37FCF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Align w:val="center"/>
          </w:tcPr>
          <w:p w14:paraId="0794EF55">
            <w:pPr>
              <w:widowControl/>
              <w:adjustRightInd w:val="0"/>
              <w:snapToGrid w:val="0"/>
              <w:rPr>
                <w:rFonts w:ascii="宋体" w:hAnsi="宋体" w:cs="宋体"/>
                <w:color w:val="auto"/>
                <w:kern w:val="0"/>
                <w:szCs w:val="21"/>
              </w:rPr>
            </w:pPr>
          </w:p>
        </w:tc>
      </w:tr>
      <w:tr w14:paraId="13B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1" w:hRule="atLeast"/>
          <w:jc w:val="center"/>
        </w:trPr>
        <w:tc>
          <w:tcPr>
            <w:tcW w:w="522" w:type="dxa"/>
            <w:vMerge w:val="restart"/>
            <w:vAlign w:val="center"/>
          </w:tcPr>
          <w:p w14:paraId="0D140282">
            <w:pPr>
              <w:jc w:val="center"/>
              <w:rPr>
                <w:rFonts w:ascii="宋体" w:hAnsi="宋体" w:cs="宋体"/>
                <w:color w:val="auto"/>
                <w:kern w:val="0"/>
                <w:szCs w:val="21"/>
              </w:rPr>
            </w:pPr>
            <w:r>
              <w:rPr>
                <w:rFonts w:hint="eastAsia" w:ascii="宋体" w:hAnsi="宋体" w:cs="宋体"/>
                <w:color w:val="auto"/>
                <w:kern w:val="0"/>
                <w:szCs w:val="21"/>
              </w:rPr>
              <w:t>4</w:t>
            </w:r>
          </w:p>
        </w:tc>
        <w:tc>
          <w:tcPr>
            <w:tcW w:w="1341" w:type="dxa"/>
            <w:vMerge w:val="restart"/>
            <w:vAlign w:val="center"/>
          </w:tcPr>
          <w:p w14:paraId="6BE1ADF1">
            <w:pPr>
              <w:widowControl/>
              <w:adjustRightInd w:val="0"/>
              <w:snapToGrid w:val="0"/>
              <w:rPr>
                <w:rFonts w:ascii="宋体" w:hAnsi="宋体" w:cs="宋体"/>
                <w:color w:val="auto"/>
                <w:kern w:val="0"/>
                <w:szCs w:val="21"/>
              </w:rPr>
            </w:pPr>
            <w:r>
              <w:rPr>
                <w:rFonts w:hint="eastAsia" w:ascii="宋体" w:hAnsi="宋体" w:cs="宋体"/>
                <w:color w:val="auto"/>
                <w:kern w:val="0"/>
                <w:szCs w:val="21"/>
              </w:rPr>
              <w:t>从业人员安全生产教育和培训情况</w:t>
            </w:r>
          </w:p>
        </w:tc>
        <w:tc>
          <w:tcPr>
            <w:tcW w:w="1438" w:type="dxa"/>
            <w:vAlign w:val="center"/>
          </w:tcPr>
          <w:p w14:paraId="44ED91B1">
            <w:pPr>
              <w:widowControl/>
              <w:adjustRightInd w:val="0"/>
              <w:snapToGrid w:val="0"/>
              <w:rPr>
                <w:rFonts w:ascii="宋体" w:hAnsi="宋体" w:cs="宋体"/>
                <w:color w:val="auto"/>
                <w:kern w:val="0"/>
                <w:szCs w:val="21"/>
              </w:rPr>
            </w:pPr>
            <w:r>
              <w:rPr>
                <w:rFonts w:hint="eastAsia" w:ascii="宋体" w:hAnsi="宋体" w:cs="宋体"/>
                <w:color w:val="auto"/>
                <w:kern w:val="0"/>
                <w:szCs w:val="21"/>
              </w:rPr>
              <w:t>4.1 主要负责人和安全管理人员安全生产知识和管理能力及考核</w:t>
            </w:r>
          </w:p>
        </w:tc>
        <w:tc>
          <w:tcPr>
            <w:tcW w:w="4795" w:type="dxa"/>
            <w:vAlign w:val="center"/>
          </w:tcPr>
          <w:p w14:paraId="6BE3C43D">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第二十七条　生产经营单位的主要负责人和安全生产管理人员必须具备与本单位所从事的生产经营活动相应的安全生产知识和管理能力。</w:t>
            </w:r>
          </w:p>
          <w:p w14:paraId="193650A0">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6024A60A">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277" w:type="dxa"/>
            <w:vAlign w:val="center"/>
          </w:tcPr>
          <w:p w14:paraId="4DABFDA5">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67DA62A">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14:paraId="54A2C51D">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（二）危险物品的生产、经营、储存、装卸单位以及矿山、金属冶炼、建筑施工、运输单位的主要负责人和安全生产管理人员未按照规定经考核合格的；</w:t>
            </w:r>
          </w:p>
          <w:p w14:paraId="6C3263C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Merge w:val="restart"/>
            <w:vAlign w:val="center"/>
          </w:tcPr>
          <w:p w14:paraId="4390E002">
            <w:pPr>
              <w:widowControl/>
              <w:adjustRightInd w:val="0"/>
              <w:snapToGrid w:val="0"/>
              <w:rPr>
                <w:rFonts w:ascii="宋体" w:hAnsi="宋体" w:cs="宋体"/>
                <w:color w:val="auto"/>
                <w:kern w:val="0"/>
                <w:szCs w:val="21"/>
              </w:rPr>
            </w:pPr>
          </w:p>
        </w:tc>
      </w:tr>
      <w:tr w14:paraId="560F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1" w:hRule="atLeast"/>
          <w:jc w:val="center"/>
        </w:trPr>
        <w:tc>
          <w:tcPr>
            <w:tcW w:w="522" w:type="dxa"/>
            <w:vMerge w:val="continue"/>
            <w:vAlign w:val="center"/>
          </w:tcPr>
          <w:p w14:paraId="2577117B">
            <w:pPr>
              <w:jc w:val="center"/>
              <w:rPr>
                <w:rFonts w:ascii="宋体" w:hAnsi="宋体" w:cs="宋体"/>
                <w:color w:val="auto"/>
                <w:kern w:val="0"/>
                <w:szCs w:val="21"/>
              </w:rPr>
            </w:pPr>
          </w:p>
        </w:tc>
        <w:tc>
          <w:tcPr>
            <w:tcW w:w="1341" w:type="dxa"/>
            <w:vMerge w:val="continue"/>
            <w:vAlign w:val="center"/>
          </w:tcPr>
          <w:p w14:paraId="7365B189">
            <w:pPr>
              <w:widowControl/>
              <w:adjustRightInd w:val="0"/>
              <w:snapToGrid w:val="0"/>
              <w:rPr>
                <w:rFonts w:ascii="宋体" w:hAnsi="宋体" w:cs="宋体"/>
                <w:color w:val="auto"/>
                <w:kern w:val="0"/>
                <w:szCs w:val="21"/>
              </w:rPr>
            </w:pPr>
          </w:p>
        </w:tc>
        <w:tc>
          <w:tcPr>
            <w:tcW w:w="1438" w:type="dxa"/>
            <w:vAlign w:val="center"/>
          </w:tcPr>
          <w:p w14:paraId="7836AED7">
            <w:pPr>
              <w:widowControl/>
              <w:adjustRightInd w:val="0"/>
              <w:snapToGrid w:val="0"/>
              <w:rPr>
                <w:rFonts w:ascii="宋体" w:hAnsi="宋体" w:cs="宋体"/>
                <w:color w:val="auto"/>
                <w:kern w:val="0"/>
                <w:szCs w:val="21"/>
              </w:rPr>
            </w:pPr>
            <w:r>
              <w:rPr>
                <w:rFonts w:hint="eastAsia" w:ascii="宋体" w:hAnsi="宋体" w:cs="宋体"/>
                <w:color w:val="auto"/>
                <w:kern w:val="0"/>
                <w:szCs w:val="21"/>
              </w:rPr>
              <w:t>4.2 从业人员安全生产教育培训</w:t>
            </w:r>
          </w:p>
        </w:tc>
        <w:tc>
          <w:tcPr>
            <w:tcW w:w="4795" w:type="dxa"/>
            <w:vAlign w:val="center"/>
          </w:tcPr>
          <w:p w14:paraId="5994C255">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E28C53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036BEF75">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生产经营单位接收中等职业学校、高等学校学生实习的，应当对实习学生进行相应的安全生产教育和培训，提供必要的劳动防护用品。学校应当协助生产经营单位对实习学生进行安全生产教育和培训。</w:t>
            </w:r>
          </w:p>
          <w:p w14:paraId="211A58C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生产经营单位应当建立安全生产教育和培训档案，如实记录安全生产教育和培训的时间、内容、参加人员以及考核结果等情况。</w:t>
            </w:r>
          </w:p>
        </w:tc>
        <w:tc>
          <w:tcPr>
            <w:tcW w:w="7277" w:type="dxa"/>
            <w:vAlign w:val="center"/>
          </w:tcPr>
          <w:p w14:paraId="7D38A71F">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5078E63">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14:paraId="373FA7BD">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（三）未按照规定对从业人员、被派遣劳动者、实习学生进行安全生产教育和培训，或者未按照规定如实告知有关的安全生产事项的；</w:t>
            </w:r>
          </w:p>
          <w:p w14:paraId="1CC2031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（四）未如实记录安全生产教育和培训情况的；</w:t>
            </w:r>
          </w:p>
          <w:p w14:paraId="0A61ACB4">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Merge w:val="continue"/>
            <w:vAlign w:val="center"/>
          </w:tcPr>
          <w:p w14:paraId="2432BDC1">
            <w:pPr>
              <w:widowControl/>
              <w:adjustRightInd w:val="0"/>
              <w:snapToGrid w:val="0"/>
              <w:rPr>
                <w:rFonts w:ascii="宋体" w:hAnsi="宋体" w:cs="宋体"/>
                <w:color w:val="auto"/>
                <w:kern w:val="0"/>
                <w:szCs w:val="21"/>
              </w:rPr>
            </w:pPr>
          </w:p>
        </w:tc>
      </w:tr>
      <w:tr w14:paraId="68E5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1" w:hRule="atLeast"/>
          <w:jc w:val="center"/>
        </w:trPr>
        <w:tc>
          <w:tcPr>
            <w:tcW w:w="522" w:type="dxa"/>
            <w:vMerge w:val="continue"/>
            <w:vAlign w:val="center"/>
          </w:tcPr>
          <w:p w14:paraId="4EE56DDE">
            <w:pPr>
              <w:jc w:val="center"/>
              <w:rPr>
                <w:rFonts w:ascii="宋体" w:hAnsi="宋体" w:cs="宋体"/>
                <w:color w:val="auto"/>
                <w:kern w:val="0"/>
                <w:szCs w:val="21"/>
              </w:rPr>
            </w:pPr>
          </w:p>
        </w:tc>
        <w:tc>
          <w:tcPr>
            <w:tcW w:w="1341" w:type="dxa"/>
            <w:vMerge w:val="continue"/>
            <w:vAlign w:val="center"/>
          </w:tcPr>
          <w:p w14:paraId="028B8A4B">
            <w:pPr>
              <w:widowControl/>
              <w:adjustRightInd w:val="0"/>
              <w:snapToGrid w:val="0"/>
              <w:rPr>
                <w:rFonts w:ascii="宋体" w:hAnsi="宋体" w:cs="宋体"/>
                <w:color w:val="auto"/>
                <w:kern w:val="0"/>
                <w:szCs w:val="21"/>
              </w:rPr>
            </w:pPr>
          </w:p>
        </w:tc>
        <w:tc>
          <w:tcPr>
            <w:tcW w:w="1438" w:type="dxa"/>
            <w:vAlign w:val="center"/>
          </w:tcPr>
          <w:p w14:paraId="4BC7B59A">
            <w:pPr>
              <w:widowControl/>
              <w:adjustRightInd w:val="0"/>
              <w:snapToGrid w:val="0"/>
              <w:rPr>
                <w:rFonts w:ascii="宋体" w:hAnsi="宋体" w:cs="宋体"/>
                <w:color w:val="auto"/>
                <w:kern w:val="0"/>
                <w:szCs w:val="21"/>
              </w:rPr>
            </w:pPr>
            <w:r>
              <w:rPr>
                <w:rFonts w:hint="eastAsia" w:ascii="宋体" w:hAnsi="宋体" w:cs="宋体"/>
                <w:color w:val="auto"/>
                <w:kern w:val="0"/>
                <w:szCs w:val="21"/>
              </w:rPr>
              <w:t>4.3 从业人员“四新”培训</w:t>
            </w:r>
          </w:p>
        </w:tc>
        <w:tc>
          <w:tcPr>
            <w:tcW w:w="4795" w:type="dxa"/>
            <w:vAlign w:val="center"/>
          </w:tcPr>
          <w:p w14:paraId="54A7BD8C">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第二十九条　生产经营单位采用新工艺、新技术、新材料或者使用新设备，必须了解、掌握其安全技术特性，采取有效的安全防护措施，并对从业人员进行专门的安全生产教育和培训。</w:t>
            </w:r>
          </w:p>
          <w:p w14:paraId="0E16C5FA">
            <w:pPr>
              <w:widowControl/>
              <w:adjustRightInd w:val="0"/>
              <w:snapToGrid w:val="0"/>
              <w:ind w:firstLine="420" w:firstLineChars="200"/>
              <w:rPr>
                <w:rFonts w:ascii="宋体" w:hAnsi="宋体" w:cs="宋体"/>
                <w:color w:val="auto"/>
                <w:kern w:val="0"/>
                <w:szCs w:val="21"/>
              </w:rPr>
            </w:pPr>
          </w:p>
        </w:tc>
        <w:tc>
          <w:tcPr>
            <w:tcW w:w="7277" w:type="dxa"/>
            <w:vAlign w:val="center"/>
          </w:tcPr>
          <w:p w14:paraId="5B99C9CC">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50B0D06">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14:paraId="500A570F">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（三）未按照规定对从业人员、被派遣劳动者、实习学生进行安全生产教育和培训，或者未按照规定如实告知有关的安全生产事项的；</w:t>
            </w:r>
          </w:p>
          <w:p w14:paraId="3F9461E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Merge w:val="continue"/>
            <w:vAlign w:val="center"/>
          </w:tcPr>
          <w:p w14:paraId="2A4DD857">
            <w:pPr>
              <w:widowControl/>
              <w:adjustRightInd w:val="0"/>
              <w:snapToGrid w:val="0"/>
              <w:rPr>
                <w:rFonts w:ascii="宋体" w:hAnsi="宋体" w:cs="宋体"/>
                <w:color w:val="auto"/>
                <w:kern w:val="0"/>
                <w:szCs w:val="21"/>
              </w:rPr>
            </w:pPr>
          </w:p>
        </w:tc>
      </w:tr>
      <w:tr w14:paraId="7FBC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60" w:hRule="atLeast"/>
          <w:jc w:val="center"/>
        </w:trPr>
        <w:tc>
          <w:tcPr>
            <w:tcW w:w="522" w:type="dxa"/>
            <w:vMerge w:val="continue"/>
            <w:vAlign w:val="center"/>
          </w:tcPr>
          <w:p w14:paraId="4A5986F4">
            <w:pPr>
              <w:jc w:val="center"/>
              <w:rPr>
                <w:rFonts w:ascii="宋体" w:hAnsi="宋体" w:cs="宋体"/>
                <w:color w:val="auto"/>
                <w:kern w:val="0"/>
                <w:szCs w:val="21"/>
              </w:rPr>
            </w:pPr>
          </w:p>
        </w:tc>
        <w:tc>
          <w:tcPr>
            <w:tcW w:w="1341" w:type="dxa"/>
            <w:vMerge w:val="continue"/>
            <w:vAlign w:val="center"/>
          </w:tcPr>
          <w:p w14:paraId="66BD6C78">
            <w:pPr>
              <w:widowControl/>
              <w:adjustRightInd w:val="0"/>
              <w:snapToGrid w:val="0"/>
              <w:rPr>
                <w:rFonts w:ascii="宋体" w:hAnsi="宋体" w:cs="宋体"/>
                <w:color w:val="auto"/>
                <w:kern w:val="0"/>
                <w:szCs w:val="21"/>
              </w:rPr>
            </w:pPr>
          </w:p>
        </w:tc>
        <w:tc>
          <w:tcPr>
            <w:tcW w:w="1438" w:type="dxa"/>
            <w:vAlign w:val="center"/>
          </w:tcPr>
          <w:p w14:paraId="3D17746F">
            <w:pPr>
              <w:widowControl/>
              <w:adjustRightInd w:val="0"/>
              <w:snapToGrid w:val="0"/>
              <w:rPr>
                <w:rFonts w:ascii="宋体" w:hAnsi="宋体" w:cs="宋体"/>
                <w:color w:val="auto"/>
                <w:kern w:val="0"/>
                <w:szCs w:val="21"/>
              </w:rPr>
            </w:pPr>
            <w:r>
              <w:rPr>
                <w:rFonts w:hint="eastAsia" w:ascii="宋体" w:hAnsi="宋体" w:cs="宋体"/>
                <w:color w:val="auto"/>
                <w:kern w:val="0"/>
                <w:szCs w:val="21"/>
              </w:rPr>
              <w:t>4.4 培训时间</w:t>
            </w:r>
          </w:p>
        </w:tc>
        <w:tc>
          <w:tcPr>
            <w:tcW w:w="4795" w:type="dxa"/>
            <w:vAlign w:val="center"/>
          </w:tcPr>
          <w:p w14:paraId="6F147E0F">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《安全生产培训管理办法》第十一条  生产经营单位从业人员的培训内容和培训时间，应当符合《生产经营单位安全培训规定》和有关标准的规定。</w:t>
            </w:r>
          </w:p>
        </w:tc>
        <w:tc>
          <w:tcPr>
            <w:tcW w:w="7277" w:type="dxa"/>
            <w:vAlign w:val="center"/>
          </w:tcPr>
          <w:p w14:paraId="37E2ED0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《安全生产培训管理办法》第三十六条  生产经营单位有下列情形之一的，责令改正，处3万元以下的罚款：</w:t>
            </w:r>
          </w:p>
          <w:p w14:paraId="59AD381F">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（一）从业人员安全培训的时间少于《生产经营单位安全培训规定》或者有关标准规定的；</w:t>
            </w:r>
          </w:p>
          <w:p w14:paraId="73245459">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Merge w:val="continue"/>
            <w:vAlign w:val="center"/>
          </w:tcPr>
          <w:p w14:paraId="34D89E52">
            <w:pPr>
              <w:widowControl/>
              <w:adjustRightInd w:val="0"/>
              <w:snapToGrid w:val="0"/>
              <w:rPr>
                <w:rFonts w:ascii="宋体" w:hAnsi="宋体" w:cs="宋体"/>
                <w:color w:val="auto"/>
                <w:kern w:val="0"/>
                <w:szCs w:val="21"/>
              </w:rPr>
            </w:pPr>
          </w:p>
        </w:tc>
      </w:tr>
      <w:tr w14:paraId="2A88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522" w:type="dxa"/>
            <w:vMerge w:val="continue"/>
            <w:vAlign w:val="center"/>
          </w:tcPr>
          <w:p w14:paraId="4DD3B80B">
            <w:pPr>
              <w:jc w:val="center"/>
              <w:rPr>
                <w:rFonts w:ascii="宋体" w:hAnsi="宋体" w:cs="宋体"/>
                <w:color w:val="auto"/>
                <w:kern w:val="0"/>
                <w:szCs w:val="21"/>
              </w:rPr>
            </w:pPr>
          </w:p>
        </w:tc>
        <w:tc>
          <w:tcPr>
            <w:tcW w:w="1341" w:type="dxa"/>
            <w:vMerge w:val="continue"/>
            <w:vAlign w:val="center"/>
          </w:tcPr>
          <w:p w14:paraId="31506604">
            <w:pPr>
              <w:widowControl/>
              <w:adjustRightInd w:val="0"/>
              <w:snapToGrid w:val="0"/>
              <w:rPr>
                <w:rFonts w:ascii="宋体" w:hAnsi="宋体" w:cs="宋体"/>
                <w:color w:val="auto"/>
                <w:kern w:val="0"/>
                <w:szCs w:val="21"/>
              </w:rPr>
            </w:pPr>
          </w:p>
        </w:tc>
        <w:tc>
          <w:tcPr>
            <w:tcW w:w="1438" w:type="dxa"/>
            <w:vAlign w:val="center"/>
          </w:tcPr>
          <w:p w14:paraId="3901224E">
            <w:pPr>
              <w:widowControl/>
              <w:adjustRightInd w:val="0"/>
              <w:snapToGrid w:val="0"/>
              <w:rPr>
                <w:rFonts w:ascii="宋体" w:hAnsi="宋体" w:cs="宋体"/>
                <w:color w:val="auto"/>
                <w:kern w:val="0"/>
                <w:szCs w:val="21"/>
              </w:rPr>
            </w:pPr>
            <w:r>
              <w:rPr>
                <w:rFonts w:hint="eastAsia" w:ascii="宋体" w:hAnsi="宋体" w:cs="宋体"/>
                <w:color w:val="auto"/>
                <w:kern w:val="0"/>
                <w:szCs w:val="21"/>
              </w:rPr>
              <w:t>4.5 告知从业人员安全生产事项</w:t>
            </w:r>
          </w:p>
        </w:tc>
        <w:tc>
          <w:tcPr>
            <w:tcW w:w="4795" w:type="dxa"/>
            <w:vAlign w:val="center"/>
          </w:tcPr>
          <w:p w14:paraId="4476A9BD">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第四十四条　生产经营单位应当教育和督促从业人员严格执行本单位的安全生产规章制度和安全操作规程；并向从业人员如实告知作业场所和工作岗位存在的危险因素、防范措施以及事故应急措施。</w:t>
            </w:r>
          </w:p>
          <w:p w14:paraId="42370C52">
            <w:pPr>
              <w:widowControl/>
              <w:adjustRightInd w:val="0"/>
              <w:snapToGrid w:val="0"/>
              <w:ind w:firstLine="420" w:firstLineChars="200"/>
              <w:rPr>
                <w:rFonts w:ascii="宋体" w:hAnsi="宋体" w:cs="宋体"/>
                <w:color w:val="auto"/>
                <w:kern w:val="0"/>
                <w:szCs w:val="21"/>
              </w:rPr>
            </w:pPr>
          </w:p>
        </w:tc>
        <w:tc>
          <w:tcPr>
            <w:tcW w:w="7277" w:type="dxa"/>
            <w:vAlign w:val="center"/>
          </w:tcPr>
          <w:p w14:paraId="068BC3B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29224F6">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14:paraId="0FF9CDA4">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（三）未按照规定对从业人员、被派遣劳动者、实习学生进行安全生产教育和培训，或者未按照规定如实告知有关的安全生产事项的；</w:t>
            </w:r>
          </w:p>
          <w:p w14:paraId="6907AD0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Merge w:val="continue"/>
            <w:vAlign w:val="center"/>
          </w:tcPr>
          <w:p w14:paraId="5F524E1A">
            <w:pPr>
              <w:widowControl/>
              <w:adjustRightInd w:val="0"/>
              <w:snapToGrid w:val="0"/>
              <w:rPr>
                <w:rFonts w:ascii="宋体" w:hAnsi="宋体" w:cs="宋体"/>
                <w:color w:val="auto"/>
                <w:kern w:val="0"/>
                <w:szCs w:val="21"/>
              </w:rPr>
            </w:pPr>
          </w:p>
        </w:tc>
      </w:tr>
      <w:tr w14:paraId="2389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766" w:hRule="atLeast"/>
          <w:jc w:val="center"/>
        </w:trPr>
        <w:tc>
          <w:tcPr>
            <w:tcW w:w="522" w:type="dxa"/>
            <w:vMerge w:val="continue"/>
            <w:vAlign w:val="center"/>
          </w:tcPr>
          <w:p w14:paraId="091FA464">
            <w:pPr>
              <w:jc w:val="center"/>
              <w:rPr>
                <w:rFonts w:ascii="宋体" w:hAnsi="宋体" w:cs="宋体"/>
                <w:color w:val="auto"/>
                <w:kern w:val="0"/>
                <w:szCs w:val="21"/>
              </w:rPr>
            </w:pPr>
          </w:p>
        </w:tc>
        <w:tc>
          <w:tcPr>
            <w:tcW w:w="1341" w:type="dxa"/>
            <w:vMerge w:val="continue"/>
            <w:vAlign w:val="center"/>
          </w:tcPr>
          <w:p w14:paraId="23E381B1">
            <w:pPr>
              <w:widowControl/>
              <w:adjustRightInd w:val="0"/>
              <w:snapToGrid w:val="0"/>
              <w:rPr>
                <w:rFonts w:ascii="宋体" w:hAnsi="宋体" w:cs="宋体"/>
                <w:color w:val="auto"/>
                <w:kern w:val="0"/>
                <w:szCs w:val="21"/>
              </w:rPr>
            </w:pPr>
          </w:p>
        </w:tc>
        <w:tc>
          <w:tcPr>
            <w:tcW w:w="1438" w:type="dxa"/>
            <w:vAlign w:val="center"/>
          </w:tcPr>
          <w:p w14:paraId="70736391">
            <w:pPr>
              <w:widowControl/>
              <w:adjustRightInd w:val="0"/>
              <w:snapToGrid w:val="0"/>
              <w:rPr>
                <w:rFonts w:ascii="宋体" w:hAnsi="宋体" w:cs="宋体"/>
                <w:color w:val="auto"/>
                <w:kern w:val="0"/>
                <w:szCs w:val="21"/>
              </w:rPr>
            </w:pPr>
            <w:r>
              <w:rPr>
                <w:rFonts w:hint="eastAsia" w:ascii="宋体" w:hAnsi="宋体" w:cs="宋体"/>
                <w:color w:val="auto"/>
                <w:kern w:val="0"/>
                <w:szCs w:val="21"/>
              </w:rPr>
              <w:t>4.6 新招矿山井下、危险物品作业人员实习上岗</w:t>
            </w:r>
          </w:p>
        </w:tc>
        <w:tc>
          <w:tcPr>
            <w:tcW w:w="4795" w:type="dxa"/>
            <w:vAlign w:val="center"/>
          </w:tcPr>
          <w:p w14:paraId="263F3489">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《安全生产培训管理办法》第十三条  ……</w:t>
            </w:r>
          </w:p>
          <w:p w14:paraId="3D2411F5">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矿山新招的井下作业人员和危险物品生产经营单位新招的危险工艺操作岗位人员，除按照规定进行安全培训外，还应当在有经验的职工带领下实习满2个月后，方可独立上岗作业。</w:t>
            </w:r>
          </w:p>
        </w:tc>
        <w:tc>
          <w:tcPr>
            <w:tcW w:w="7277" w:type="dxa"/>
            <w:vAlign w:val="center"/>
          </w:tcPr>
          <w:p w14:paraId="46CBC967">
            <w:pPr>
              <w:widowControl/>
              <w:adjustRightInd w:val="0"/>
              <w:snapToGrid w:val="0"/>
              <w:ind w:firstLine="420" w:firstLineChars="200"/>
              <w:rPr>
                <w:color w:val="auto"/>
              </w:rPr>
            </w:pPr>
            <w:r>
              <w:rPr>
                <w:rFonts w:hint="eastAsia"/>
                <w:color w:val="auto"/>
              </w:rPr>
              <w:t>《安全生产培训管理办法》第三十六条  生产经营单位有下列情形之一的，责令改正，处</w:t>
            </w:r>
            <w:r>
              <w:rPr>
                <w:rFonts w:hint="eastAsia" w:asciiTheme="minorEastAsia" w:hAnsiTheme="minorEastAsia" w:eastAsiaTheme="minorEastAsia"/>
                <w:color w:val="auto"/>
                <w:highlight w:val="none"/>
              </w:rPr>
              <w:t>3</w:t>
            </w:r>
            <w:r>
              <w:rPr>
                <w:rFonts w:hint="eastAsia"/>
                <w:color w:val="auto"/>
                <w:highlight w:val="none"/>
              </w:rPr>
              <w:t>万</w:t>
            </w:r>
            <w:r>
              <w:rPr>
                <w:rFonts w:hint="eastAsia"/>
                <w:color w:val="auto"/>
              </w:rPr>
              <w:t>元以下的罚款：</w:t>
            </w:r>
          </w:p>
          <w:p w14:paraId="778AC7FD">
            <w:pPr>
              <w:widowControl/>
              <w:adjustRightInd w:val="0"/>
              <w:snapToGrid w:val="0"/>
              <w:ind w:firstLine="420" w:firstLineChars="200"/>
              <w:rPr>
                <w:color w:val="auto"/>
              </w:rPr>
            </w:pPr>
            <w:r>
              <w:rPr>
                <w:rFonts w:hint="eastAsia"/>
                <w:color w:val="auto"/>
              </w:rPr>
              <w:t>……</w:t>
            </w:r>
          </w:p>
          <w:p w14:paraId="66DE6A78">
            <w:pPr>
              <w:widowControl/>
              <w:numPr>
                <w:ilvl w:val="0"/>
                <w:numId w:val="2"/>
              </w:numPr>
              <w:adjustRightInd w:val="0"/>
              <w:snapToGrid w:val="0"/>
              <w:ind w:firstLine="420" w:firstLineChars="200"/>
              <w:rPr>
                <w:color w:val="auto"/>
              </w:rPr>
            </w:pPr>
            <w:r>
              <w:rPr>
                <w:rFonts w:hint="eastAsia"/>
                <w:color w:val="auto"/>
              </w:rPr>
              <w:t>矿山新招的井下作业人员和危险物品生产经营单位新招的危险工艺操作岗位人员，未经实习期满独立上岗作业的。</w:t>
            </w:r>
          </w:p>
          <w:p w14:paraId="1D9811D9">
            <w:pPr>
              <w:pStyle w:val="11"/>
              <w:numPr>
                <w:ilvl w:val="255"/>
                <w:numId w:val="0"/>
              </w:numPr>
              <w:ind w:firstLine="420"/>
              <w:rPr>
                <w:rFonts w:eastAsia="宋体"/>
                <w:color w:val="auto"/>
              </w:rPr>
            </w:pPr>
            <w:r>
              <w:rPr>
                <w:rFonts w:hint="eastAsia" w:ascii="宋体" w:hAnsi="宋体" w:eastAsia="宋体" w:cs="宋体"/>
                <w:color w:val="auto"/>
                <w:kern w:val="0"/>
                <w:szCs w:val="21"/>
              </w:rPr>
              <w:t>……</w:t>
            </w:r>
          </w:p>
        </w:tc>
        <w:tc>
          <w:tcPr>
            <w:tcW w:w="741" w:type="dxa"/>
            <w:vAlign w:val="center"/>
          </w:tcPr>
          <w:p w14:paraId="5648F738">
            <w:pPr>
              <w:widowControl/>
              <w:adjustRightInd w:val="0"/>
              <w:snapToGrid w:val="0"/>
              <w:rPr>
                <w:rFonts w:ascii="宋体" w:hAnsi="宋体" w:cs="宋体"/>
                <w:color w:val="auto"/>
                <w:kern w:val="0"/>
                <w:szCs w:val="21"/>
              </w:rPr>
            </w:pPr>
          </w:p>
        </w:tc>
      </w:tr>
      <w:tr w14:paraId="6398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12" w:hRule="atLeast"/>
          <w:jc w:val="center"/>
        </w:trPr>
        <w:tc>
          <w:tcPr>
            <w:tcW w:w="522" w:type="dxa"/>
            <w:vMerge w:val="restart"/>
            <w:vAlign w:val="center"/>
          </w:tcPr>
          <w:p w14:paraId="64F2CA5B">
            <w:pPr>
              <w:jc w:val="center"/>
              <w:rPr>
                <w:rFonts w:ascii="宋体" w:hAnsi="宋体" w:cs="宋体"/>
                <w:color w:val="auto"/>
                <w:kern w:val="0"/>
                <w:szCs w:val="21"/>
              </w:rPr>
            </w:pPr>
            <w:r>
              <w:rPr>
                <w:rFonts w:hint="eastAsia" w:ascii="宋体" w:hAnsi="宋体" w:cs="宋体"/>
                <w:color w:val="auto"/>
                <w:kern w:val="0"/>
                <w:szCs w:val="21"/>
              </w:rPr>
              <w:t>5</w:t>
            </w:r>
          </w:p>
        </w:tc>
        <w:tc>
          <w:tcPr>
            <w:tcW w:w="1341" w:type="dxa"/>
            <w:vMerge w:val="restart"/>
            <w:vAlign w:val="center"/>
          </w:tcPr>
          <w:p w14:paraId="503432D9">
            <w:pPr>
              <w:widowControl/>
              <w:adjustRightInd w:val="0"/>
              <w:snapToGrid w:val="0"/>
              <w:rPr>
                <w:rFonts w:ascii="宋体" w:hAnsi="宋体" w:cs="宋体"/>
                <w:color w:val="auto"/>
                <w:kern w:val="0"/>
                <w:szCs w:val="21"/>
              </w:rPr>
            </w:pPr>
            <w:r>
              <w:rPr>
                <w:rFonts w:hint="eastAsia" w:ascii="宋体" w:hAnsi="宋体" w:cs="宋体"/>
                <w:color w:val="auto"/>
                <w:kern w:val="0"/>
                <w:szCs w:val="21"/>
              </w:rPr>
              <w:t>特种作业人员持证上岗情况</w:t>
            </w:r>
          </w:p>
        </w:tc>
        <w:tc>
          <w:tcPr>
            <w:tcW w:w="1438" w:type="dxa"/>
            <w:vAlign w:val="center"/>
          </w:tcPr>
          <w:p w14:paraId="2927F97F">
            <w:pPr>
              <w:widowControl/>
              <w:adjustRightInd w:val="0"/>
              <w:snapToGrid w:val="0"/>
              <w:rPr>
                <w:rFonts w:ascii="宋体" w:hAnsi="宋体" w:cs="宋体"/>
                <w:color w:val="auto"/>
                <w:kern w:val="0"/>
                <w:szCs w:val="21"/>
              </w:rPr>
            </w:pPr>
            <w:r>
              <w:rPr>
                <w:rFonts w:hint="eastAsia" w:ascii="宋体" w:hAnsi="宋体" w:cs="宋体"/>
                <w:color w:val="auto"/>
                <w:kern w:val="0"/>
                <w:szCs w:val="21"/>
              </w:rPr>
              <w:t>5.1 特种作业人员培训取证</w:t>
            </w:r>
          </w:p>
        </w:tc>
        <w:tc>
          <w:tcPr>
            <w:tcW w:w="4795" w:type="dxa"/>
            <w:vAlign w:val="center"/>
          </w:tcPr>
          <w:p w14:paraId="641333FC">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第三十条　生产经营单位的特种作业人员必须按照国家有关规定经专门的安全作业培训，取得相应资格，方可上岗作业。</w:t>
            </w:r>
          </w:p>
          <w:p w14:paraId="4F0F1276">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特种作业人员的范围由国务院应急管理部门会同国务院有关部门确定。</w:t>
            </w:r>
          </w:p>
          <w:p w14:paraId="14CBD82F">
            <w:pPr>
              <w:widowControl/>
              <w:adjustRightInd w:val="0"/>
              <w:snapToGrid w:val="0"/>
              <w:ind w:firstLine="420" w:firstLineChars="200"/>
              <w:rPr>
                <w:rFonts w:ascii="宋体" w:hAnsi="宋体" w:cs="宋体"/>
                <w:color w:val="auto"/>
                <w:kern w:val="0"/>
                <w:szCs w:val="21"/>
              </w:rPr>
            </w:pPr>
          </w:p>
        </w:tc>
        <w:tc>
          <w:tcPr>
            <w:tcW w:w="7277" w:type="dxa"/>
            <w:vAlign w:val="center"/>
          </w:tcPr>
          <w:p w14:paraId="101027A4">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95856EA">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14:paraId="64DB98A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（七）特种作业人员未按照规定经专门的安全作业培训并取得相应资格，上岗作业的。</w:t>
            </w:r>
          </w:p>
        </w:tc>
        <w:tc>
          <w:tcPr>
            <w:tcW w:w="741" w:type="dxa"/>
            <w:vAlign w:val="center"/>
          </w:tcPr>
          <w:p w14:paraId="2F838E36">
            <w:pPr>
              <w:widowControl/>
              <w:adjustRightInd w:val="0"/>
              <w:snapToGrid w:val="0"/>
              <w:rPr>
                <w:rFonts w:ascii="宋体" w:hAnsi="宋体" w:cs="宋体"/>
                <w:color w:val="auto"/>
                <w:kern w:val="0"/>
                <w:szCs w:val="21"/>
              </w:rPr>
            </w:pPr>
          </w:p>
        </w:tc>
      </w:tr>
      <w:tr w14:paraId="3C50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522" w:type="dxa"/>
            <w:vMerge w:val="continue"/>
            <w:vAlign w:val="center"/>
          </w:tcPr>
          <w:p w14:paraId="1E9071BA">
            <w:pPr>
              <w:jc w:val="center"/>
              <w:rPr>
                <w:rFonts w:ascii="宋体" w:hAnsi="宋体" w:cs="宋体"/>
                <w:color w:val="auto"/>
                <w:kern w:val="0"/>
                <w:szCs w:val="21"/>
              </w:rPr>
            </w:pPr>
          </w:p>
        </w:tc>
        <w:tc>
          <w:tcPr>
            <w:tcW w:w="1341" w:type="dxa"/>
            <w:vMerge w:val="continue"/>
            <w:vAlign w:val="center"/>
          </w:tcPr>
          <w:p w14:paraId="6FB701A2">
            <w:pPr>
              <w:widowControl/>
              <w:adjustRightInd w:val="0"/>
              <w:snapToGrid w:val="0"/>
              <w:rPr>
                <w:rFonts w:ascii="宋体" w:hAnsi="宋体" w:cs="宋体"/>
                <w:color w:val="auto"/>
                <w:kern w:val="0"/>
                <w:szCs w:val="21"/>
              </w:rPr>
            </w:pPr>
          </w:p>
        </w:tc>
        <w:tc>
          <w:tcPr>
            <w:tcW w:w="1438" w:type="dxa"/>
            <w:vAlign w:val="center"/>
          </w:tcPr>
          <w:p w14:paraId="76AB17AF">
            <w:pPr>
              <w:widowControl/>
              <w:adjustRightInd w:val="0"/>
              <w:snapToGrid w:val="0"/>
              <w:rPr>
                <w:rFonts w:ascii="宋体" w:hAnsi="宋体" w:cs="宋体"/>
                <w:color w:val="auto"/>
                <w:kern w:val="0"/>
                <w:szCs w:val="21"/>
              </w:rPr>
            </w:pPr>
            <w:r>
              <w:rPr>
                <w:rFonts w:hint="eastAsia" w:ascii="宋体" w:hAnsi="宋体" w:cs="宋体"/>
                <w:color w:val="auto"/>
                <w:kern w:val="0"/>
                <w:szCs w:val="21"/>
              </w:rPr>
              <w:t>5.2 特种作业人员证书真实性</w:t>
            </w:r>
          </w:p>
        </w:tc>
        <w:tc>
          <w:tcPr>
            <w:tcW w:w="4795" w:type="dxa"/>
            <w:vAlign w:val="center"/>
          </w:tcPr>
          <w:p w14:paraId="6AA307B5">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《特种作业人员安全技术培训考核管理规定》第三十六条  ……</w:t>
            </w:r>
          </w:p>
          <w:p w14:paraId="2352B39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特种作业人员不得伪造、涂改、转借、转让、冒用特种作业操作证或者使用伪造的特种作业操作证。</w:t>
            </w:r>
          </w:p>
        </w:tc>
        <w:tc>
          <w:tcPr>
            <w:tcW w:w="7277" w:type="dxa"/>
            <w:vAlign w:val="center"/>
          </w:tcPr>
          <w:p w14:paraId="5A9D7D8A">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《特种作业人员安全技术培训考核管理规定》第四十一条  特种作业人员伪造、涂改特种作业操作证或者使用伪造的特种作业操作证的，给予警告，并处1000元以上5000元以下的罚款。</w:t>
            </w:r>
          </w:p>
          <w:p w14:paraId="5E79A104">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特种作业人员转借、转让、冒用特种作业操作证的，给予警告，并处2000元以上1万元以下的罚款。</w:t>
            </w:r>
          </w:p>
        </w:tc>
        <w:tc>
          <w:tcPr>
            <w:tcW w:w="741" w:type="dxa"/>
            <w:vAlign w:val="center"/>
          </w:tcPr>
          <w:p w14:paraId="595724B5">
            <w:pPr>
              <w:widowControl/>
              <w:adjustRightInd w:val="0"/>
              <w:snapToGrid w:val="0"/>
              <w:rPr>
                <w:rFonts w:ascii="宋体" w:hAnsi="宋体" w:cs="宋体"/>
                <w:color w:val="auto"/>
                <w:kern w:val="0"/>
                <w:szCs w:val="21"/>
              </w:rPr>
            </w:pPr>
          </w:p>
        </w:tc>
      </w:tr>
      <w:tr w14:paraId="455E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298" w:hRule="atLeast"/>
          <w:jc w:val="center"/>
        </w:trPr>
        <w:tc>
          <w:tcPr>
            <w:tcW w:w="522" w:type="dxa"/>
            <w:vMerge w:val="restart"/>
            <w:vAlign w:val="center"/>
          </w:tcPr>
          <w:p w14:paraId="42C80487">
            <w:pPr>
              <w:jc w:val="center"/>
              <w:rPr>
                <w:rFonts w:ascii="宋体" w:hAnsi="宋体" w:cs="宋体"/>
                <w:color w:val="auto"/>
                <w:kern w:val="0"/>
                <w:szCs w:val="21"/>
              </w:rPr>
            </w:pPr>
            <w:r>
              <w:rPr>
                <w:rFonts w:hint="eastAsia" w:ascii="宋体" w:hAnsi="宋体" w:cs="宋体"/>
                <w:color w:val="auto"/>
                <w:kern w:val="0"/>
                <w:szCs w:val="21"/>
              </w:rPr>
              <w:t>6</w:t>
            </w:r>
          </w:p>
        </w:tc>
        <w:tc>
          <w:tcPr>
            <w:tcW w:w="1341" w:type="dxa"/>
            <w:vMerge w:val="restart"/>
            <w:vAlign w:val="center"/>
          </w:tcPr>
          <w:p w14:paraId="5DFA8686">
            <w:pPr>
              <w:widowControl/>
              <w:adjustRightInd w:val="0"/>
              <w:snapToGrid w:val="0"/>
              <w:rPr>
                <w:rFonts w:ascii="宋体" w:hAnsi="宋体" w:cs="宋体"/>
                <w:color w:val="auto"/>
                <w:kern w:val="0"/>
                <w:szCs w:val="21"/>
              </w:rPr>
            </w:pPr>
            <w:r>
              <w:rPr>
                <w:rFonts w:hint="eastAsia" w:ascii="宋体" w:hAnsi="宋体" w:cs="宋体"/>
                <w:color w:val="auto"/>
                <w:kern w:val="0"/>
                <w:szCs w:val="21"/>
              </w:rPr>
              <w:t>建设项目安全评价及建设项目安全设施“三同时”情况</w:t>
            </w:r>
          </w:p>
        </w:tc>
        <w:tc>
          <w:tcPr>
            <w:tcW w:w="1438" w:type="dxa"/>
            <w:vAlign w:val="center"/>
          </w:tcPr>
          <w:p w14:paraId="249CE8ED">
            <w:pPr>
              <w:widowControl/>
              <w:adjustRightInd w:val="0"/>
              <w:snapToGrid w:val="0"/>
              <w:rPr>
                <w:rFonts w:ascii="宋体" w:hAnsi="宋体" w:cs="宋体"/>
                <w:color w:val="auto"/>
                <w:kern w:val="0"/>
                <w:szCs w:val="21"/>
              </w:rPr>
            </w:pPr>
            <w:r>
              <w:rPr>
                <w:rFonts w:hint="eastAsia" w:ascii="宋体" w:hAnsi="宋体" w:cs="宋体"/>
                <w:color w:val="auto"/>
                <w:kern w:val="0"/>
                <w:szCs w:val="21"/>
              </w:rPr>
              <w:t>6.1 高危建设项目安全评价</w:t>
            </w:r>
          </w:p>
        </w:tc>
        <w:tc>
          <w:tcPr>
            <w:tcW w:w="4795" w:type="dxa"/>
            <w:vAlign w:val="center"/>
          </w:tcPr>
          <w:p w14:paraId="0D73B639">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》第三十二条　矿山、金属冶炼建设项目和用于生产、储存、装卸危险物品的建设项目，应当按照国家有关规定进行安全评价。</w:t>
            </w:r>
          </w:p>
          <w:p w14:paraId="682179C5">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《建设项目安全设施“三同时”监督管理办法》第七条  下列建设项目在进行可行性研究时，生产经营单位应当按照国家规定，进行安全预评价：</w:t>
            </w:r>
          </w:p>
          <w:p w14:paraId="4239F371">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（一）非煤矿矿山建设项目；</w:t>
            </w:r>
          </w:p>
          <w:p w14:paraId="67B17A52">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（二）生产、储存危险化学品（包括使用长输管道输送危险化学品，下同）的建设项目；</w:t>
            </w:r>
          </w:p>
          <w:p w14:paraId="40A6005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（三）生产、储存烟花爆竹的建设项目；</w:t>
            </w:r>
          </w:p>
          <w:p w14:paraId="43F4416D">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（四）金属冶炼建设项目；</w:t>
            </w:r>
          </w:p>
          <w:p w14:paraId="2D57CC7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（五）使用危险化学品从事生产并且使用量达到规定数量的化工建设项目（属于危险化学品生产的除外，下同）；</w:t>
            </w:r>
          </w:p>
          <w:p w14:paraId="1C3612F3">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（六）法律、行政法规和国务院规定的其他建设项目。</w:t>
            </w:r>
          </w:p>
          <w:p w14:paraId="089B041D">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《建设项目安全设施“三同时”监督管理办法》第二十二条  本办法第七条规定的建设项目安全设施竣工或者试运行完成后，生产经营单位应当委托具有相应资质的安全评价机构对安全设施进行验收评价，并编制建设项目安全验收评价报告。</w:t>
            </w:r>
          </w:p>
          <w:p w14:paraId="6B877F5E">
            <w:pPr>
              <w:widowControl/>
              <w:adjustRightInd w:val="0"/>
              <w:snapToGrid w:val="0"/>
              <w:ind w:firstLine="420" w:firstLineChars="200"/>
              <w:rPr>
                <w:color w:val="auto"/>
              </w:rPr>
            </w:pPr>
            <w:r>
              <w:rPr>
                <w:rFonts w:hint="eastAsia" w:ascii="宋体" w:hAnsi="宋体" w:cs="宋体"/>
                <w:color w:val="auto"/>
                <w:kern w:val="0"/>
                <w:szCs w:val="21"/>
              </w:rPr>
              <w:t>……</w:t>
            </w:r>
          </w:p>
        </w:tc>
        <w:tc>
          <w:tcPr>
            <w:tcW w:w="7277" w:type="dxa"/>
            <w:vAlign w:val="center"/>
          </w:tcPr>
          <w:p w14:paraId="2D985570">
            <w:pPr>
              <w:widowControl/>
              <w:adjustRightInd w:val="0"/>
              <w:snapToGrid w:val="0"/>
              <w:ind w:firstLine="420" w:firstLineChars="200"/>
              <w:rPr>
                <w:rFonts w:hint="eastAsia"/>
                <w:color w:val="auto"/>
              </w:rPr>
            </w:pPr>
            <w:r>
              <w:rPr>
                <w:rFonts w:hint="eastAsia"/>
                <w:color w:val="auto"/>
              </w:rPr>
              <w:t>《</w:t>
            </w:r>
            <w:r>
              <w:rPr>
                <w:rFonts w:hint="eastAsia"/>
                <w:color w:val="auto"/>
                <w:lang w:eastAsia="zh-CN"/>
              </w:rPr>
              <w:t>中华人民共和国安全生产法</w:t>
            </w:r>
            <w:r>
              <w:rPr>
                <w:rFonts w:hint="eastAsia"/>
                <w:color w:val="auto"/>
              </w:rPr>
              <w:t>》</w:t>
            </w:r>
            <w:r>
              <w:rPr>
                <w:rFonts w:hint="eastAsia"/>
                <w:color w:val="auto"/>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096C660C">
            <w:pPr>
              <w:widowControl/>
              <w:numPr>
                <w:ilvl w:val="0"/>
                <w:numId w:val="3"/>
              </w:numPr>
              <w:adjustRightInd w:val="0"/>
              <w:snapToGrid w:val="0"/>
              <w:ind w:firstLine="420" w:firstLineChars="200"/>
              <w:rPr>
                <w:rFonts w:hint="eastAsia"/>
                <w:color w:val="auto"/>
                <w:lang w:val="en-US" w:eastAsia="zh-CN"/>
              </w:rPr>
            </w:pPr>
            <w:r>
              <w:rPr>
                <w:rFonts w:hint="eastAsia"/>
                <w:color w:val="auto"/>
                <w:lang w:val="en-US" w:eastAsia="zh-CN"/>
              </w:rPr>
              <w:t>未按照规定对矿山、金属冶炼建设项目或者用于生产、储存、装卸危险物品的建设项目进行安全评价的；</w:t>
            </w:r>
          </w:p>
          <w:p w14:paraId="55435581">
            <w:pPr>
              <w:pStyle w:val="11"/>
              <w:numPr>
                <w:ilvl w:val="0"/>
                <w:numId w:val="0"/>
              </w:numPr>
              <w:ind w:firstLine="420" w:firstLineChars="200"/>
              <w:rPr>
                <w:rFonts w:hint="eastAsia" w:eastAsia="仿宋_GB2312"/>
                <w:color w:val="auto"/>
                <w:lang w:val="en-US" w:eastAsia="zh-CN"/>
              </w:rPr>
            </w:pPr>
            <w:r>
              <w:rPr>
                <w:rFonts w:hint="eastAsia" w:ascii="宋体" w:hAnsi="宋体" w:cs="宋体"/>
                <w:color w:val="auto"/>
                <w:kern w:val="0"/>
                <w:szCs w:val="21"/>
              </w:rPr>
              <w:t>……</w:t>
            </w:r>
            <w:r>
              <w:rPr>
                <w:rFonts w:hint="eastAsia"/>
                <w:color w:val="auto"/>
                <w:lang w:val="en-US" w:eastAsia="zh-CN"/>
              </w:rPr>
              <w:t xml:space="preserve"> </w:t>
            </w:r>
          </w:p>
        </w:tc>
        <w:tc>
          <w:tcPr>
            <w:tcW w:w="741" w:type="dxa"/>
            <w:vMerge w:val="restart"/>
            <w:vAlign w:val="center"/>
          </w:tcPr>
          <w:p w14:paraId="6E5D3688">
            <w:pPr>
              <w:widowControl/>
              <w:adjustRightInd w:val="0"/>
              <w:snapToGrid w:val="0"/>
              <w:rPr>
                <w:rFonts w:ascii="宋体" w:hAnsi="宋体" w:cs="宋体"/>
                <w:color w:val="auto"/>
                <w:kern w:val="0"/>
                <w:szCs w:val="21"/>
              </w:rPr>
            </w:pPr>
          </w:p>
        </w:tc>
      </w:tr>
      <w:tr w14:paraId="653F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161" w:hRule="atLeast"/>
          <w:jc w:val="center"/>
        </w:trPr>
        <w:tc>
          <w:tcPr>
            <w:tcW w:w="522" w:type="dxa"/>
            <w:vMerge w:val="continue"/>
            <w:vAlign w:val="center"/>
          </w:tcPr>
          <w:p w14:paraId="14AD8BFC">
            <w:pPr>
              <w:jc w:val="center"/>
              <w:rPr>
                <w:rFonts w:ascii="宋体" w:hAnsi="宋体" w:cs="宋体"/>
                <w:color w:val="auto"/>
                <w:kern w:val="0"/>
                <w:szCs w:val="21"/>
              </w:rPr>
            </w:pPr>
          </w:p>
        </w:tc>
        <w:tc>
          <w:tcPr>
            <w:tcW w:w="1341" w:type="dxa"/>
            <w:vMerge w:val="continue"/>
            <w:vAlign w:val="center"/>
          </w:tcPr>
          <w:p w14:paraId="6C3ECCF3">
            <w:pPr>
              <w:widowControl/>
              <w:adjustRightInd w:val="0"/>
              <w:snapToGrid w:val="0"/>
              <w:rPr>
                <w:rFonts w:ascii="宋体" w:hAnsi="宋体" w:cs="宋体"/>
                <w:color w:val="auto"/>
                <w:kern w:val="0"/>
                <w:szCs w:val="21"/>
              </w:rPr>
            </w:pPr>
          </w:p>
        </w:tc>
        <w:tc>
          <w:tcPr>
            <w:tcW w:w="1438" w:type="dxa"/>
            <w:vAlign w:val="center"/>
          </w:tcPr>
          <w:p w14:paraId="6EBAE893">
            <w:pPr>
              <w:widowControl/>
              <w:adjustRightInd w:val="0"/>
              <w:snapToGrid w:val="0"/>
              <w:rPr>
                <w:rFonts w:ascii="宋体" w:hAnsi="宋体" w:cs="宋体"/>
                <w:color w:val="auto"/>
                <w:kern w:val="0"/>
                <w:szCs w:val="21"/>
              </w:rPr>
            </w:pPr>
            <w:r>
              <w:rPr>
                <w:rFonts w:hint="eastAsia" w:ascii="宋体" w:hAnsi="宋体" w:cs="宋体"/>
                <w:color w:val="auto"/>
                <w:kern w:val="0"/>
                <w:szCs w:val="21"/>
              </w:rPr>
              <w:t>6.2 高危建设项目安全设施设计审查</w:t>
            </w:r>
          </w:p>
        </w:tc>
        <w:tc>
          <w:tcPr>
            <w:tcW w:w="4795" w:type="dxa"/>
            <w:vAlign w:val="center"/>
          </w:tcPr>
          <w:p w14:paraId="010F1144">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第三十三条　建设项目安全设施的设计人、设计单位应当对安全设施设计负责。</w:t>
            </w:r>
          </w:p>
          <w:p w14:paraId="36C3829F">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矿山、金属冶炼建设项目和用于生产、储存、装卸危险物品的建设项目的安全设施设计应当按照国家有关规定报经有关部门审查，审查部门及其负责审查的人员对审查结果负责。</w:t>
            </w:r>
          </w:p>
          <w:p w14:paraId="25CC67EE">
            <w:pPr>
              <w:widowControl/>
              <w:adjustRightInd w:val="0"/>
              <w:snapToGrid w:val="0"/>
              <w:rPr>
                <w:rFonts w:ascii="宋体" w:hAnsi="宋体" w:cs="宋体"/>
                <w:color w:val="auto"/>
                <w:kern w:val="0"/>
                <w:szCs w:val="21"/>
              </w:rPr>
            </w:pPr>
          </w:p>
        </w:tc>
        <w:tc>
          <w:tcPr>
            <w:tcW w:w="7277" w:type="dxa"/>
            <w:vAlign w:val="center"/>
          </w:tcPr>
          <w:p w14:paraId="7848317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4B9F415C">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w:t>
            </w:r>
          </w:p>
          <w:p w14:paraId="476ABBE0">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（二）矿山、金属冶炼建设项目或者用于生产、储存、装卸危险物品的建设项目没有安全设施设计或者安全设施设计未按照规定报经有关部门审查同意的；</w:t>
            </w:r>
          </w:p>
          <w:p w14:paraId="1809C1C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Merge w:val="continue"/>
            <w:vAlign w:val="center"/>
          </w:tcPr>
          <w:p w14:paraId="53E1AF98">
            <w:pPr>
              <w:widowControl/>
              <w:adjustRightInd w:val="0"/>
              <w:snapToGrid w:val="0"/>
              <w:rPr>
                <w:rFonts w:ascii="宋体" w:hAnsi="宋体" w:cs="宋体"/>
                <w:color w:val="auto"/>
                <w:kern w:val="0"/>
                <w:szCs w:val="21"/>
              </w:rPr>
            </w:pPr>
          </w:p>
        </w:tc>
      </w:tr>
      <w:tr w14:paraId="3F22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613" w:hRule="atLeast"/>
          <w:jc w:val="center"/>
        </w:trPr>
        <w:tc>
          <w:tcPr>
            <w:tcW w:w="522" w:type="dxa"/>
            <w:vMerge w:val="continue"/>
            <w:vAlign w:val="center"/>
          </w:tcPr>
          <w:p w14:paraId="3A2927A1">
            <w:pPr>
              <w:jc w:val="center"/>
              <w:rPr>
                <w:rFonts w:ascii="宋体" w:hAnsi="宋体" w:cs="宋体"/>
                <w:color w:val="auto"/>
                <w:kern w:val="0"/>
                <w:szCs w:val="21"/>
              </w:rPr>
            </w:pPr>
          </w:p>
        </w:tc>
        <w:tc>
          <w:tcPr>
            <w:tcW w:w="1341" w:type="dxa"/>
            <w:vMerge w:val="continue"/>
            <w:vAlign w:val="center"/>
          </w:tcPr>
          <w:p w14:paraId="698D5873">
            <w:pPr>
              <w:widowControl/>
              <w:adjustRightInd w:val="0"/>
              <w:snapToGrid w:val="0"/>
              <w:rPr>
                <w:rFonts w:ascii="宋体" w:hAnsi="宋体" w:cs="宋体"/>
                <w:color w:val="auto"/>
                <w:kern w:val="0"/>
                <w:szCs w:val="21"/>
              </w:rPr>
            </w:pPr>
          </w:p>
        </w:tc>
        <w:tc>
          <w:tcPr>
            <w:tcW w:w="1438" w:type="dxa"/>
            <w:vAlign w:val="center"/>
          </w:tcPr>
          <w:p w14:paraId="0CEA6055">
            <w:pPr>
              <w:widowControl/>
              <w:adjustRightInd w:val="0"/>
              <w:snapToGrid w:val="0"/>
              <w:rPr>
                <w:rFonts w:ascii="宋体" w:hAnsi="宋体" w:cs="宋体"/>
                <w:color w:val="auto"/>
                <w:kern w:val="0"/>
                <w:szCs w:val="21"/>
              </w:rPr>
            </w:pPr>
            <w:r>
              <w:rPr>
                <w:rFonts w:hint="eastAsia" w:ascii="宋体" w:hAnsi="宋体" w:cs="宋体"/>
                <w:color w:val="auto"/>
                <w:kern w:val="0"/>
                <w:szCs w:val="21"/>
              </w:rPr>
              <w:t>6.3 高危建设项目安全设施设计重新审查</w:t>
            </w:r>
          </w:p>
        </w:tc>
        <w:tc>
          <w:tcPr>
            <w:tcW w:w="4795" w:type="dxa"/>
            <w:vAlign w:val="center"/>
          </w:tcPr>
          <w:p w14:paraId="6D57AD0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《建设项目安全设施“三同时”监督管理办法》第十五条  已经批准的建设项目及其安全设施设计有下列情形之一的，生产经营单位应当报原批准部门审查同意；未经审查同意的，不得开工建设：</w:t>
            </w:r>
          </w:p>
          <w:p w14:paraId="4265F65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（一）建设项目的规模、生产工艺、原料、设备发生重大变更的；</w:t>
            </w:r>
          </w:p>
          <w:p w14:paraId="479DE86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（二）改变安全设施设计且可能降低安全性能的；</w:t>
            </w:r>
          </w:p>
          <w:p w14:paraId="4D4DFD9C">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（三）在施工期间重新设计的。</w:t>
            </w:r>
          </w:p>
        </w:tc>
        <w:tc>
          <w:tcPr>
            <w:tcW w:w="7277" w:type="dxa"/>
            <w:vAlign w:val="center"/>
          </w:tcPr>
          <w:p w14:paraId="56A65D38">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《建设项目安全设施“三同时”监督管理办法》第二十九条  已经批准的建设项目安全设施设计发生重大变更，生产经营单位未报原批准部门审查同意擅自开工建设的，责令限期改正，可以并处1万元以上3万元以下的罚款。</w:t>
            </w:r>
          </w:p>
        </w:tc>
        <w:tc>
          <w:tcPr>
            <w:tcW w:w="741" w:type="dxa"/>
            <w:vMerge w:val="continue"/>
            <w:vAlign w:val="center"/>
          </w:tcPr>
          <w:p w14:paraId="0DB5BE8F">
            <w:pPr>
              <w:widowControl/>
              <w:adjustRightInd w:val="0"/>
              <w:snapToGrid w:val="0"/>
              <w:rPr>
                <w:rFonts w:ascii="宋体" w:hAnsi="宋体" w:cs="宋体"/>
                <w:color w:val="auto"/>
                <w:kern w:val="0"/>
                <w:szCs w:val="21"/>
              </w:rPr>
            </w:pPr>
          </w:p>
        </w:tc>
      </w:tr>
      <w:tr w14:paraId="0F3F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5" w:hRule="atLeast"/>
          <w:jc w:val="center"/>
        </w:trPr>
        <w:tc>
          <w:tcPr>
            <w:tcW w:w="522" w:type="dxa"/>
            <w:vMerge w:val="continue"/>
            <w:vAlign w:val="center"/>
          </w:tcPr>
          <w:p w14:paraId="2B4748D6">
            <w:pPr>
              <w:jc w:val="center"/>
              <w:rPr>
                <w:rFonts w:ascii="宋体" w:hAnsi="宋体" w:cs="宋体"/>
                <w:color w:val="auto"/>
                <w:kern w:val="0"/>
                <w:szCs w:val="21"/>
              </w:rPr>
            </w:pPr>
          </w:p>
        </w:tc>
        <w:tc>
          <w:tcPr>
            <w:tcW w:w="1341" w:type="dxa"/>
            <w:vMerge w:val="continue"/>
            <w:vAlign w:val="center"/>
          </w:tcPr>
          <w:p w14:paraId="3A745DB2">
            <w:pPr>
              <w:widowControl/>
              <w:adjustRightInd w:val="0"/>
              <w:snapToGrid w:val="0"/>
              <w:rPr>
                <w:rFonts w:ascii="宋体" w:hAnsi="宋体" w:cs="宋体"/>
                <w:color w:val="auto"/>
                <w:kern w:val="0"/>
                <w:szCs w:val="21"/>
              </w:rPr>
            </w:pPr>
          </w:p>
        </w:tc>
        <w:tc>
          <w:tcPr>
            <w:tcW w:w="1438" w:type="dxa"/>
            <w:vAlign w:val="center"/>
          </w:tcPr>
          <w:p w14:paraId="5CAFFF30">
            <w:pPr>
              <w:widowControl/>
              <w:adjustRightInd w:val="0"/>
              <w:snapToGrid w:val="0"/>
              <w:rPr>
                <w:rFonts w:ascii="宋体" w:hAnsi="宋体" w:cs="宋体"/>
                <w:color w:val="auto"/>
                <w:kern w:val="0"/>
                <w:szCs w:val="21"/>
              </w:rPr>
            </w:pPr>
            <w:r>
              <w:rPr>
                <w:rFonts w:hint="eastAsia" w:ascii="宋体" w:hAnsi="宋体" w:cs="宋体"/>
                <w:color w:val="auto"/>
                <w:kern w:val="0"/>
                <w:szCs w:val="21"/>
              </w:rPr>
              <w:t>6.4 高危建设项目安全设施按照批准的设计施工</w:t>
            </w:r>
          </w:p>
        </w:tc>
        <w:tc>
          <w:tcPr>
            <w:tcW w:w="4795" w:type="dxa"/>
            <w:vAlign w:val="center"/>
          </w:tcPr>
          <w:p w14:paraId="09FDA9C5">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第三十四条　矿山、金属冶炼建设项目和用于生产、储存、装卸危险物品的建设项目的施工单位必须按照批准的安全设施设计施工，并对安全设施的工程质量负责。</w:t>
            </w:r>
          </w:p>
          <w:p w14:paraId="51EC2368">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277" w:type="dxa"/>
            <w:vAlign w:val="center"/>
          </w:tcPr>
          <w:p w14:paraId="6D4F0029">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2CE324D2">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14:paraId="485C73A8">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（三）矿山、金属冶炼建设项目或者用于生产、储存、装卸危险物品的建设项目的施工单位未按照批准的安全设施设计施工的；</w:t>
            </w:r>
          </w:p>
          <w:p w14:paraId="2D037D8D">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Merge w:val="continue"/>
            <w:vAlign w:val="center"/>
          </w:tcPr>
          <w:p w14:paraId="55B40328">
            <w:pPr>
              <w:widowControl/>
              <w:adjustRightInd w:val="0"/>
              <w:snapToGrid w:val="0"/>
              <w:rPr>
                <w:rFonts w:ascii="宋体" w:hAnsi="宋体" w:cs="宋体"/>
                <w:color w:val="auto"/>
                <w:kern w:val="0"/>
                <w:szCs w:val="21"/>
              </w:rPr>
            </w:pPr>
          </w:p>
        </w:tc>
      </w:tr>
      <w:tr w14:paraId="2942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95" w:hRule="atLeast"/>
          <w:jc w:val="center"/>
        </w:trPr>
        <w:tc>
          <w:tcPr>
            <w:tcW w:w="522" w:type="dxa"/>
            <w:vMerge w:val="restart"/>
            <w:vAlign w:val="center"/>
          </w:tcPr>
          <w:p w14:paraId="5B87A5B3">
            <w:pPr>
              <w:jc w:val="center"/>
              <w:rPr>
                <w:rFonts w:ascii="宋体" w:hAnsi="宋体" w:cs="宋体"/>
                <w:color w:val="auto"/>
                <w:kern w:val="0"/>
                <w:szCs w:val="21"/>
              </w:rPr>
            </w:pPr>
          </w:p>
        </w:tc>
        <w:tc>
          <w:tcPr>
            <w:tcW w:w="1341" w:type="dxa"/>
            <w:vMerge w:val="continue"/>
            <w:vAlign w:val="center"/>
          </w:tcPr>
          <w:p w14:paraId="710DB730">
            <w:pPr>
              <w:widowControl/>
              <w:adjustRightInd w:val="0"/>
              <w:snapToGrid w:val="0"/>
              <w:rPr>
                <w:rFonts w:ascii="宋体" w:hAnsi="宋体" w:cs="宋体"/>
                <w:color w:val="auto"/>
                <w:kern w:val="0"/>
                <w:szCs w:val="21"/>
              </w:rPr>
            </w:pPr>
          </w:p>
        </w:tc>
        <w:tc>
          <w:tcPr>
            <w:tcW w:w="1438" w:type="dxa"/>
            <w:vAlign w:val="center"/>
          </w:tcPr>
          <w:p w14:paraId="6FD4A105">
            <w:pPr>
              <w:widowControl/>
              <w:adjustRightInd w:val="0"/>
              <w:snapToGrid w:val="0"/>
              <w:rPr>
                <w:rFonts w:ascii="宋体" w:hAnsi="宋体" w:cs="宋体"/>
                <w:color w:val="auto"/>
                <w:kern w:val="0"/>
                <w:szCs w:val="21"/>
              </w:rPr>
            </w:pPr>
            <w:r>
              <w:rPr>
                <w:rFonts w:hint="eastAsia" w:ascii="宋体" w:hAnsi="宋体" w:cs="宋体"/>
                <w:color w:val="auto"/>
                <w:kern w:val="0"/>
                <w:szCs w:val="21"/>
              </w:rPr>
              <w:t>6.5 高危建设项目安全设施竣工验收</w:t>
            </w:r>
          </w:p>
        </w:tc>
        <w:tc>
          <w:tcPr>
            <w:tcW w:w="4795" w:type="dxa"/>
            <w:vAlign w:val="center"/>
          </w:tcPr>
          <w:p w14:paraId="5A0D764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w:t>
            </w:r>
            <w:r>
              <w:rPr>
                <w:rFonts w:hint="eastAsia" w:ascii="宋体" w:hAnsi="宋体" w:cs="宋体"/>
                <w:color w:val="auto"/>
                <w:kern w:val="0"/>
                <w:szCs w:val="21"/>
                <w:lang w:eastAsia="zh-CN"/>
              </w:rPr>
              <w:t>四</w:t>
            </w:r>
            <w:r>
              <w:rPr>
                <w:rFonts w:hint="eastAsia" w:ascii="宋体" w:hAnsi="宋体" w:cs="宋体"/>
                <w:color w:val="auto"/>
                <w:kern w:val="0"/>
                <w:szCs w:val="21"/>
              </w:rPr>
              <w:t>条：  ……</w:t>
            </w:r>
          </w:p>
          <w:p w14:paraId="0E7633D1">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31523526">
            <w:pPr>
              <w:widowControl/>
              <w:adjustRightInd w:val="0"/>
              <w:snapToGrid w:val="0"/>
              <w:ind w:firstLine="420" w:firstLineChars="200"/>
              <w:rPr>
                <w:rFonts w:ascii="宋体" w:hAnsi="宋体" w:cs="宋体"/>
                <w:color w:val="auto"/>
                <w:kern w:val="0"/>
                <w:szCs w:val="21"/>
              </w:rPr>
            </w:pPr>
          </w:p>
        </w:tc>
        <w:tc>
          <w:tcPr>
            <w:tcW w:w="7277" w:type="dxa"/>
            <w:vAlign w:val="center"/>
          </w:tcPr>
          <w:p w14:paraId="69C29E1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0AF82421">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32657E7B">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（四）矿山、金属冶炼建设项目或者用于生产、储存、装卸危险物品的建设项目竣工投入生产或者使用前，安全设施未经验收合格的。</w:t>
            </w:r>
          </w:p>
        </w:tc>
        <w:tc>
          <w:tcPr>
            <w:tcW w:w="741" w:type="dxa"/>
            <w:vAlign w:val="center"/>
          </w:tcPr>
          <w:p w14:paraId="24C43F8C">
            <w:pPr>
              <w:widowControl/>
              <w:adjustRightInd w:val="0"/>
              <w:snapToGrid w:val="0"/>
              <w:rPr>
                <w:rFonts w:ascii="宋体" w:hAnsi="宋体" w:cs="宋体"/>
                <w:color w:val="auto"/>
                <w:kern w:val="0"/>
                <w:szCs w:val="21"/>
              </w:rPr>
            </w:pPr>
          </w:p>
        </w:tc>
      </w:tr>
      <w:tr w14:paraId="0D05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16" w:hRule="atLeast"/>
          <w:jc w:val="center"/>
        </w:trPr>
        <w:tc>
          <w:tcPr>
            <w:tcW w:w="522" w:type="dxa"/>
            <w:vMerge w:val="continue"/>
            <w:vAlign w:val="center"/>
          </w:tcPr>
          <w:p w14:paraId="750608FE">
            <w:pPr>
              <w:jc w:val="center"/>
              <w:rPr>
                <w:rFonts w:ascii="宋体" w:hAnsi="宋体" w:cs="宋体"/>
                <w:color w:val="auto"/>
                <w:kern w:val="0"/>
                <w:szCs w:val="21"/>
              </w:rPr>
            </w:pPr>
          </w:p>
        </w:tc>
        <w:tc>
          <w:tcPr>
            <w:tcW w:w="1341" w:type="dxa"/>
            <w:vMerge w:val="continue"/>
            <w:vAlign w:val="center"/>
          </w:tcPr>
          <w:p w14:paraId="50079EBC">
            <w:pPr>
              <w:widowControl/>
              <w:adjustRightInd w:val="0"/>
              <w:snapToGrid w:val="0"/>
              <w:rPr>
                <w:rFonts w:ascii="宋体" w:hAnsi="宋体" w:cs="宋体"/>
                <w:color w:val="auto"/>
                <w:kern w:val="0"/>
                <w:szCs w:val="21"/>
              </w:rPr>
            </w:pPr>
          </w:p>
        </w:tc>
        <w:tc>
          <w:tcPr>
            <w:tcW w:w="1438" w:type="dxa"/>
            <w:vAlign w:val="center"/>
          </w:tcPr>
          <w:p w14:paraId="18E4D9E1">
            <w:pPr>
              <w:widowControl/>
              <w:adjustRightInd w:val="0"/>
              <w:snapToGrid w:val="0"/>
              <w:rPr>
                <w:rFonts w:ascii="宋体" w:hAnsi="宋体" w:cs="宋体"/>
                <w:color w:val="auto"/>
                <w:kern w:val="0"/>
                <w:szCs w:val="21"/>
              </w:rPr>
            </w:pPr>
            <w:r>
              <w:rPr>
                <w:rFonts w:hint="eastAsia" w:ascii="宋体" w:hAnsi="宋体" w:cs="宋体"/>
                <w:color w:val="auto"/>
                <w:kern w:val="0"/>
                <w:szCs w:val="21"/>
              </w:rPr>
              <w:t>6.6 其他建设项目安全设施“三同时”</w:t>
            </w:r>
          </w:p>
        </w:tc>
        <w:tc>
          <w:tcPr>
            <w:tcW w:w="4795" w:type="dxa"/>
            <w:vAlign w:val="center"/>
          </w:tcPr>
          <w:p w14:paraId="72127FD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《建设项目安全设施“三同时”监督管理办法》第七条  下列建设项目在进行可行性研究时，生产经营单位应当按照国家规定，进行安全预评价：</w:t>
            </w:r>
          </w:p>
          <w:p w14:paraId="007E5DE0">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（一）非煤矿矿山建设项目；</w:t>
            </w:r>
          </w:p>
          <w:p w14:paraId="5761DC2A">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（二）生产、储存危险化学品（包括使用长输管道输送危险化学品，下同）的建设项目；</w:t>
            </w:r>
          </w:p>
          <w:p w14:paraId="727105B5">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（三）生产、储存烟花爆竹的建设项目；</w:t>
            </w:r>
          </w:p>
          <w:p w14:paraId="3185B49F">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（四）金属冶炼建设项目；</w:t>
            </w:r>
          </w:p>
          <w:p w14:paraId="4943C03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（五）使用危险化学品从事生产并且使用量达到规定数量的化工建设项目（属于危险化学品生产的除外，下同）；</w:t>
            </w:r>
          </w:p>
          <w:p w14:paraId="71E6CE29">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（六）法律、行政法规和国务院规定的其他建设项目。</w:t>
            </w:r>
          </w:p>
        </w:tc>
        <w:tc>
          <w:tcPr>
            <w:tcW w:w="7277" w:type="dxa"/>
            <w:vAlign w:val="center"/>
          </w:tcPr>
          <w:p w14:paraId="0CEE792C">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《建设项目安全设施“三同时”监督管理办法》第三十条  本办法第七条第（一）项、第（二）项、第（三）项和第（四）项规定以外的建设项目有下列情形之一的，对有关生产经营单位责令限期改正，可以并处5000元以上3万元以下的罚款：</w:t>
            </w:r>
          </w:p>
          <w:p w14:paraId="3354F264">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（一）没有安全设施设计的；</w:t>
            </w:r>
          </w:p>
          <w:p w14:paraId="01504B2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（二）安全设施设计未组织审查，并形成书面审查报告的；</w:t>
            </w:r>
          </w:p>
          <w:p w14:paraId="120F2F69">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（三）施工单位未按照安全设施设计施工的；</w:t>
            </w:r>
          </w:p>
          <w:p w14:paraId="63A163B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（四）投入生产或者使用前，安全设施未经竣工验收合格，并形成书面报告的。</w:t>
            </w:r>
          </w:p>
        </w:tc>
        <w:tc>
          <w:tcPr>
            <w:tcW w:w="741" w:type="dxa"/>
            <w:vAlign w:val="center"/>
          </w:tcPr>
          <w:p w14:paraId="4749F828">
            <w:pPr>
              <w:widowControl/>
              <w:adjustRightInd w:val="0"/>
              <w:snapToGrid w:val="0"/>
              <w:rPr>
                <w:rFonts w:ascii="宋体" w:hAnsi="宋体" w:cs="宋体"/>
                <w:color w:val="auto"/>
                <w:kern w:val="0"/>
                <w:szCs w:val="21"/>
              </w:rPr>
            </w:pPr>
          </w:p>
        </w:tc>
      </w:tr>
      <w:tr w14:paraId="6F7B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29" w:hRule="atLeast"/>
          <w:jc w:val="center"/>
        </w:trPr>
        <w:tc>
          <w:tcPr>
            <w:tcW w:w="522" w:type="dxa"/>
            <w:vAlign w:val="center"/>
          </w:tcPr>
          <w:p w14:paraId="56DB4E97">
            <w:pPr>
              <w:jc w:val="center"/>
              <w:rPr>
                <w:rFonts w:ascii="宋体" w:hAnsi="宋体" w:cs="宋体"/>
                <w:color w:val="auto"/>
                <w:kern w:val="0"/>
                <w:szCs w:val="21"/>
              </w:rPr>
            </w:pPr>
            <w:r>
              <w:rPr>
                <w:rFonts w:hint="eastAsia" w:ascii="宋体" w:hAnsi="宋体" w:cs="宋体"/>
                <w:color w:val="auto"/>
                <w:kern w:val="0"/>
                <w:szCs w:val="21"/>
              </w:rPr>
              <w:t>7</w:t>
            </w:r>
          </w:p>
        </w:tc>
        <w:tc>
          <w:tcPr>
            <w:tcW w:w="1341" w:type="dxa"/>
            <w:vAlign w:val="center"/>
          </w:tcPr>
          <w:p w14:paraId="1B320D43">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安全警示标志情况</w:t>
            </w:r>
          </w:p>
        </w:tc>
        <w:tc>
          <w:tcPr>
            <w:tcW w:w="1438" w:type="dxa"/>
            <w:vAlign w:val="center"/>
          </w:tcPr>
          <w:p w14:paraId="7AB019B1">
            <w:pPr>
              <w:widowControl/>
              <w:adjustRightInd w:val="0"/>
              <w:snapToGrid w:val="0"/>
              <w:rPr>
                <w:rFonts w:ascii="宋体" w:hAnsi="宋体" w:cs="宋体"/>
                <w:color w:val="auto"/>
                <w:kern w:val="0"/>
                <w:szCs w:val="21"/>
              </w:rPr>
            </w:pPr>
            <w:r>
              <w:rPr>
                <w:rFonts w:hint="eastAsia" w:ascii="宋体" w:hAnsi="宋体" w:cs="宋体"/>
                <w:color w:val="auto"/>
                <w:kern w:val="0"/>
                <w:szCs w:val="21"/>
              </w:rPr>
              <w:t>在有较大危险因素的场所和有关设施、设备上设置安全警示标志</w:t>
            </w:r>
          </w:p>
        </w:tc>
        <w:tc>
          <w:tcPr>
            <w:tcW w:w="4795" w:type="dxa"/>
            <w:vAlign w:val="center"/>
          </w:tcPr>
          <w:p w14:paraId="57CF5183">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第三十五条　生产经营单位应当在有较大危险因素的生产经营场所和有关设施、设备上，设置明显的安全警示标志。</w:t>
            </w:r>
          </w:p>
          <w:p w14:paraId="074E9FF1">
            <w:pPr>
              <w:widowControl/>
              <w:adjustRightInd w:val="0"/>
              <w:snapToGrid w:val="0"/>
              <w:ind w:firstLine="420" w:firstLineChars="200"/>
              <w:rPr>
                <w:rFonts w:ascii="宋体" w:hAnsi="宋体" w:cs="宋体"/>
                <w:color w:val="auto"/>
                <w:kern w:val="0"/>
                <w:szCs w:val="21"/>
              </w:rPr>
            </w:pPr>
          </w:p>
        </w:tc>
        <w:tc>
          <w:tcPr>
            <w:tcW w:w="7277" w:type="dxa"/>
            <w:vAlign w:val="center"/>
          </w:tcPr>
          <w:p w14:paraId="4024F7C3">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11C61F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（一）未在有较大危险因素的生产经营场所和有关设施、设备上设置明显的安全警示标志的；</w:t>
            </w:r>
          </w:p>
          <w:p w14:paraId="1EC4AA5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Align w:val="center"/>
          </w:tcPr>
          <w:p w14:paraId="70C5C2C1">
            <w:pPr>
              <w:widowControl/>
              <w:adjustRightInd w:val="0"/>
              <w:snapToGrid w:val="0"/>
              <w:rPr>
                <w:rFonts w:ascii="宋体" w:hAnsi="宋体" w:cs="宋体"/>
                <w:color w:val="auto"/>
                <w:kern w:val="0"/>
                <w:szCs w:val="21"/>
              </w:rPr>
            </w:pPr>
          </w:p>
        </w:tc>
      </w:tr>
      <w:tr w14:paraId="7F5D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522" w:type="dxa"/>
            <w:vMerge w:val="restart"/>
            <w:vAlign w:val="center"/>
          </w:tcPr>
          <w:p w14:paraId="5FB7671A">
            <w:pPr>
              <w:jc w:val="center"/>
              <w:rPr>
                <w:rFonts w:ascii="宋体" w:hAnsi="宋体" w:cs="宋体"/>
                <w:color w:val="auto"/>
                <w:kern w:val="0"/>
                <w:szCs w:val="21"/>
              </w:rPr>
            </w:pPr>
            <w:r>
              <w:rPr>
                <w:rFonts w:hint="eastAsia" w:ascii="宋体" w:hAnsi="宋体" w:cs="宋体"/>
                <w:color w:val="auto"/>
                <w:kern w:val="0"/>
                <w:szCs w:val="21"/>
              </w:rPr>
              <w:t>8</w:t>
            </w:r>
          </w:p>
        </w:tc>
        <w:tc>
          <w:tcPr>
            <w:tcW w:w="1341" w:type="dxa"/>
            <w:vMerge w:val="restart"/>
            <w:vAlign w:val="center"/>
          </w:tcPr>
          <w:p w14:paraId="5B72B077">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安全设备情况</w:t>
            </w:r>
          </w:p>
        </w:tc>
        <w:tc>
          <w:tcPr>
            <w:tcW w:w="1438" w:type="dxa"/>
            <w:vAlign w:val="center"/>
          </w:tcPr>
          <w:p w14:paraId="1568DEE3">
            <w:pPr>
              <w:widowControl/>
              <w:adjustRightInd w:val="0"/>
              <w:snapToGrid w:val="0"/>
              <w:rPr>
                <w:rFonts w:ascii="宋体" w:hAnsi="宋体" w:cs="宋体"/>
                <w:color w:val="auto"/>
                <w:kern w:val="0"/>
                <w:szCs w:val="21"/>
              </w:rPr>
            </w:pPr>
            <w:r>
              <w:rPr>
                <w:rFonts w:hint="eastAsia" w:ascii="宋体" w:hAnsi="宋体" w:cs="宋体"/>
                <w:color w:val="auto"/>
                <w:kern w:val="0"/>
                <w:szCs w:val="21"/>
              </w:rPr>
              <w:t>8.1 安全设备安装、使用、报废</w:t>
            </w:r>
          </w:p>
        </w:tc>
        <w:tc>
          <w:tcPr>
            <w:tcW w:w="4795" w:type="dxa"/>
            <w:vAlign w:val="center"/>
          </w:tcPr>
          <w:p w14:paraId="5FB93D92">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第三十六条　安全设备的设计、制造、安装、使用、检测、维修、改造和报废，应当符合国家标准或者行业标准。</w:t>
            </w:r>
          </w:p>
          <w:p w14:paraId="78319A2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277" w:type="dxa"/>
            <w:vAlign w:val="center"/>
          </w:tcPr>
          <w:p w14:paraId="29E5CE55">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47EDDFF">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14:paraId="24B8AE91">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（二）安全设备的安装、使用、检测、改造和报废不符合国家标准或者行业标准的；</w:t>
            </w:r>
          </w:p>
          <w:p w14:paraId="61E6F6F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Merge w:val="restart"/>
            <w:vAlign w:val="center"/>
          </w:tcPr>
          <w:p w14:paraId="33AE89E9">
            <w:pPr>
              <w:widowControl/>
              <w:adjustRightInd w:val="0"/>
              <w:snapToGrid w:val="0"/>
              <w:rPr>
                <w:rFonts w:ascii="宋体" w:hAnsi="宋体" w:cs="宋体"/>
                <w:color w:val="auto"/>
                <w:kern w:val="0"/>
                <w:szCs w:val="21"/>
              </w:rPr>
            </w:pPr>
          </w:p>
        </w:tc>
      </w:tr>
      <w:tr w14:paraId="43C8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95" w:hRule="atLeast"/>
          <w:jc w:val="center"/>
        </w:trPr>
        <w:tc>
          <w:tcPr>
            <w:tcW w:w="522" w:type="dxa"/>
            <w:vMerge w:val="continue"/>
            <w:vAlign w:val="center"/>
          </w:tcPr>
          <w:p w14:paraId="695EB3C2">
            <w:pPr>
              <w:jc w:val="center"/>
              <w:rPr>
                <w:rFonts w:ascii="宋体" w:hAnsi="宋体" w:cs="宋体"/>
                <w:color w:val="auto"/>
                <w:kern w:val="0"/>
                <w:szCs w:val="21"/>
              </w:rPr>
            </w:pPr>
          </w:p>
        </w:tc>
        <w:tc>
          <w:tcPr>
            <w:tcW w:w="1341" w:type="dxa"/>
            <w:vMerge w:val="continue"/>
            <w:vAlign w:val="center"/>
          </w:tcPr>
          <w:p w14:paraId="47D7070C">
            <w:pPr>
              <w:widowControl/>
              <w:adjustRightInd w:val="0"/>
              <w:snapToGrid w:val="0"/>
              <w:rPr>
                <w:rFonts w:ascii="宋体" w:hAnsi="宋体" w:cs="宋体"/>
                <w:color w:val="auto"/>
                <w:kern w:val="0"/>
                <w:szCs w:val="21"/>
              </w:rPr>
            </w:pPr>
          </w:p>
        </w:tc>
        <w:tc>
          <w:tcPr>
            <w:tcW w:w="1438" w:type="dxa"/>
            <w:vAlign w:val="center"/>
          </w:tcPr>
          <w:p w14:paraId="1AD59327">
            <w:pPr>
              <w:widowControl/>
              <w:adjustRightInd w:val="0"/>
              <w:snapToGrid w:val="0"/>
              <w:rPr>
                <w:rFonts w:ascii="宋体" w:hAnsi="宋体" w:cs="宋体"/>
                <w:color w:val="auto"/>
                <w:kern w:val="0"/>
                <w:szCs w:val="21"/>
              </w:rPr>
            </w:pPr>
            <w:r>
              <w:rPr>
                <w:rFonts w:hint="eastAsia" w:ascii="宋体" w:hAnsi="宋体" w:cs="宋体"/>
                <w:color w:val="auto"/>
                <w:kern w:val="0"/>
                <w:szCs w:val="21"/>
              </w:rPr>
              <w:t>8.2 安全设备维护、保养、检测</w:t>
            </w:r>
          </w:p>
        </w:tc>
        <w:tc>
          <w:tcPr>
            <w:tcW w:w="4795" w:type="dxa"/>
            <w:vAlign w:val="center"/>
          </w:tcPr>
          <w:p w14:paraId="6C0B9BE2">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w:t>
            </w:r>
            <w:r>
              <w:rPr>
                <w:rFonts w:hint="eastAsia" w:ascii="宋体" w:hAnsi="宋体" w:cs="宋体"/>
                <w:color w:val="auto"/>
                <w:kern w:val="0"/>
                <w:szCs w:val="21"/>
                <w:lang w:eastAsia="zh-CN"/>
              </w:rPr>
              <w:t>六</w:t>
            </w:r>
            <w:r>
              <w:rPr>
                <w:rFonts w:hint="eastAsia" w:ascii="宋体" w:hAnsi="宋体" w:cs="宋体"/>
                <w:color w:val="auto"/>
                <w:kern w:val="0"/>
                <w:szCs w:val="21"/>
              </w:rPr>
              <w:t>条  ……</w:t>
            </w:r>
          </w:p>
          <w:p w14:paraId="21DCCEE4">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生产经营单位必须对安全设备进行经常性维护、保养，并定期检测，保证正常运转。维护、保养、检测应当作好记录，并由有关人员签字。</w:t>
            </w:r>
          </w:p>
          <w:p w14:paraId="2C14D5C8">
            <w:pPr>
              <w:widowControl/>
              <w:adjustRightInd w:val="0"/>
              <w:snapToGrid w:val="0"/>
              <w:ind w:firstLine="420" w:firstLineChars="200"/>
              <w:rPr>
                <w:rFonts w:ascii="宋体" w:hAnsi="宋体" w:cs="宋体"/>
                <w:color w:val="auto"/>
                <w:kern w:val="0"/>
                <w:szCs w:val="21"/>
              </w:rPr>
            </w:pPr>
          </w:p>
        </w:tc>
        <w:tc>
          <w:tcPr>
            <w:tcW w:w="7277" w:type="dxa"/>
            <w:vAlign w:val="center"/>
          </w:tcPr>
          <w:p w14:paraId="716440C6">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C33D6B6">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14:paraId="498195A9">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（三）未对安全设备进行经常性维护、保养和定期检测的；</w:t>
            </w:r>
          </w:p>
          <w:p w14:paraId="585A363C">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Merge w:val="continue"/>
            <w:vAlign w:val="center"/>
          </w:tcPr>
          <w:p w14:paraId="5B5538E5">
            <w:pPr>
              <w:widowControl/>
              <w:adjustRightInd w:val="0"/>
              <w:snapToGrid w:val="0"/>
              <w:rPr>
                <w:rFonts w:ascii="宋体" w:hAnsi="宋体" w:cs="宋体"/>
                <w:color w:val="auto"/>
                <w:kern w:val="0"/>
                <w:szCs w:val="21"/>
              </w:rPr>
            </w:pPr>
          </w:p>
        </w:tc>
      </w:tr>
      <w:tr w14:paraId="74A6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3" w:hRule="atLeast"/>
          <w:jc w:val="center"/>
        </w:trPr>
        <w:tc>
          <w:tcPr>
            <w:tcW w:w="522" w:type="dxa"/>
            <w:vAlign w:val="center"/>
          </w:tcPr>
          <w:p w14:paraId="2C73E86D">
            <w:pPr>
              <w:jc w:val="center"/>
              <w:rPr>
                <w:rFonts w:ascii="宋体" w:hAnsi="宋体" w:cs="宋体"/>
                <w:color w:val="auto"/>
                <w:kern w:val="0"/>
                <w:szCs w:val="21"/>
              </w:rPr>
            </w:pPr>
            <w:r>
              <w:rPr>
                <w:rFonts w:hint="eastAsia" w:ascii="宋体" w:hAnsi="宋体" w:cs="宋体"/>
                <w:color w:val="auto"/>
                <w:kern w:val="0"/>
                <w:szCs w:val="21"/>
              </w:rPr>
              <w:t>9</w:t>
            </w:r>
          </w:p>
        </w:tc>
        <w:tc>
          <w:tcPr>
            <w:tcW w:w="1341" w:type="dxa"/>
            <w:vAlign w:val="center"/>
          </w:tcPr>
          <w:p w14:paraId="15CFA5C8">
            <w:pPr>
              <w:widowControl/>
              <w:adjustRightInd w:val="0"/>
              <w:snapToGrid w:val="0"/>
              <w:rPr>
                <w:rFonts w:ascii="宋体" w:hAnsi="宋体" w:cs="宋体"/>
                <w:color w:val="auto"/>
                <w:kern w:val="0"/>
                <w:szCs w:val="21"/>
              </w:rPr>
            </w:pPr>
            <w:r>
              <w:rPr>
                <w:rFonts w:hint="eastAsia" w:ascii="宋体" w:hAnsi="宋体" w:cs="宋体"/>
                <w:color w:val="auto"/>
                <w:kern w:val="0"/>
                <w:szCs w:val="21"/>
              </w:rPr>
              <w:t>重大危险源安全管理情况</w:t>
            </w:r>
          </w:p>
        </w:tc>
        <w:tc>
          <w:tcPr>
            <w:tcW w:w="1438" w:type="dxa"/>
            <w:vAlign w:val="center"/>
          </w:tcPr>
          <w:p w14:paraId="613235D3">
            <w:pPr>
              <w:widowControl/>
              <w:adjustRightInd w:val="0"/>
              <w:snapToGrid w:val="0"/>
              <w:rPr>
                <w:rFonts w:ascii="宋体" w:hAnsi="宋体" w:cs="宋体"/>
                <w:color w:val="auto"/>
                <w:kern w:val="0"/>
                <w:szCs w:val="21"/>
              </w:rPr>
            </w:pPr>
            <w:r>
              <w:rPr>
                <w:rFonts w:hint="eastAsia" w:ascii="宋体" w:hAnsi="宋体" w:cs="宋体"/>
                <w:color w:val="auto"/>
                <w:kern w:val="0"/>
                <w:szCs w:val="21"/>
              </w:rPr>
              <w:t>重大危险源登记建档，定期检测、评估、监控，制定应急预案</w:t>
            </w:r>
          </w:p>
        </w:tc>
        <w:tc>
          <w:tcPr>
            <w:tcW w:w="4795" w:type="dxa"/>
            <w:vAlign w:val="center"/>
          </w:tcPr>
          <w:p w14:paraId="5109FAE3">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第四十条　生产经营单位对重大危险源应当登记建档，进行定期检测、评估、监控，并制定应急预案，告知从业人员和相关人员在紧急情况下应当采取的应急措施。</w:t>
            </w:r>
          </w:p>
          <w:p w14:paraId="3BFC2F10">
            <w:pPr>
              <w:widowControl/>
              <w:adjustRightInd w:val="0"/>
              <w:snapToGrid w:val="0"/>
              <w:ind w:firstLine="420" w:firstLineChars="200"/>
              <w:rPr>
                <w:rFonts w:hint="eastAsia" w:ascii="宋体" w:hAnsi="宋体" w:cs="宋体"/>
                <w:strike/>
                <w:dstrike w:val="0"/>
                <w:color w:val="auto"/>
                <w:kern w:val="0"/>
                <w:szCs w:val="21"/>
              </w:rPr>
            </w:pPr>
          </w:p>
          <w:p w14:paraId="41D88B55">
            <w:pPr>
              <w:widowControl/>
              <w:adjustRightInd w:val="0"/>
              <w:snapToGrid w:val="0"/>
              <w:rPr>
                <w:rFonts w:ascii="宋体" w:hAnsi="宋体" w:cs="宋体"/>
                <w:color w:val="auto"/>
                <w:kern w:val="0"/>
                <w:szCs w:val="21"/>
              </w:rPr>
            </w:pPr>
          </w:p>
        </w:tc>
        <w:tc>
          <w:tcPr>
            <w:tcW w:w="7277" w:type="dxa"/>
            <w:vAlign w:val="center"/>
          </w:tcPr>
          <w:p w14:paraId="5E92C4A6">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5C090652">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14:paraId="40C75692">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（二）对重大危险源未登记建档，未进行定期检测、评估、监控，未制定应急预案，或者未告知应急措施的；</w:t>
            </w:r>
          </w:p>
          <w:p w14:paraId="1184C0B4">
            <w:pPr>
              <w:widowControl/>
              <w:adjustRightInd w:val="0"/>
              <w:snapToGrid w:val="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p>
        </w:tc>
        <w:tc>
          <w:tcPr>
            <w:tcW w:w="741" w:type="dxa"/>
            <w:vAlign w:val="center"/>
          </w:tcPr>
          <w:p w14:paraId="5EA690AF">
            <w:pPr>
              <w:widowControl/>
              <w:adjustRightInd w:val="0"/>
              <w:snapToGrid w:val="0"/>
              <w:rPr>
                <w:rFonts w:ascii="宋体" w:hAnsi="宋体" w:cs="宋体"/>
                <w:color w:val="auto"/>
                <w:kern w:val="0"/>
                <w:szCs w:val="21"/>
              </w:rPr>
            </w:pPr>
          </w:p>
        </w:tc>
      </w:tr>
      <w:tr w14:paraId="48C5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05" w:hRule="atLeast"/>
          <w:jc w:val="center"/>
        </w:trPr>
        <w:tc>
          <w:tcPr>
            <w:tcW w:w="522" w:type="dxa"/>
            <w:vMerge w:val="restart"/>
            <w:vAlign w:val="center"/>
          </w:tcPr>
          <w:p w14:paraId="7996B849">
            <w:pPr>
              <w:jc w:val="center"/>
              <w:rPr>
                <w:rFonts w:ascii="宋体" w:hAnsi="宋体" w:cs="宋体"/>
                <w:color w:val="auto"/>
                <w:kern w:val="0"/>
                <w:szCs w:val="21"/>
              </w:rPr>
            </w:pPr>
            <w:r>
              <w:rPr>
                <w:rFonts w:hint="eastAsia" w:ascii="宋体" w:hAnsi="宋体" w:cs="宋体"/>
                <w:color w:val="auto"/>
                <w:kern w:val="0"/>
                <w:szCs w:val="21"/>
              </w:rPr>
              <w:t>10</w:t>
            </w:r>
          </w:p>
        </w:tc>
        <w:tc>
          <w:tcPr>
            <w:tcW w:w="1341" w:type="dxa"/>
            <w:vMerge w:val="restart"/>
            <w:vAlign w:val="center"/>
          </w:tcPr>
          <w:p w14:paraId="3B08BE4E">
            <w:pPr>
              <w:widowControl/>
              <w:adjustRightInd w:val="0"/>
              <w:snapToGrid w:val="0"/>
              <w:rPr>
                <w:rFonts w:ascii="宋体" w:hAnsi="宋体" w:cs="宋体"/>
                <w:color w:val="auto"/>
                <w:kern w:val="0"/>
                <w:szCs w:val="21"/>
              </w:rPr>
            </w:pPr>
            <w:r>
              <w:rPr>
                <w:rFonts w:hint="eastAsia" w:ascii="宋体" w:hAnsi="宋体" w:cs="宋体"/>
                <w:color w:val="auto"/>
                <w:kern w:val="0"/>
                <w:szCs w:val="21"/>
              </w:rPr>
              <w:t>事故隐患排查治理情况</w:t>
            </w:r>
          </w:p>
        </w:tc>
        <w:tc>
          <w:tcPr>
            <w:tcW w:w="1438" w:type="dxa"/>
            <w:vAlign w:val="center"/>
          </w:tcPr>
          <w:p w14:paraId="5B58454B">
            <w:pPr>
              <w:widowControl/>
              <w:adjustRightInd w:val="0"/>
              <w:snapToGrid w:val="0"/>
              <w:rPr>
                <w:rFonts w:ascii="宋体" w:hAnsi="宋体" w:cs="宋体"/>
                <w:color w:val="auto"/>
                <w:kern w:val="0"/>
                <w:szCs w:val="21"/>
              </w:rPr>
            </w:pPr>
            <w:r>
              <w:rPr>
                <w:rFonts w:hint="eastAsia" w:ascii="宋体" w:hAnsi="宋体" w:cs="宋体"/>
                <w:color w:val="auto"/>
                <w:kern w:val="0"/>
                <w:szCs w:val="21"/>
              </w:rPr>
              <w:t>10.1 建立健全生产安全事故隐患排查治理制度</w:t>
            </w:r>
          </w:p>
        </w:tc>
        <w:tc>
          <w:tcPr>
            <w:tcW w:w="4795" w:type="dxa"/>
            <w:vAlign w:val="center"/>
          </w:tcPr>
          <w:p w14:paraId="1F430C62">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第四十一条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29E75D9">
            <w:pPr>
              <w:widowControl/>
              <w:adjustRightInd w:val="0"/>
              <w:snapToGrid w:val="0"/>
              <w:rPr>
                <w:rFonts w:ascii="宋体" w:hAnsi="宋体" w:cs="宋体"/>
                <w:color w:val="auto"/>
                <w:kern w:val="0"/>
                <w:szCs w:val="21"/>
              </w:rPr>
            </w:pPr>
            <w:r>
              <w:rPr>
                <w:rFonts w:hint="eastAsia" w:ascii="宋体" w:hAnsi="宋体" w:cs="宋体"/>
                <w:color w:val="auto"/>
                <w:kern w:val="0"/>
                <w:szCs w:val="21"/>
              </w:rPr>
              <w:t xml:space="preserve">    ……</w:t>
            </w:r>
          </w:p>
        </w:tc>
        <w:tc>
          <w:tcPr>
            <w:tcW w:w="7277" w:type="dxa"/>
            <w:vAlign w:val="center"/>
          </w:tcPr>
          <w:p w14:paraId="39B33CD7">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431FCE0A">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14:paraId="6CEC9AAB">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（五）未建立事故隐患排查治理制度，或者重大事故隐患排查治理情况未按照规定报告的。</w:t>
            </w:r>
          </w:p>
          <w:p w14:paraId="02844DD3">
            <w:pPr>
              <w:widowControl/>
              <w:adjustRightInd w:val="0"/>
              <w:snapToGrid w:val="0"/>
              <w:ind w:firstLine="420" w:firstLineChars="200"/>
              <w:rPr>
                <w:rFonts w:ascii="宋体" w:hAnsi="宋体" w:cs="宋体"/>
                <w:color w:val="auto"/>
                <w:kern w:val="0"/>
                <w:szCs w:val="21"/>
              </w:rPr>
            </w:pPr>
          </w:p>
        </w:tc>
        <w:tc>
          <w:tcPr>
            <w:tcW w:w="741" w:type="dxa"/>
            <w:vMerge w:val="restart"/>
            <w:vAlign w:val="center"/>
          </w:tcPr>
          <w:p w14:paraId="4B205405">
            <w:pPr>
              <w:widowControl/>
              <w:adjustRightInd w:val="0"/>
              <w:snapToGrid w:val="0"/>
              <w:rPr>
                <w:rFonts w:ascii="宋体" w:hAnsi="宋体" w:cs="宋体"/>
                <w:color w:val="auto"/>
                <w:kern w:val="0"/>
                <w:szCs w:val="21"/>
              </w:rPr>
            </w:pPr>
          </w:p>
        </w:tc>
      </w:tr>
      <w:tr w14:paraId="5FD9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878" w:hRule="atLeast"/>
          <w:jc w:val="center"/>
        </w:trPr>
        <w:tc>
          <w:tcPr>
            <w:tcW w:w="522" w:type="dxa"/>
            <w:vMerge w:val="continue"/>
            <w:vAlign w:val="center"/>
          </w:tcPr>
          <w:p w14:paraId="1D556941">
            <w:pPr>
              <w:jc w:val="center"/>
              <w:rPr>
                <w:rFonts w:ascii="宋体" w:hAnsi="宋体" w:cs="宋体"/>
                <w:color w:val="auto"/>
                <w:kern w:val="0"/>
                <w:szCs w:val="21"/>
              </w:rPr>
            </w:pPr>
          </w:p>
        </w:tc>
        <w:tc>
          <w:tcPr>
            <w:tcW w:w="1341" w:type="dxa"/>
            <w:vMerge w:val="continue"/>
            <w:vAlign w:val="center"/>
          </w:tcPr>
          <w:p w14:paraId="759EDA42">
            <w:pPr>
              <w:widowControl/>
              <w:adjustRightInd w:val="0"/>
              <w:snapToGrid w:val="0"/>
              <w:rPr>
                <w:rFonts w:ascii="宋体" w:hAnsi="宋体" w:cs="宋体"/>
                <w:color w:val="auto"/>
                <w:kern w:val="0"/>
                <w:szCs w:val="21"/>
              </w:rPr>
            </w:pPr>
          </w:p>
        </w:tc>
        <w:tc>
          <w:tcPr>
            <w:tcW w:w="1438" w:type="dxa"/>
            <w:vAlign w:val="center"/>
          </w:tcPr>
          <w:p w14:paraId="3FC8022B">
            <w:pPr>
              <w:widowControl/>
              <w:adjustRightInd w:val="0"/>
              <w:snapToGrid w:val="0"/>
              <w:rPr>
                <w:rFonts w:ascii="宋体" w:hAnsi="宋体" w:cs="宋体"/>
                <w:color w:val="auto"/>
                <w:kern w:val="0"/>
                <w:szCs w:val="21"/>
              </w:rPr>
            </w:pPr>
            <w:r>
              <w:rPr>
                <w:rFonts w:hint="eastAsia" w:ascii="宋体" w:hAnsi="宋体" w:cs="宋体"/>
                <w:color w:val="auto"/>
                <w:kern w:val="0"/>
                <w:szCs w:val="21"/>
              </w:rPr>
              <w:t>10.2 采取措施消除事故隐患</w:t>
            </w:r>
          </w:p>
        </w:tc>
        <w:tc>
          <w:tcPr>
            <w:tcW w:w="4795" w:type="dxa"/>
            <w:vAlign w:val="center"/>
          </w:tcPr>
          <w:p w14:paraId="24977C70">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第四十一条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F875DE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277" w:type="dxa"/>
            <w:vAlign w:val="center"/>
          </w:tcPr>
          <w:p w14:paraId="7BA5B9CF">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CC4E1F8">
            <w:pPr>
              <w:widowControl/>
              <w:adjustRightInd w:val="0"/>
              <w:snapToGrid w:val="0"/>
              <w:ind w:firstLine="420" w:firstLineChars="200"/>
              <w:rPr>
                <w:rFonts w:ascii="宋体" w:hAnsi="宋体" w:cs="宋体"/>
                <w:color w:val="auto"/>
                <w:kern w:val="0"/>
                <w:szCs w:val="21"/>
              </w:rPr>
            </w:pPr>
          </w:p>
        </w:tc>
        <w:tc>
          <w:tcPr>
            <w:tcW w:w="741" w:type="dxa"/>
            <w:vMerge w:val="continue"/>
            <w:vAlign w:val="center"/>
          </w:tcPr>
          <w:p w14:paraId="504D08FF">
            <w:pPr>
              <w:widowControl/>
              <w:adjustRightInd w:val="0"/>
              <w:snapToGrid w:val="0"/>
              <w:rPr>
                <w:rFonts w:ascii="宋体" w:hAnsi="宋体" w:cs="宋体"/>
                <w:color w:val="auto"/>
                <w:kern w:val="0"/>
                <w:szCs w:val="21"/>
              </w:rPr>
            </w:pPr>
          </w:p>
        </w:tc>
      </w:tr>
      <w:tr w14:paraId="226D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422" w:hRule="atLeast"/>
          <w:jc w:val="center"/>
        </w:trPr>
        <w:tc>
          <w:tcPr>
            <w:tcW w:w="522" w:type="dxa"/>
            <w:vMerge w:val="continue"/>
            <w:vAlign w:val="center"/>
          </w:tcPr>
          <w:p w14:paraId="6CE46B70">
            <w:pPr>
              <w:jc w:val="center"/>
              <w:rPr>
                <w:rFonts w:ascii="宋体" w:hAnsi="宋体" w:cs="宋体"/>
                <w:color w:val="auto"/>
                <w:kern w:val="0"/>
                <w:szCs w:val="21"/>
              </w:rPr>
            </w:pPr>
          </w:p>
        </w:tc>
        <w:tc>
          <w:tcPr>
            <w:tcW w:w="1341" w:type="dxa"/>
            <w:vMerge w:val="continue"/>
            <w:vAlign w:val="center"/>
          </w:tcPr>
          <w:p w14:paraId="16FE6E63">
            <w:pPr>
              <w:widowControl/>
              <w:adjustRightInd w:val="0"/>
              <w:snapToGrid w:val="0"/>
              <w:rPr>
                <w:rFonts w:ascii="宋体" w:hAnsi="宋体" w:cs="宋体"/>
                <w:color w:val="auto"/>
                <w:kern w:val="0"/>
                <w:szCs w:val="21"/>
              </w:rPr>
            </w:pPr>
          </w:p>
        </w:tc>
        <w:tc>
          <w:tcPr>
            <w:tcW w:w="1438" w:type="dxa"/>
            <w:vAlign w:val="center"/>
          </w:tcPr>
          <w:p w14:paraId="4646A130">
            <w:pPr>
              <w:widowControl/>
              <w:adjustRightInd w:val="0"/>
              <w:snapToGrid w:val="0"/>
              <w:rPr>
                <w:rFonts w:ascii="宋体" w:hAnsi="宋体" w:cs="宋体"/>
                <w:color w:val="auto"/>
                <w:kern w:val="0"/>
                <w:szCs w:val="21"/>
              </w:rPr>
            </w:pPr>
            <w:r>
              <w:rPr>
                <w:rFonts w:hint="eastAsia" w:ascii="宋体" w:hAnsi="宋体" w:cs="宋体"/>
                <w:color w:val="auto"/>
                <w:kern w:val="0"/>
                <w:szCs w:val="21"/>
              </w:rPr>
              <w:t>10.3 如实记录事故隐患排查治理情况并向从业人员通报</w:t>
            </w:r>
          </w:p>
        </w:tc>
        <w:tc>
          <w:tcPr>
            <w:tcW w:w="4795" w:type="dxa"/>
            <w:vAlign w:val="center"/>
          </w:tcPr>
          <w:p w14:paraId="00A6AC22">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第四十一条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4DC441A">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277" w:type="dxa"/>
            <w:vAlign w:val="center"/>
          </w:tcPr>
          <w:p w14:paraId="285826D7">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854CCE9">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14:paraId="35ABDA0D">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（五）未将事故隐患排查治理情况如实记录或者未向从业人员通报的；</w:t>
            </w:r>
          </w:p>
          <w:p w14:paraId="1D6641D3">
            <w:pPr>
              <w:widowControl/>
              <w:adjustRightInd w:val="0"/>
              <w:snapToGrid w:val="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p>
        </w:tc>
        <w:tc>
          <w:tcPr>
            <w:tcW w:w="741" w:type="dxa"/>
            <w:vMerge w:val="continue"/>
            <w:vAlign w:val="center"/>
          </w:tcPr>
          <w:p w14:paraId="405865EF">
            <w:pPr>
              <w:widowControl/>
              <w:adjustRightInd w:val="0"/>
              <w:snapToGrid w:val="0"/>
              <w:rPr>
                <w:rFonts w:ascii="宋体" w:hAnsi="宋体" w:cs="宋体"/>
                <w:color w:val="auto"/>
                <w:kern w:val="0"/>
                <w:szCs w:val="21"/>
              </w:rPr>
            </w:pPr>
          </w:p>
        </w:tc>
      </w:tr>
      <w:tr w14:paraId="467E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038" w:hRule="atLeast"/>
          <w:jc w:val="center"/>
        </w:trPr>
        <w:tc>
          <w:tcPr>
            <w:tcW w:w="522" w:type="dxa"/>
            <w:vMerge w:val="continue"/>
            <w:vAlign w:val="center"/>
          </w:tcPr>
          <w:p w14:paraId="7301E1D3">
            <w:pPr>
              <w:jc w:val="center"/>
              <w:rPr>
                <w:rFonts w:ascii="宋体" w:hAnsi="宋体" w:cs="宋体"/>
                <w:color w:val="auto"/>
                <w:kern w:val="0"/>
                <w:szCs w:val="21"/>
              </w:rPr>
            </w:pPr>
          </w:p>
        </w:tc>
        <w:tc>
          <w:tcPr>
            <w:tcW w:w="1341" w:type="dxa"/>
            <w:vMerge w:val="continue"/>
            <w:vAlign w:val="center"/>
          </w:tcPr>
          <w:p w14:paraId="5CAA5260">
            <w:pPr>
              <w:widowControl/>
              <w:adjustRightInd w:val="0"/>
              <w:snapToGrid w:val="0"/>
              <w:rPr>
                <w:rFonts w:ascii="宋体" w:hAnsi="宋体" w:cs="宋体"/>
                <w:color w:val="auto"/>
                <w:kern w:val="0"/>
                <w:szCs w:val="21"/>
              </w:rPr>
            </w:pPr>
          </w:p>
        </w:tc>
        <w:tc>
          <w:tcPr>
            <w:tcW w:w="1438" w:type="dxa"/>
            <w:vAlign w:val="center"/>
          </w:tcPr>
          <w:p w14:paraId="48C98712">
            <w:pPr>
              <w:widowControl/>
              <w:adjustRightInd w:val="0"/>
              <w:snapToGrid w:val="0"/>
              <w:rPr>
                <w:rFonts w:ascii="宋体" w:hAnsi="宋体" w:cs="宋体"/>
                <w:color w:val="auto"/>
                <w:kern w:val="0"/>
                <w:szCs w:val="21"/>
              </w:rPr>
            </w:pPr>
            <w:r>
              <w:rPr>
                <w:rFonts w:hint="eastAsia" w:ascii="宋体" w:hAnsi="宋体" w:cs="宋体"/>
                <w:color w:val="auto"/>
                <w:kern w:val="0"/>
                <w:szCs w:val="21"/>
              </w:rPr>
              <w:t>10.4 重大事故隐患报告</w:t>
            </w:r>
          </w:p>
        </w:tc>
        <w:tc>
          <w:tcPr>
            <w:tcW w:w="4795" w:type="dxa"/>
            <w:vAlign w:val="center"/>
          </w:tcPr>
          <w:p w14:paraId="6C2229F6">
            <w:pPr>
              <w:widowControl/>
              <w:adjustRightInd w:val="0"/>
              <w:snapToGrid w:val="0"/>
              <w:ind w:firstLine="420" w:firstLineChars="200"/>
              <w:rPr>
                <w:rFonts w:hint="eastAsia"/>
                <w:color w:val="auto"/>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中华人民共和国安全生产法</w:t>
            </w:r>
            <w:r>
              <w:rPr>
                <w:rFonts w:hint="eastAsia" w:ascii="宋体" w:hAnsi="宋体" w:cs="宋体"/>
                <w:color w:val="auto"/>
                <w:kern w:val="0"/>
                <w:szCs w:val="21"/>
                <w:lang w:eastAsia="zh-CN"/>
              </w:rPr>
              <w:t>》</w:t>
            </w:r>
            <w:r>
              <w:rPr>
                <w:rFonts w:hint="eastAsia"/>
                <w:color w:val="auto"/>
              </w:rPr>
              <w:t>第四十一条　生产经营单位应当建立安全风险分级管控制度，按照安全风险分级采取相应的管控措施。</w:t>
            </w:r>
          </w:p>
          <w:p w14:paraId="224995E2">
            <w:pPr>
              <w:widowControl/>
              <w:adjustRightInd w:val="0"/>
              <w:snapToGrid w:val="0"/>
              <w:ind w:firstLine="420" w:firstLineChars="200"/>
              <w:rPr>
                <w:color w:val="auto"/>
              </w:rPr>
            </w:pPr>
            <w:r>
              <w:rPr>
                <w:rFonts w:hint="eastAsia"/>
                <w:color w:val="auto"/>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7277" w:type="dxa"/>
            <w:vAlign w:val="center"/>
          </w:tcPr>
          <w:p w14:paraId="408E98B4">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中华人民共和国安全生产法</w:t>
            </w:r>
            <w:r>
              <w:rPr>
                <w:rFonts w:hint="eastAsia" w:ascii="宋体" w:hAnsi="宋体" w:cs="宋体"/>
                <w:color w:val="auto"/>
                <w:kern w:val="0"/>
                <w:szCs w:val="21"/>
                <w:lang w:eastAsia="zh-CN"/>
              </w:rPr>
              <w:t>》</w:t>
            </w:r>
            <w:r>
              <w:rPr>
                <w:rFonts w:hint="eastAsia" w:ascii="宋体" w:hAnsi="宋体" w:cs="宋体"/>
                <w:color w:val="auto"/>
                <w:kern w:val="0"/>
                <w:szCs w:val="21"/>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0D0566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（五）重大事故隐患排查治理情况未按照规定报告的。</w:t>
            </w:r>
          </w:p>
          <w:p w14:paraId="4AFB7C64">
            <w:pPr>
              <w:widowControl/>
              <w:adjustRightInd w:val="0"/>
              <w:snapToGrid w:val="0"/>
              <w:ind w:firstLine="420" w:firstLineChars="200"/>
              <w:rPr>
                <w:rFonts w:ascii="宋体" w:hAnsi="宋体" w:cs="宋体"/>
                <w:color w:val="auto"/>
                <w:kern w:val="0"/>
                <w:szCs w:val="21"/>
              </w:rPr>
            </w:pPr>
          </w:p>
        </w:tc>
        <w:tc>
          <w:tcPr>
            <w:tcW w:w="741" w:type="dxa"/>
            <w:vAlign w:val="center"/>
          </w:tcPr>
          <w:p w14:paraId="345E9F98">
            <w:pPr>
              <w:widowControl/>
              <w:adjustRightInd w:val="0"/>
              <w:snapToGrid w:val="0"/>
              <w:rPr>
                <w:rFonts w:ascii="宋体" w:hAnsi="宋体" w:cs="宋体"/>
                <w:color w:val="auto"/>
                <w:kern w:val="0"/>
                <w:szCs w:val="21"/>
              </w:rPr>
            </w:pPr>
          </w:p>
        </w:tc>
      </w:tr>
      <w:tr w14:paraId="17C5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85" w:hRule="atLeast"/>
          <w:jc w:val="center"/>
        </w:trPr>
        <w:tc>
          <w:tcPr>
            <w:tcW w:w="522" w:type="dxa"/>
            <w:vMerge w:val="continue"/>
            <w:vAlign w:val="center"/>
          </w:tcPr>
          <w:p w14:paraId="41B3D7C3">
            <w:pPr>
              <w:rPr>
                <w:rFonts w:ascii="宋体" w:hAnsi="宋体" w:cs="宋体"/>
                <w:color w:val="auto"/>
                <w:kern w:val="0"/>
                <w:szCs w:val="21"/>
              </w:rPr>
            </w:pPr>
          </w:p>
        </w:tc>
        <w:tc>
          <w:tcPr>
            <w:tcW w:w="1341" w:type="dxa"/>
            <w:vMerge w:val="continue"/>
            <w:vAlign w:val="center"/>
          </w:tcPr>
          <w:p w14:paraId="4767E6F9">
            <w:pPr>
              <w:widowControl/>
              <w:adjustRightInd w:val="0"/>
              <w:snapToGrid w:val="0"/>
              <w:rPr>
                <w:rFonts w:ascii="宋体" w:hAnsi="宋体" w:cs="宋体"/>
                <w:color w:val="auto"/>
                <w:kern w:val="0"/>
                <w:szCs w:val="21"/>
              </w:rPr>
            </w:pPr>
          </w:p>
        </w:tc>
        <w:tc>
          <w:tcPr>
            <w:tcW w:w="1438" w:type="dxa"/>
            <w:vAlign w:val="center"/>
          </w:tcPr>
          <w:p w14:paraId="34F9BF53">
            <w:pPr>
              <w:widowControl/>
              <w:adjustRightInd w:val="0"/>
              <w:snapToGrid w:val="0"/>
              <w:rPr>
                <w:rFonts w:ascii="宋体" w:hAnsi="宋体" w:cs="宋体"/>
                <w:color w:val="auto"/>
                <w:kern w:val="0"/>
                <w:szCs w:val="21"/>
              </w:rPr>
            </w:pPr>
            <w:r>
              <w:rPr>
                <w:rFonts w:hint="eastAsia" w:ascii="宋体" w:hAnsi="宋体" w:cs="宋体"/>
                <w:color w:val="auto"/>
                <w:kern w:val="0"/>
                <w:szCs w:val="21"/>
              </w:rPr>
              <w:t>10.5 重大事故隐患整改</w:t>
            </w:r>
          </w:p>
        </w:tc>
        <w:tc>
          <w:tcPr>
            <w:tcW w:w="4795" w:type="dxa"/>
            <w:vAlign w:val="center"/>
          </w:tcPr>
          <w:p w14:paraId="005F6BC6">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《安全生产事故隐患排查治理暂行规定》第十八条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14:paraId="77C2124C">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7277" w:type="dxa"/>
            <w:vAlign w:val="center"/>
          </w:tcPr>
          <w:p w14:paraId="14B3B07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《安全生产事故隐患排查治理暂行规定》第二十六条  生产经营单位违反本规定，有下列行为之一的，由安全监管监察部门给予警告，并处三万元以下的罚款：</w:t>
            </w:r>
          </w:p>
          <w:p w14:paraId="698081E4">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7B5AD04A">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（六）整改不合格或者未经安全监管监察部门审查同意擅自恢复生产经营的。</w:t>
            </w:r>
          </w:p>
        </w:tc>
        <w:tc>
          <w:tcPr>
            <w:tcW w:w="741" w:type="dxa"/>
            <w:vAlign w:val="center"/>
          </w:tcPr>
          <w:p w14:paraId="342F832E">
            <w:pPr>
              <w:widowControl/>
              <w:adjustRightInd w:val="0"/>
              <w:snapToGrid w:val="0"/>
              <w:rPr>
                <w:rFonts w:ascii="宋体" w:hAnsi="宋体" w:cs="宋体"/>
                <w:color w:val="auto"/>
                <w:kern w:val="0"/>
                <w:szCs w:val="21"/>
              </w:rPr>
            </w:pPr>
          </w:p>
        </w:tc>
      </w:tr>
      <w:tr w14:paraId="100E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47" w:hRule="atLeast"/>
          <w:jc w:val="center"/>
        </w:trPr>
        <w:tc>
          <w:tcPr>
            <w:tcW w:w="522" w:type="dxa"/>
            <w:vMerge w:val="restart"/>
            <w:vAlign w:val="center"/>
          </w:tcPr>
          <w:p w14:paraId="32C76BF8">
            <w:pPr>
              <w:jc w:val="center"/>
              <w:rPr>
                <w:rFonts w:ascii="宋体" w:hAnsi="宋体" w:cs="宋体"/>
                <w:color w:val="auto"/>
                <w:kern w:val="0"/>
                <w:szCs w:val="21"/>
              </w:rPr>
            </w:pPr>
            <w:r>
              <w:rPr>
                <w:rFonts w:hint="eastAsia" w:ascii="宋体" w:hAnsi="宋体" w:cs="宋体"/>
                <w:color w:val="auto"/>
                <w:kern w:val="0"/>
                <w:szCs w:val="21"/>
              </w:rPr>
              <w:t>11</w:t>
            </w:r>
          </w:p>
        </w:tc>
        <w:tc>
          <w:tcPr>
            <w:tcW w:w="1341" w:type="dxa"/>
            <w:vMerge w:val="restart"/>
            <w:vAlign w:val="center"/>
          </w:tcPr>
          <w:p w14:paraId="74E110E8">
            <w:pPr>
              <w:widowControl/>
              <w:adjustRightInd w:val="0"/>
              <w:snapToGrid w:val="0"/>
              <w:rPr>
                <w:rFonts w:ascii="宋体" w:hAnsi="宋体" w:cs="宋体"/>
                <w:color w:val="auto"/>
                <w:kern w:val="0"/>
                <w:szCs w:val="21"/>
              </w:rPr>
            </w:pPr>
            <w:r>
              <w:rPr>
                <w:rFonts w:hint="eastAsia" w:ascii="宋体" w:hAnsi="宋体" w:cs="宋体"/>
                <w:color w:val="auto"/>
                <w:kern w:val="0"/>
                <w:szCs w:val="21"/>
              </w:rPr>
              <w:t>危险场所与员工宿舍安全距离及安全出口管理情况</w:t>
            </w:r>
          </w:p>
        </w:tc>
        <w:tc>
          <w:tcPr>
            <w:tcW w:w="1438" w:type="dxa"/>
            <w:vAlign w:val="center"/>
          </w:tcPr>
          <w:p w14:paraId="1AF8F227">
            <w:pPr>
              <w:widowControl/>
              <w:adjustRightInd w:val="0"/>
              <w:snapToGrid w:val="0"/>
              <w:rPr>
                <w:rFonts w:ascii="宋体" w:hAnsi="宋体" w:cs="宋体"/>
                <w:color w:val="auto"/>
                <w:kern w:val="0"/>
                <w:szCs w:val="21"/>
              </w:rPr>
            </w:pPr>
            <w:r>
              <w:rPr>
                <w:rFonts w:hint="eastAsia" w:ascii="宋体" w:hAnsi="宋体" w:cs="宋体"/>
                <w:color w:val="auto"/>
                <w:kern w:val="0"/>
                <w:szCs w:val="21"/>
              </w:rPr>
              <w:t>11.1 危险物品场所与员工宿舍不在同一建筑物且保持安全距离</w:t>
            </w:r>
          </w:p>
        </w:tc>
        <w:tc>
          <w:tcPr>
            <w:tcW w:w="4795" w:type="dxa"/>
            <w:vAlign w:val="center"/>
          </w:tcPr>
          <w:p w14:paraId="42F06D3F">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第四十二条　生产、经营、储存、使用危险物品的车间、商店、仓库不得与员工宿舍在同一座建筑物内，并应当与员工宿舍保持安全距离。</w:t>
            </w:r>
          </w:p>
          <w:p w14:paraId="2F5F3124">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277" w:type="dxa"/>
            <w:vAlign w:val="center"/>
          </w:tcPr>
          <w:p w14:paraId="53E88EE5">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6CE31030">
            <w:pPr>
              <w:widowControl/>
              <w:numPr>
                <w:ilvl w:val="0"/>
                <w:numId w:val="4"/>
              </w:numPr>
              <w:adjustRightInd w:val="0"/>
              <w:snapToGrid w:val="0"/>
              <w:ind w:firstLine="420" w:firstLineChars="200"/>
              <w:rPr>
                <w:rFonts w:ascii="宋体" w:hAnsi="宋体" w:cs="宋体"/>
                <w:color w:val="auto"/>
                <w:kern w:val="0"/>
                <w:szCs w:val="21"/>
                <w:lang w:val="en-US" w:eastAsia="zh-CN"/>
              </w:rPr>
            </w:pPr>
            <w:r>
              <w:rPr>
                <w:rFonts w:ascii="宋体" w:hAnsi="宋体" w:cs="宋体"/>
                <w:color w:val="auto"/>
                <w:kern w:val="0"/>
                <w:szCs w:val="21"/>
                <w:lang w:val="en-US" w:eastAsia="zh-CN"/>
              </w:rPr>
              <w:t>生产、经营、储存、使用危险物品的车间、商店、仓库与员工宿舍在同一座建筑内，或者与员工宿舍的距离不符合安全要求的；</w:t>
            </w:r>
          </w:p>
          <w:p w14:paraId="539D3CF4">
            <w:pPr>
              <w:widowControl/>
              <w:numPr>
                <w:ilvl w:val="0"/>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w:t>
            </w:r>
          </w:p>
        </w:tc>
        <w:tc>
          <w:tcPr>
            <w:tcW w:w="741" w:type="dxa"/>
            <w:vMerge w:val="restart"/>
            <w:vAlign w:val="center"/>
          </w:tcPr>
          <w:p w14:paraId="1F5317BB">
            <w:pPr>
              <w:widowControl/>
              <w:adjustRightInd w:val="0"/>
              <w:snapToGrid w:val="0"/>
              <w:rPr>
                <w:rFonts w:ascii="宋体" w:hAnsi="宋体" w:cs="宋体"/>
                <w:color w:val="auto"/>
                <w:kern w:val="0"/>
                <w:szCs w:val="21"/>
              </w:rPr>
            </w:pPr>
          </w:p>
        </w:tc>
      </w:tr>
      <w:tr w14:paraId="7A9C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47" w:hRule="atLeast"/>
          <w:jc w:val="center"/>
        </w:trPr>
        <w:tc>
          <w:tcPr>
            <w:tcW w:w="522" w:type="dxa"/>
            <w:vMerge w:val="continue"/>
            <w:vAlign w:val="center"/>
          </w:tcPr>
          <w:p w14:paraId="447D4E1C">
            <w:pPr>
              <w:jc w:val="center"/>
              <w:rPr>
                <w:rFonts w:ascii="宋体" w:hAnsi="宋体" w:cs="宋体"/>
                <w:color w:val="auto"/>
                <w:kern w:val="0"/>
                <w:szCs w:val="21"/>
              </w:rPr>
            </w:pPr>
          </w:p>
        </w:tc>
        <w:tc>
          <w:tcPr>
            <w:tcW w:w="1341" w:type="dxa"/>
            <w:vMerge w:val="continue"/>
            <w:vAlign w:val="center"/>
          </w:tcPr>
          <w:p w14:paraId="786331D0">
            <w:pPr>
              <w:widowControl/>
              <w:adjustRightInd w:val="0"/>
              <w:snapToGrid w:val="0"/>
              <w:rPr>
                <w:rFonts w:ascii="宋体" w:hAnsi="宋体" w:cs="宋体"/>
                <w:color w:val="auto"/>
                <w:kern w:val="0"/>
                <w:szCs w:val="21"/>
              </w:rPr>
            </w:pPr>
          </w:p>
        </w:tc>
        <w:tc>
          <w:tcPr>
            <w:tcW w:w="1438" w:type="dxa"/>
            <w:vAlign w:val="center"/>
          </w:tcPr>
          <w:p w14:paraId="56DEDF43">
            <w:pPr>
              <w:widowControl/>
              <w:adjustRightInd w:val="0"/>
              <w:snapToGrid w:val="0"/>
              <w:rPr>
                <w:rFonts w:ascii="宋体" w:hAnsi="宋体" w:cs="宋体"/>
                <w:color w:val="auto"/>
                <w:kern w:val="0"/>
                <w:szCs w:val="21"/>
              </w:rPr>
            </w:pPr>
            <w:r>
              <w:rPr>
                <w:rFonts w:hint="eastAsia" w:ascii="宋体" w:hAnsi="宋体" w:cs="宋体"/>
                <w:color w:val="auto"/>
                <w:kern w:val="0"/>
                <w:szCs w:val="21"/>
              </w:rPr>
              <w:t>11.2 生产经营场所和员工宿舍安全出口符合疏散要求，禁止锁闭、封堵</w:t>
            </w:r>
          </w:p>
        </w:tc>
        <w:tc>
          <w:tcPr>
            <w:tcW w:w="4795" w:type="dxa"/>
            <w:vAlign w:val="center"/>
          </w:tcPr>
          <w:p w14:paraId="0F44ABD8">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w:t>
            </w:r>
            <w:r>
              <w:rPr>
                <w:rFonts w:hint="eastAsia" w:ascii="宋体" w:hAnsi="宋体" w:cs="宋体"/>
                <w:color w:val="auto"/>
                <w:kern w:val="0"/>
                <w:szCs w:val="21"/>
                <w:lang w:eastAsia="zh-CN"/>
              </w:rPr>
              <w:t>四十二</w:t>
            </w:r>
            <w:r>
              <w:rPr>
                <w:rFonts w:hint="eastAsia" w:ascii="宋体" w:hAnsi="宋体" w:cs="宋体"/>
                <w:color w:val="auto"/>
                <w:kern w:val="0"/>
                <w:szCs w:val="21"/>
              </w:rPr>
              <w:t>条  ……</w:t>
            </w:r>
          </w:p>
          <w:p w14:paraId="718B2CAC">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生产经营场所和员工宿舍应当设有符合紧急疏散要求、标志明显、保持畅通的出口、疏散通道。禁止占用、锁闭、封堵生产经营场所或者员工宿舍的出口、疏散通道。</w:t>
            </w:r>
          </w:p>
          <w:p w14:paraId="2786E4B5">
            <w:pPr>
              <w:widowControl/>
              <w:adjustRightInd w:val="0"/>
              <w:snapToGrid w:val="0"/>
              <w:ind w:firstLine="420" w:firstLineChars="200"/>
              <w:rPr>
                <w:rFonts w:ascii="宋体" w:hAnsi="宋体" w:cs="宋体"/>
                <w:color w:val="auto"/>
                <w:kern w:val="0"/>
                <w:szCs w:val="21"/>
              </w:rPr>
            </w:pPr>
          </w:p>
        </w:tc>
        <w:tc>
          <w:tcPr>
            <w:tcW w:w="7277" w:type="dxa"/>
            <w:vAlign w:val="center"/>
          </w:tcPr>
          <w:p w14:paraId="47902D19">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3033D59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2E071EEA">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（二）生产经营场所和员工宿舍未设有符合紧急疏散需要、标志明显、保持畅通的出口、疏散通道，或者占用、锁闭、封堵生产经营场所或者员工宿舍出口、疏散通道的。</w:t>
            </w:r>
          </w:p>
        </w:tc>
        <w:tc>
          <w:tcPr>
            <w:tcW w:w="741" w:type="dxa"/>
            <w:vMerge w:val="continue"/>
            <w:vAlign w:val="center"/>
          </w:tcPr>
          <w:p w14:paraId="3E64176F">
            <w:pPr>
              <w:widowControl/>
              <w:adjustRightInd w:val="0"/>
              <w:snapToGrid w:val="0"/>
              <w:rPr>
                <w:rFonts w:ascii="宋体" w:hAnsi="宋体" w:cs="宋体"/>
                <w:color w:val="auto"/>
                <w:kern w:val="0"/>
                <w:szCs w:val="21"/>
              </w:rPr>
            </w:pPr>
          </w:p>
        </w:tc>
      </w:tr>
      <w:tr w14:paraId="1983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95" w:hRule="atLeast"/>
          <w:jc w:val="center"/>
        </w:trPr>
        <w:tc>
          <w:tcPr>
            <w:tcW w:w="522" w:type="dxa"/>
            <w:vAlign w:val="center"/>
          </w:tcPr>
          <w:p w14:paraId="200EB789">
            <w:pPr>
              <w:jc w:val="center"/>
              <w:rPr>
                <w:rFonts w:ascii="宋体" w:hAnsi="宋体" w:cs="宋体"/>
                <w:color w:val="auto"/>
                <w:kern w:val="0"/>
                <w:szCs w:val="21"/>
              </w:rPr>
            </w:pPr>
            <w:r>
              <w:rPr>
                <w:rFonts w:hint="eastAsia" w:ascii="宋体" w:hAnsi="宋体" w:cs="宋体"/>
                <w:color w:val="auto"/>
                <w:kern w:val="0"/>
                <w:szCs w:val="21"/>
              </w:rPr>
              <w:t>12</w:t>
            </w:r>
          </w:p>
        </w:tc>
        <w:tc>
          <w:tcPr>
            <w:tcW w:w="1341" w:type="dxa"/>
            <w:vAlign w:val="center"/>
          </w:tcPr>
          <w:p w14:paraId="13564413">
            <w:pPr>
              <w:widowControl/>
              <w:adjustRightInd w:val="0"/>
              <w:snapToGrid w:val="0"/>
              <w:rPr>
                <w:rFonts w:ascii="宋体" w:hAnsi="宋体" w:cs="宋体"/>
                <w:color w:val="auto"/>
                <w:kern w:val="0"/>
                <w:szCs w:val="21"/>
              </w:rPr>
            </w:pPr>
            <w:r>
              <w:rPr>
                <w:rFonts w:hint="eastAsia" w:ascii="宋体" w:hAnsi="宋体" w:cs="宋体"/>
                <w:color w:val="auto"/>
                <w:kern w:val="0"/>
                <w:szCs w:val="21"/>
              </w:rPr>
              <w:t>危险作业安全管理情况</w:t>
            </w:r>
          </w:p>
        </w:tc>
        <w:tc>
          <w:tcPr>
            <w:tcW w:w="1438" w:type="dxa"/>
            <w:vAlign w:val="center"/>
          </w:tcPr>
          <w:p w14:paraId="3972C994">
            <w:pPr>
              <w:widowControl/>
              <w:adjustRightInd w:val="0"/>
              <w:snapToGrid w:val="0"/>
              <w:rPr>
                <w:rFonts w:ascii="宋体" w:hAnsi="宋体" w:cs="宋体"/>
                <w:color w:val="auto"/>
                <w:kern w:val="0"/>
                <w:szCs w:val="21"/>
              </w:rPr>
            </w:pPr>
            <w:r>
              <w:rPr>
                <w:rFonts w:hint="eastAsia" w:ascii="宋体" w:hAnsi="宋体" w:cs="宋体"/>
                <w:color w:val="auto"/>
                <w:kern w:val="0"/>
                <w:szCs w:val="21"/>
              </w:rPr>
              <w:t>爆破、吊装以及国务院有关部门规定的其他危险作业安全管理</w:t>
            </w:r>
          </w:p>
        </w:tc>
        <w:tc>
          <w:tcPr>
            <w:tcW w:w="4795" w:type="dxa"/>
            <w:vAlign w:val="center"/>
          </w:tcPr>
          <w:p w14:paraId="46A4F3A9">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第四十三条　生产经营单位进行爆破、吊装、动火、临时用电以及国务院应急管理部门会同国务院有关部门规定的其他危险作业，应当安排专门人员进行现场安全管理，确保操作规程的遵守和安全措施的落实。</w:t>
            </w:r>
          </w:p>
          <w:p w14:paraId="31616050">
            <w:pPr>
              <w:widowControl/>
              <w:adjustRightInd w:val="0"/>
              <w:snapToGrid w:val="0"/>
              <w:ind w:firstLine="420" w:firstLineChars="200"/>
              <w:rPr>
                <w:rFonts w:ascii="宋体" w:hAnsi="宋体" w:cs="宋体"/>
                <w:color w:val="auto"/>
                <w:kern w:val="0"/>
                <w:szCs w:val="21"/>
              </w:rPr>
            </w:pPr>
          </w:p>
        </w:tc>
        <w:tc>
          <w:tcPr>
            <w:tcW w:w="7277" w:type="dxa"/>
            <w:vAlign w:val="center"/>
          </w:tcPr>
          <w:p w14:paraId="199A5171">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F07F44F">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14:paraId="47D30FDA">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（三）进行爆破、吊装、动火、临时用电以及国务院应急管理部门会同国务院有关部门规定的其他危险作业，未安排专门人员进行现场安全管理的；</w:t>
            </w:r>
          </w:p>
          <w:p w14:paraId="2F58CE51">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Align w:val="center"/>
          </w:tcPr>
          <w:p w14:paraId="1C4ADC89">
            <w:pPr>
              <w:widowControl/>
              <w:adjustRightInd w:val="0"/>
              <w:snapToGrid w:val="0"/>
              <w:rPr>
                <w:rFonts w:ascii="宋体" w:hAnsi="宋体" w:cs="宋体"/>
                <w:color w:val="auto"/>
                <w:kern w:val="0"/>
                <w:szCs w:val="21"/>
              </w:rPr>
            </w:pPr>
          </w:p>
        </w:tc>
      </w:tr>
      <w:tr w14:paraId="43A5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21" w:hRule="atLeast"/>
          <w:jc w:val="center"/>
        </w:trPr>
        <w:tc>
          <w:tcPr>
            <w:tcW w:w="522" w:type="dxa"/>
            <w:vAlign w:val="center"/>
          </w:tcPr>
          <w:p w14:paraId="6D1BB332">
            <w:pPr>
              <w:jc w:val="center"/>
              <w:rPr>
                <w:rFonts w:ascii="宋体" w:hAnsi="宋体" w:cs="宋体"/>
                <w:color w:val="auto"/>
                <w:kern w:val="0"/>
                <w:szCs w:val="21"/>
              </w:rPr>
            </w:pPr>
            <w:r>
              <w:rPr>
                <w:rFonts w:hint="eastAsia" w:ascii="宋体" w:hAnsi="宋体" w:cs="宋体"/>
                <w:color w:val="auto"/>
                <w:kern w:val="0"/>
                <w:szCs w:val="21"/>
              </w:rPr>
              <w:t>13</w:t>
            </w:r>
          </w:p>
        </w:tc>
        <w:tc>
          <w:tcPr>
            <w:tcW w:w="1341" w:type="dxa"/>
            <w:vAlign w:val="center"/>
          </w:tcPr>
          <w:p w14:paraId="66C6C53D">
            <w:pPr>
              <w:widowControl/>
              <w:adjustRightInd w:val="0"/>
              <w:snapToGrid w:val="0"/>
              <w:rPr>
                <w:rFonts w:ascii="宋体" w:hAnsi="宋体" w:cs="宋体"/>
                <w:color w:val="auto"/>
                <w:kern w:val="0"/>
                <w:szCs w:val="21"/>
              </w:rPr>
            </w:pPr>
            <w:r>
              <w:rPr>
                <w:rFonts w:hint="eastAsia" w:ascii="宋体" w:hAnsi="宋体" w:cs="宋体"/>
                <w:color w:val="auto"/>
                <w:kern w:val="0"/>
                <w:szCs w:val="21"/>
              </w:rPr>
              <w:t>劳动防护用品管理情况</w:t>
            </w:r>
          </w:p>
        </w:tc>
        <w:tc>
          <w:tcPr>
            <w:tcW w:w="1438" w:type="dxa"/>
            <w:vAlign w:val="center"/>
          </w:tcPr>
          <w:p w14:paraId="57A0EEC4">
            <w:pPr>
              <w:widowControl/>
              <w:adjustRightInd w:val="0"/>
              <w:snapToGrid w:val="0"/>
              <w:rPr>
                <w:rFonts w:ascii="宋体" w:hAnsi="宋体" w:cs="宋体"/>
                <w:color w:val="auto"/>
                <w:kern w:val="0"/>
                <w:szCs w:val="21"/>
              </w:rPr>
            </w:pPr>
            <w:r>
              <w:rPr>
                <w:rFonts w:hint="eastAsia" w:ascii="宋体" w:hAnsi="宋体" w:cs="宋体"/>
                <w:color w:val="auto"/>
                <w:kern w:val="0"/>
                <w:szCs w:val="21"/>
              </w:rPr>
              <w:t>提供符合国家标准、行业标准的劳动防护用品</w:t>
            </w:r>
          </w:p>
        </w:tc>
        <w:tc>
          <w:tcPr>
            <w:tcW w:w="4795" w:type="dxa"/>
            <w:vAlign w:val="center"/>
          </w:tcPr>
          <w:p w14:paraId="53921359">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第四十五条　生产经营单位必须为从业人员提供符合国家标准或者行业标准的劳动防护用品，并监督、教育从业人员按照使用规则佩戴、使用。</w:t>
            </w:r>
          </w:p>
          <w:p w14:paraId="65B4DA84">
            <w:pPr>
              <w:widowControl/>
              <w:adjustRightInd w:val="0"/>
              <w:snapToGrid w:val="0"/>
              <w:ind w:firstLine="420" w:firstLineChars="200"/>
              <w:rPr>
                <w:rFonts w:ascii="宋体" w:hAnsi="宋体" w:cs="宋体"/>
                <w:color w:val="auto"/>
                <w:kern w:val="0"/>
                <w:szCs w:val="21"/>
              </w:rPr>
            </w:pPr>
          </w:p>
        </w:tc>
        <w:tc>
          <w:tcPr>
            <w:tcW w:w="7277" w:type="dxa"/>
            <w:vAlign w:val="center"/>
          </w:tcPr>
          <w:p w14:paraId="2910083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DF65E91">
            <w:pPr>
              <w:widowControl/>
              <w:adjustRightInd w:val="0"/>
              <w:snapToGrid w:val="0"/>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w:t>
            </w:r>
          </w:p>
          <w:p w14:paraId="035497B6">
            <w:pPr>
              <w:widowControl/>
              <w:numPr>
                <w:ilvl w:val="0"/>
                <w:numId w:val="5"/>
              </w:numPr>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未为从业人员提供符合国家标准或者行业标准的劳动防护用品的；</w:t>
            </w:r>
          </w:p>
          <w:p w14:paraId="2662D4EA">
            <w:pPr>
              <w:widowControl/>
              <w:numPr>
                <w:ilvl w:val="0"/>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Align w:val="center"/>
          </w:tcPr>
          <w:p w14:paraId="6DEDD184">
            <w:pPr>
              <w:widowControl/>
              <w:adjustRightInd w:val="0"/>
              <w:snapToGrid w:val="0"/>
              <w:rPr>
                <w:rFonts w:ascii="宋体" w:hAnsi="宋体" w:cs="宋体"/>
                <w:color w:val="auto"/>
                <w:kern w:val="0"/>
                <w:szCs w:val="21"/>
              </w:rPr>
            </w:pPr>
          </w:p>
        </w:tc>
      </w:tr>
      <w:tr w14:paraId="52CB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71" w:hRule="atLeast"/>
          <w:jc w:val="center"/>
        </w:trPr>
        <w:tc>
          <w:tcPr>
            <w:tcW w:w="522" w:type="dxa"/>
            <w:vMerge w:val="restart"/>
            <w:vAlign w:val="center"/>
          </w:tcPr>
          <w:p w14:paraId="37D7C58F">
            <w:pPr>
              <w:jc w:val="center"/>
              <w:rPr>
                <w:rFonts w:ascii="宋体" w:hAnsi="宋体" w:cs="宋体"/>
                <w:color w:val="auto"/>
                <w:kern w:val="0"/>
                <w:szCs w:val="21"/>
              </w:rPr>
            </w:pPr>
            <w:r>
              <w:rPr>
                <w:rFonts w:hint="eastAsia" w:ascii="宋体" w:hAnsi="宋体" w:cs="宋体"/>
                <w:color w:val="auto"/>
                <w:kern w:val="0"/>
                <w:szCs w:val="21"/>
              </w:rPr>
              <w:t>14</w:t>
            </w:r>
          </w:p>
        </w:tc>
        <w:tc>
          <w:tcPr>
            <w:tcW w:w="1341" w:type="dxa"/>
            <w:vMerge w:val="restart"/>
            <w:vAlign w:val="center"/>
          </w:tcPr>
          <w:p w14:paraId="2F5CA7FF">
            <w:pPr>
              <w:widowControl/>
              <w:adjustRightInd w:val="0"/>
              <w:snapToGrid w:val="0"/>
              <w:rPr>
                <w:rFonts w:ascii="宋体" w:hAnsi="宋体" w:cs="宋体"/>
                <w:color w:val="auto"/>
                <w:kern w:val="0"/>
                <w:szCs w:val="21"/>
              </w:rPr>
            </w:pPr>
            <w:r>
              <w:rPr>
                <w:rFonts w:hint="eastAsia" w:ascii="宋体" w:hAnsi="宋体" w:cs="宋体"/>
                <w:color w:val="auto"/>
                <w:kern w:val="0"/>
                <w:szCs w:val="21"/>
              </w:rPr>
              <w:t>生产经营项目、场所、设备发包、出租管理情况</w:t>
            </w:r>
          </w:p>
        </w:tc>
        <w:tc>
          <w:tcPr>
            <w:tcW w:w="1438" w:type="dxa"/>
            <w:vAlign w:val="center"/>
          </w:tcPr>
          <w:p w14:paraId="775FDFF6">
            <w:pPr>
              <w:widowControl/>
              <w:adjustRightInd w:val="0"/>
              <w:snapToGrid w:val="0"/>
              <w:rPr>
                <w:rFonts w:ascii="宋体" w:hAnsi="宋体" w:cs="宋体"/>
                <w:color w:val="auto"/>
                <w:kern w:val="0"/>
                <w:szCs w:val="21"/>
              </w:rPr>
            </w:pPr>
            <w:r>
              <w:rPr>
                <w:rFonts w:hint="eastAsia" w:ascii="宋体" w:hAnsi="宋体" w:cs="宋体"/>
                <w:color w:val="auto"/>
                <w:kern w:val="0"/>
                <w:szCs w:val="21"/>
              </w:rPr>
              <w:t>14.1 出租给具备条件或者资质的单位或者个人</w:t>
            </w:r>
          </w:p>
        </w:tc>
        <w:tc>
          <w:tcPr>
            <w:tcW w:w="4795" w:type="dxa"/>
            <w:vAlign w:val="center"/>
          </w:tcPr>
          <w:p w14:paraId="1980B62A">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第四十九条　生产经营单位不得将生产经营项目、场所、设备发包或者出租给不具备安全生产条件或者相应资质的单位或者个人。</w:t>
            </w:r>
          </w:p>
          <w:p w14:paraId="006A597F">
            <w:pPr>
              <w:widowControl/>
              <w:adjustRightInd w:val="0"/>
              <w:snapToGrid w:val="0"/>
              <w:rPr>
                <w:rFonts w:ascii="宋体" w:hAnsi="宋体" w:cs="宋体"/>
                <w:color w:val="auto"/>
                <w:kern w:val="0"/>
                <w:szCs w:val="21"/>
              </w:rPr>
            </w:pPr>
            <w:r>
              <w:rPr>
                <w:rFonts w:hint="eastAsia" w:ascii="宋体" w:hAnsi="宋体" w:cs="宋体"/>
                <w:color w:val="auto"/>
                <w:kern w:val="0"/>
                <w:szCs w:val="21"/>
              </w:rPr>
              <w:t xml:space="preserve">    ……</w:t>
            </w:r>
          </w:p>
        </w:tc>
        <w:tc>
          <w:tcPr>
            <w:tcW w:w="7277" w:type="dxa"/>
            <w:vAlign w:val="center"/>
          </w:tcPr>
          <w:p w14:paraId="74A790C7">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77FAB2A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highlight w:val="none"/>
              </w:rPr>
              <w:t>……</w:t>
            </w:r>
          </w:p>
        </w:tc>
        <w:tc>
          <w:tcPr>
            <w:tcW w:w="741" w:type="dxa"/>
            <w:vAlign w:val="center"/>
          </w:tcPr>
          <w:p w14:paraId="7803D43C">
            <w:pPr>
              <w:widowControl/>
              <w:adjustRightInd w:val="0"/>
              <w:snapToGrid w:val="0"/>
              <w:rPr>
                <w:rFonts w:ascii="宋体" w:hAnsi="宋体" w:cs="宋体"/>
                <w:color w:val="auto"/>
                <w:kern w:val="0"/>
                <w:szCs w:val="21"/>
              </w:rPr>
            </w:pPr>
          </w:p>
        </w:tc>
      </w:tr>
      <w:tr w14:paraId="38C0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41" w:hRule="atLeast"/>
          <w:jc w:val="center"/>
        </w:trPr>
        <w:tc>
          <w:tcPr>
            <w:tcW w:w="522" w:type="dxa"/>
            <w:vMerge w:val="continue"/>
            <w:tcBorders>
              <w:bottom w:val="single" w:color="auto" w:sz="4" w:space="0"/>
            </w:tcBorders>
            <w:vAlign w:val="center"/>
          </w:tcPr>
          <w:p w14:paraId="47343F55">
            <w:pPr>
              <w:jc w:val="center"/>
              <w:rPr>
                <w:rFonts w:ascii="宋体" w:hAnsi="宋体" w:cs="宋体"/>
                <w:color w:val="auto"/>
                <w:kern w:val="0"/>
                <w:szCs w:val="21"/>
              </w:rPr>
            </w:pPr>
          </w:p>
        </w:tc>
        <w:tc>
          <w:tcPr>
            <w:tcW w:w="1341" w:type="dxa"/>
            <w:vMerge w:val="continue"/>
            <w:tcBorders>
              <w:bottom w:val="single" w:color="auto" w:sz="4" w:space="0"/>
            </w:tcBorders>
            <w:vAlign w:val="center"/>
          </w:tcPr>
          <w:p w14:paraId="4C045F93">
            <w:pPr>
              <w:widowControl/>
              <w:adjustRightInd w:val="0"/>
              <w:snapToGrid w:val="0"/>
              <w:rPr>
                <w:rFonts w:ascii="宋体" w:hAnsi="宋体" w:cs="宋体"/>
                <w:color w:val="auto"/>
                <w:kern w:val="0"/>
                <w:szCs w:val="21"/>
              </w:rPr>
            </w:pPr>
          </w:p>
        </w:tc>
        <w:tc>
          <w:tcPr>
            <w:tcW w:w="1438" w:type="dxa"/>
            <w:tcBorders>
              <w:bottom w:val="single" w:color="auto" w:sz="4" w:space="0"/>
            </w:tcBorders>
            <w:vAlign w:val="center"/>
          </w:tcPr>
          <w:p w14:paraId="646BB170">
            <w:pPr>
              <w:widowControl/>
              <w:adjustRightInd w:val="0"/>
              <w:snapToGrid w:val="0"/>
              <w:rPr>
                <w:rFonts w:ascii="宋体" w:hAnsi="宋体" w:cs="宋体"/>
                <w:color w:val="auto"/>
                <w:kern w:val="0"/>
                <w:szCs w:val="21"/>
              </w:rPr>
            </w:pPr>
            <w:r>
              <w:rPr>
                <w:rFonts w:hint="eastAsia" w:ascii="宋体" w:hAnsi="宋体" w:cs="宋体"/>
                <w:color w:val="auto"/>
                <w:kern w:val="0"/>
                <w:szCs w:val="21"/>
              </w:rPr>
              <w:t>14.2 安全管理协议和发包方统一协调管理</w:t>
            </w:r>
          </w:p>
        </w:tc>
        <w:tc>
          <w:tcPr>
            <w:tcW w:w="4795" w:type="dxa"/>
            <w:tcBorders>
              <w:bottom w:val="single" w:color="auto" w:sz="4" w:space="0"/>
            </w:tcBorders>
            <w:vAlign w:val="center"/>
          </w:tcPr>
          <w:p w14:paraId="427C0DC0">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》第四十</w:t>
            </w:r>
            <w:r>
              <w:rPr>
                <w:rFonts w:hint="eastAsia" w:ascii="宋体" w:hAnsi="宋体" w:cs="宋体"/>
                <w:color w:val="auto"/>
                <w:kern w:val="0"/>
                <w:szCs w:val="21"/>
                <w:lang w:eastAsia="zh-CN"/>
              </w:rPr>
              <w:t>九</w:t>
            </w:r>
            <w:r>
              <w:rPr>
                <w:rFonts w:hint="eastAsia" w:ascii="宋体" w:hAnsi="宋体" w:cs="宋体"/>
                <w:color w:val="auto"/>
                <w:kern w:val="0"/>
                <w:szCs w:val="21"/>
              </w:rPr>
              <w:t>条  ……</w:t>
            </w:r>
          </w:p>
          <w:p w14:paraId="725B4928">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287E1314">
            <w:pPr>
              <w:widowControl/>
              <w:adjustRightInd w:val="0"/>
              <w:snapToGrid w:val="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p>
        </w:tc>
        <w:tc>
          <w:tcPr>
            <w:tcW w:w="7277" w:type="dxa"/>
            <w:tcBorders>
              <w:bottom w:val="single" w:color="auto" w:sz="4" w:space="0"/>
            </w:tcBorders>
            <w:vAlign w:val="center"/>
          </w:tcPr>
          <w:p w14:paraId="2612D591">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》第一百</w:t>
            </w:r>
            <w:r>
              <w:rPr>
                <w:rFonts w:hint="eastAsia" w:ascii="宋体" w:hAnsi="宋体" w:cs="宋体"/>
                <w:color w:val="auto"/>
                <w:kern w:val="0"/>
                <w:szCs w:val="21"/>
                <w:lang w:eastAsia="zh-CN"/>
              </w:rPr>
              <w:t>零三</w:t>
            </w:r>
            <w:r>
              <w:rPr>
                <w:rFonts w:hint="eastAsia" w:ascii="宋体" w:hAnsi="宋体" w:cs="宋体"/>
                <w:color w:val="auto"/>
                <w:kern w:val="0"/>
                <w:szCs w:val="21"/>
              </w:rPr>
              <w:t>条  ……</w:t>
            </w:r>
          </w:p>
          <w:p w14:paraId="29BDA2A1">
            <w:pPr>
              <w:widowControl/>
              <w:adjustRightInd w:val="0"/>
              <w:snapToGrid w:val="0"/>
              <w:ind w:firstLine="420" w:firstLineChars="200"/>
              <w:rPr>
                <w:rFonts w:ascii="宋体" w:hAnsi="宋体" w:cs="宋体"/>
                <w:color w:val="auto"/>
                <w:kern w:val="0"/>
                <w:szCs w:val="21"/>
                <w:lang w:val="en-US" w:eastAsia="zh-CN"/>
              </w:rPr>
            </w:pPr>
            <w:r>
              <w:rPr>
                <w:rFonts w:ascii="宋体" w:hAnsi="宋体" w:cs="宋体"/>
                <w:color w:val="auto"/>
                <w:kern w:val="0"/>
                <w:szCs w:val="21"/>
                <w:lang w:val="en-US" w:eastAsia="zh-CN"/>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5B4476F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w:t>
            </w:r>
          </w:p>
        </w:tc>
        <w:tc>
          <w:tcPr>
            <w:tcW w:w="741" w:type="dxa"/>
            <w:tcBorders>
              <w:bottom w:val="single" w:color="auto" w:sz="4" w:space="0"/>
            </w:tcBorders>
            <w:vAlign w:val="center"/>
          </w:tcPr>
          <w:p w14:paraId="58543BD3">
            <w:pPr>
              <w:widowControl/>
              <w:adjustRightInd w:val="0"/>
              <w:snapToGrid w:val="0"/>
              <w:rPr>
                <w:rFonts w:ascii="宋体" w:hAnsi="宋体" w:cs="宋体"/>
                <w:color w:val="auto"/>
                <w:kern w:val="0"/>
                <w:szCs w:val="21"/>
              </w:rPr>
            </w:pPr>
          </w:p>
        </w:tc>
      </w:tr>
      <w:tr w14:paraId="257A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522" w:type="dxa"/>
            <w:vAlign w:val="center"/>
          </w:tcPr>
          <w:p w14:paraId="54167413">
            <w:pPr>
              <w:widowControl/>
              <w:adjustRightInd w:val="0"/>
              <w:snapToGrid w:val="0"/>
              <w:spacing w:line="32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p>
        </w:tc>
        <w:tc>
          <w:tcPr>
            <w:tcW w:w="1341" w:type="dxa"/>
            <w:vAlign w:val="center"/>
          </w:tcPr>
          <w:p w14:paraId="69A8AA20">
            <w:pPr>
              <w:widowControl/>
              <w:adjustRightInd w:val="0"/>
              <w:snapToGrid w:val="0"/>
              <w:spacing w:line="320" w:lineRule="exact"/>
              <w:rPr>
                <w:rFonts w:ascii="宋体" w:hAnsi="宋体" w:cs="宋体"/>
                <w:color w:val="auto"/>
                <w:kern w:val="0"/>
                <w:szCs w:val="21"/>
              </w:rPr>
            </w:pPr>
            <w:r>
              <w:rPr>
                <w:rFonts w:hint="eastAsia" w:ascii="宋体" w:hAnsi="宋体" w:cs="宋体"/>
                <w:color w:val="auto"/>
                <w:kern w:val="0"/>
                <w:szCs w:val="21"/>
              </w:rPr>
              <w:t>应急预案的制定及实施情况</w:t>
            </w:r>
          </w:p>
        </w:tc>
        <w:tc>
          <w:tcPr>
            <w:tcW w:w="1438" w:type="dxa"/>
            <w:vAlign w:val="center"/>
          </w:tcPr>
          <w:p w14:paraId="53D5C55F">
            <w:pPr>
              <w:widowControl/>
              <w:adjustRightInd w:val="0"/>
              <w:snapToGrid w:val="0"/>
              <w:spacing w:line="320" w:lineRule="exact"/>
              <w:rPr>
                <w:rFonts w:ascii="宋体" w:hAnsi="宋体" w:cs="宋体"/>
                <w:color w:val="auto"/>
                <w:kern w:val="0"/>
                <w:szCs w:val="21"/>
              </w:rPr>
            </w:pPr>
            <w:r>
              <w:rPr>
                <w:rFonts w:hint="eastAsia" w:ascii="宋体" w:hAnsi="宋体" w:cs="宋体"/>
                <w:color w:val="auto"/>
                <w:kern w:val="0"/>
                <w:szCs w:val="21"/>
              </w:rPr>
              <w:t>主要负责人组织制定并实施本单位事故应急救援预案</w:t>
            </w:r>
          </w:p>
        </w:tc>
        <w:tc>
          <w:tcPr>
            <w:tcW w:w="4795" w:type="dxa"/>
            <w:vAlign w:val="center"/>
          </w:tcPr>
          <w:p w14:paraId="4DBAEC2D">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w:t>
            </w:r>
            <w:r>
              <w:rPr>
                <w:rFonts w:hint="eastAsia" w:ascii="宋体" w:hAnsi="宋体" w:cs="宋体"/>
                <w:color w:val="auto"/>
                <w:kern w:val="0"/>
                <w:szCs w:val="21"/>
                <w:lang w:eastAsia="zh-CN"/>
              </w:rPr>
              <w:t>二十一</w:t>
            </w:r>
            <w:r>
              <w:rPr>
                <w:rFonts w:hint="eastAsia" w:ascii="宋体" w:hAnsi="宋体" w:cs="宋体"/>
                <w:color w:val="auto"/>
                <w:kern w:val="0"/>
                <w:szCs w:val="21"/>
              </w:rPr>
              <w:t>条  生产经营单位的主要负责人对本单位安全生产工作负有下列职责：</w:t>
            </w:r>
          </w:p>
          <w:p w14:paraId="64221C2D">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2D492E1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（六）组织制定并实施本单位的生产安全事故应急救援预案；</w:t>
            </w:r>
          </w:p>
          <w:p w14:paraId="7612AA5F">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3CF081B6">
            <w:pPr>
              <w:widowControl/>
              <w:adjustRightInd w:val="0"/>
              <w:snapToGrid w:val="0"/>
              <w:ind w:firstLine="420" w:firstLineChars="200"/>
              <w:rPr>
                <w:rFonts w:ascii="宋体" w:hAnsi="宋体" w:cs="宋体"/>
                <w:color w:val="auto"/>
                <w:kern w:val="0"/>
                <w:szCs w:val="21"/>
              </w:rPr>
            </w:pPr>
          </w:p>
        </w:tc>
        <w:tc>
          <w:tcPr>
            <w:tcW w:w="7277" w:type="dxa"/>
            <w:vAlign w:val="center"/>
          </w:tcPr>
          <w:p w14:paraId="636D726C">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14:paraId="685546D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生产经营单位的主要负责人有前款违法行为，导致发生生产安全事故的，给予撤职处分；构成犯罪的，依照刑法有关规定追究刑事责任。</w:t>
            </w:r>
          </w:p>
          <w:p w14:paraId="1D24428A">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741" w:type="dxa"/>
            <w:vAlign w:val="center"/>
          </w:tcPr>
          <w:p w14:paraId="3BEC456E">
            <w:pPr>
              <w:widowControl/>
              <w:adjustRightInd w:val="0"/>
              <w:snapToGrid w:val="0"/>
              <w:spacing w:line="320" w:lineRule="exact"/>
              <w:rPr>
                <w:rFonts w:ascii="宋体" w:hAnsi="宋体" w:cs="宋体"/>
                <w:color w:val="auto"/>
                <w:kern w:val="0"/>
                <w:szCs w:val="21"/>
                <w:highlight w:val="yellow"/>
              </w:rPr>
            </w:pPr>
          </w:p>
        </w:tc>
      </w:tr>
      <w:tr w14:paraId="7793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01" w:hRule="atLeast"/>
          <w:jc w:val="center"/>
        </w:trPr>
        <w:tc>
          <w:tcPr>
            <w:tcW w:w="522" w:type="dxa"/>
            <w:vAlign w:val="center"/>
          </w:tcPr>
          <w:p w14:paraId="4B5EFDD5">
            <w:pPr>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6</w:t>
            </w:r>
          </w:p>
        </w:tc>
        <w:tc>
          <w:tcPr>
            <w:tcW w:w="1341" w:type="dxa"/>
            <w:vAlign w:val="center"/>
          </w:tcPr>
          <w:p w14:paraId="2BDE0380">
            <w:pPr>
              <w:widowControl/>
              <w:adjustRightInd w:val="0"/>
              <w:snapToGrid w:val="0"/>
              <w:spacing w:line="300" w:lineRule="exact"/>
              <w:rPr>
                <w:rFonts w:ascii="宋体" w:hAnsi="宋体" w:cs="宋体"/>
                <w:color w:val="auto"/>
                <w:kern w:val="0"/>
                <w:szCs w:val="21"/>
              </w:rPr>
            </w:pPr>
            <w:r>
              <w:rPr>
                <w:rFonts w:hint="eastAsia" w:ascii="宋体" w:hAnsi="宋体" w:cs="宋体"/>
                <w:color w:val="auto"/>
                <w:kern w:val="0"/>
                <w:szCs w:val="21"/>
              </w:rPr>
              <w:t>应急预案制定演练情况</w:t>
            </w:r>
          </w:p>
        </w:tc>
        <w:tc>
          <w:tcPr>
            <w:tcW w:w="1438" w:type="dxa"/>
            <w:vAlign w:val="center"/>
          </w:tcPr>
          <w:p w14:paraId="6F757A6F">
            <w:pPr>
              <w:widowControl/>
              <w:adjustRightInd w:val="0"/>
              <w:snapToGrid w:val="0"/>
              <w:spacing w:line="300" w:lineRule="exact"/>
              <w:rPr>
                <w:rFonts w:ascii="宋体" w:hAnsi="宋体" w:cs="宋体"/>
                <w:color w:val="auto"/>
                <w:kern w:val="0"/>
                <w:szCs w:val="21"/>
              </w:rPr>
            </w:pPr>
            <w:r>
              <w:rPr>
                <w:rFonts w:hint="eastAsia" w:ascii="宋体" w:hAnsi="宋体" w:cs="宋体"/>
                <w:color w:val="auto"/>
                <w:kern w:val="0"/>
                <w:szCs w:val="21"/>
              </w:rPr>
              <w:t>制定本单位事故应急救援预案，与地方人民政府事故应急救援预案相衔接，并定期组织演练</w:t>
            </w:r>
          </w:p>
        </w:tc>
        <w:tc>
          <w:tcPr>
            <w:tcW w:w="4795" w:type="dxa"/>
            <w:vAlign w:val="center"/>
          </w:tcPr>
          <w:p w14:paraId="7B3E1E02">
            <w:pPr>
              <w:widowControl/>
              <w:adjustRightInd w:val="0"/>
              <w:snapToGrid w:val="0"/>
              <w:spacing w:line="300" w:lineRule="exact"/>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》第八十一条　生产经营单位应当制定本单位生产安全事故应急救援预案，与所在地县级以上地方人民政府组织制定的生产安全事故应急救援预案相衔接，并定期组织演练。</w:t>
            </w:r>
          </w:p>
          <w:p w14:paraId="3261EF8C">
            <w:pPr>
              <w:widowControl/>
              <w:adjustRightInd w:val="0"/>
              <w:snapToGrid w:val="0"/>
              <w:spacing w:line="300" w:lineRule="exact"/>
              <w:ind w:firstLine="420" w:firstLineChars="200"/>
              <w:rPr>
                <w:rFonts w:ascii="宋体" w:hAnsi="宋体" w:cs="宋体"/>
                <w:color w:val="auto"/>
                <w:kern w:val="0"/>
                <w:szCs w:val="21"/>
              </w:rPr>
            </w:pPr>
          </w:p>
        </w:tc>
        <w:tc>
          <w:tcPr>
            <w:tcW w:w="7277" w:type="dxa"/>
            <w:vAlign w:val="center"/>
          </w:tcPr>
          <w:p w14:paraId="4B42C431">
            <w:pPr>
              <w:widowControl/>
              <w:adjustRightInd w:val="0"/>
              <w:snapToGrid w:val="0"/>
              <w:ind w:firstLine="420" w:firstLineChars="200"/>
              <w:rPr>
                <w:rFonts w:hint="eastAsia"/>
                <w:color w:val="auto"/>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color w:val="auto"/>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7CE922E">
            <w:pPr>
              <w:widowControl/>
              <w:adjustRightInd w:val="0"/>
              <w:snapToGrid w:val="0"/>
              <w:ind w:firstLine="420" w:firstLineChars="200"/>
              <w:rPr>
                <w:rFonts w:hint="eastAsia"/>
                <w:color w:val="auto"/>
                <w:lang w:val="en-US" w:eastAsia="zh-CN"/>
              </w:rPr>
            </w:pPr>
            <w:r>
              <w:rPr>
                <w:rFonts w:hint="eastAsia"/>
                <w:color w:val="auto"/>
                <w:lang w:val="en-US" w:eastAsia="zh-CN"/>
              </w:rPr>
              <w:t>……</w:t>
            </w:r>
          </w:p>
          <w:p w14:paraId="6A438A04">
            <w:pPr>
              <w:widowControl/>
              <w:adjustRightInd w:val="0"/>
              <w:snapToGrid w:val="0"/>
              <w:ind w:firstLine="420" w:firstLineChars="200"/>
              <w:rPr>
                <w:color w:val="auto"/>
              </w:rPr>
            </w:pPr>
            <w:r>
              <w:rPr>
                <w:rFonts w:hint="eastAsia"/>
                <w:color w:val="auto"/>
                <w:lang w:val="en-US" w:eastAsia="zh-CN"/>
              </w:rPr>
              <w:t>（六）未按照规定制定生产安全事故应急救援预案或者未定期组织演练的；</w:t>
            </w:r>
          </w:p>
          <w:p w14:paraId="38BF9646">
            <w:pPr>
              <w:pStyle w:val="11"/>
              <w:ind w:left="0" w:leftChars="0" w:firstLine="0" w:firstLineChars="0"/>
              <w:rPr>
                <w:rFonts w:eastAsia="宋体"/>
                <w:color w:val="auto"/>
              </w:rPr>
            </w:pPr>
          </w:p>
        </w:tc>
        <w:tc>
          <w:tcPr>
            <w:tcW w:w="741" w:type="dxa"/>
            <w:vAlign w:val="center"/>
          </w:tcPr>
          <w:p w14:paraId="3EC762F5">
            <w:pPr>
              <w:widowControl/>
              <w:adjustRightInd w:val="0"/>
              <w:snapToGrid w:val="0"/>
              <w:rPr>
                <w:rFonts w:ascii="宋体" w:hAnsi="宋体" w:cs="宋体"/>
                <w:color w:val="auto"/>
                <w:kern w:val="0"/>
                <w:szCs w:val="21"/>
              </w:rPr>
            </w:pPr>
          </w:p>
        </w:tc>
      </w:tr>
      <w:tr w14:paraId="0239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522" w:type="dxa"/>
            <w:vAlign w:val="center"/>
          </w:tcPr>
          <w:p w14:paraId="09C99216">
            <w:pPr>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7</w:t>
            </w:r>
          </w:p>
        </w:tc>
        <w:tc>
          <w:tcPr>
            <w:tcW w:w="1341" w:type="dxa"/>
            <w:vAlign w:val="center"/>
          </w:tcPr>
          <w:p w14:paraId="6D4A16B2">
            <w:pPr>
              <w:widowControl/>
              <w:adjustRightInd w:val="0"/>
              <w:snapToGrid w:val="0"/>
              <w:rPr>
                <w:rFonts w:ascii="宋体" w:hAnsi="宋体" w:cs="宋体"/>
                <w:color w:val="auto"/>
                <w:kern w:val="0"/>
                <w:szCs w:val="21"/>
              </w:rPr>
            </w:pPr>
            <w:r>
              <w:rPr>
                <w:rFonts w:hint="eastAsia" w:ascii="宋体" w:hAnsi="宋体" w:cs="宋体"/>
                <w:color w:val="auto"/>
                <w:kern w:val="0"/>
                <w:szCs w:val="21"/>
              </w:rPr>
              <w:t>编制应急预案前风险评估和应急资源调查情况</w:t>
            </w:r>
          </w:p>
        </w:tc>
        <w:tc>
          <w:tcPr>
            <w:tcW w:w="1438" w:type="dxa"/>
            <w:vAlign w:val="center"/>
          </w:tcPr>
          <w:p w14:paraId="70F52F36">
            <w:pPr>
              <w:widowControl/>
              <w:adjustRightInd w:val="0"/>
              <w:snapToGrid w:val="0"/>
              <w:rPr>
                <w:rFonts w:ascii="宋体" w:hAnsi="宋体"/>
                <w:bCs/>
                <w:color w:val="auto"/>
                <w:szCs w:val="21"/>
              </w:rPr>
            </w:pPr>
            <w:r>
              <w:rPr>
                <w:rFonts w:hint="eastAsia" w:ascii="宋体" w:hAnsi="宋体" w:cs="宋体"/>
                <w:color w:val="auto"/>
                <w:kern w:val="0"/>
                <w:szCs w:val="21"/>
              </w:rPr>
              <w:t>编制应急预案前进行事故风险评估和应急资源调查</w:t>
            </w:r>
          </w:p>
        </w:tc>
        <w:tc>
          <w:tcPr>
            <w:tcW w:w="4795" w:type="dxa"/>
            <w:vAlign w:val="center"/>
          </w:tcPr>
          <w:p w14:paraId="1873758E">
            <w:pPr>
              <w:adjustRightInd w:val="0"/>
              <w:snapToGrid w:val="0"/>
              <w:ind w:firstLine="420" w:firstLineChars="200"/>
              <w:rPr>
                <w:rFonts w:ascii="Times New Roman" w:hAnsi="Times New Roman"/>
                <w:color w:val="auto"/>
              </w:rPr>
            </w:pPr>
            <w:r>
              <w:rPr>
                <w:rFonts w:hint="eastAsia" w:ascii="Times New Roman" w:hAnsi="Times New Roman"/>
                <w:color w:val="auto"/>
              </w:rPr>
              <w:t>《生产安全事故应急预案管理办法》第十条  编制应急预案前，编制单位应当进行事故风险辨识、评估和应急资源调查。</w:t>
            </w:r>
          </w:p>
          <w:p w14:paraId="2F55F8E8">
            <w:pPr>
              <w:adjustRightInd w:val="0"/>
              <w:snapToGrid w:val="0"/>
              <w:ind w:firstLine="420" w:firstLineChars="200"/>
              <w:rPr>
                <w:rFonts w:ascii="Times New Roman" w:hAnsi="Times New Roman"/>
                <w:color w:val="auto"/>
              </w:rPr>
            </w:pPr>
            <w:r>
              <w:rPr>
                <w:rFonts w:hint="eastAsia" w:ascii="Times New Roman" w:hAnsi="Times New Roman"/>
                <w:color w:val="auto"/>
              </w:rPr>
              <w:t>事故风险辨识、评估，是指针对不同事故种类及特点，识别存在的危险危害因素，分析事故可能产生的直接后果以及次生、衍生后果，评估各种后果的危害程度和影响范围，提出防范和控制事故风险措施的过程。</w:t>
            </w:r>
          </w:p>
          <w:p w14:paraId="5EE06819">
            <w:pPr>
              <w:adjustRightInd w:val="0"/>
              <w:snapToGrid w:val="0"/>
              <w:ind w:firstLine="420" w:firstLineChars="200"/>
              <w:rPr>
                <w:rFonts w:ascii="宋体" w:hAnsi="宋体" w:cs="宋体"/>
                <w:color w:val="auto"/>
                <w:kern w:val="0"/>
                <w:szCs w:val="21"/>
                <w:bdr w:val="single" w:color="auto" w:sz="4" w:space="0"/>
              </w:rPr>
            </w:pPr>
            <w:r>
              <w:rPr>
                <w:rFonts w:hint="eastAsia" w:ascii="Times New Roman" w:hAnsi="Times New Roman"/>
                <w:color w:val="auto"/>
              </w:rPr>
              <w:t>应急资源调查，是指全面调查本地区、本单位第一时间可以调用的应急资源状况和合作区域内可以请求援助的应急资源状况，并结合事故风险辨识评估结论制定应急措施的过程。</w:t>
            </w:r>
          </w:p>
        </w:tc>
        <w:tc>
          <w:tcPr>
            <w:tcW w:w="7277" w:type="dxa"/>
            <w:vAlign w:val="center"/>
          </w:tcPr>
          <w:p w14:paraId="4BABB5DD">
            <w:pPr>
              <w:widowControl/>
              <w:adjustRightInd w:val="0"/>
              <w:snapToGrid w:val="0"/>
              <w:ind w:firstLine="420" w:firstLineChars="200"/>
              <w:rPr>
                <w:color w:val="auto"/>
                <w:highlight w:val="none"/>
              </w:rPr>
            </w:pPr>
            <w:r>
              <w:rPr>
                <w:rFonts w:hint="eastAsia"/>
                <w:color w:val="auto"/>
              </w:rPr>
              <w:t>《生产安全事故应急预案管理办法》第四十五条  生产经营单位有下列情形之一的，由县级以上人民政府</w:t>
            </w:r>
            <w:r>
              <w:rPr>
                <w:rFonts w:hint="eastAsia"/>
                <w:color w:val="auto"/>
                <w:highlight w:val="none"/>
              </w:rPr>
              <w:t>应急管理部门责令限期改正，可以处</w:t>
            </w:r>
            <w:r>
              <w:rPr>
                <w:rFonts w:hint="eastAsia" w:asciiTheme="minorEastAsia" w:hAnsiTheme="minorEastAsia" w:eastAsiaTheme="minorEastAsia"/>
                <w:color w:val="auto"/>
                <w:highlight w:val="none"/>
              </w:rPr>
              <w:t>1</w:t>
            </w:r>
            <w:r>
              <w:rPr>
                <w:rFonts w:hint="eastAsia"/>
                <w:color w:val="auto"/>
                <w:highlight w:val="none"/>
              </w:rPr>
              <w:t>万元以上</w:t>
            </w:r>
            <w:r>
              <w:rPr>
                <w:rFonts w:hint="eastAsia" w:asciiTheme="minorEastAsia" w:hAnsiTheme="minorEastAsia" w:eastAsiaTheme="minorEastAsia"/>
                <w:color w:val="auto"/>
                <w:highlight w:val="none"/>
              </w:rPr>
              <w:t>3</w:t>
            </w:r>
            <w:r>
              <w:rPr>
                <w:rFonts w:hint="eastAsia"/>
                <w:color w:val="auto"/>
                <w:highlight w:val="none"/>
              </w:rPr>
              <w:t>万元以下的罚款：</w:t>
            </w:r>
          </w:p>
          <w:p w14:paraId="3DD145B5">
            <w:pPr>
              <w:widowControl/>
              <w:adjustRightInd w:val="0"/>
              <w:snapToGrid w:val="0"/>
              <w:ind w:firstLine="420" w:firstLineChars="200"/>
              <w:rPr>
                <w:color w:val="auto"/>
              </w:rPr>
            </w:pPr>
            <w:r>
              <w:rPr>
                <w:rFonts w:hint="eastAsia"/>
                <w:color w:val="auto"/>
                <w:highlight w:val="none"/>
              </w:rPr>
              <w:t>（一）在应急预案编制前未按照规定开展风险辨识</w:t>
            </w:r>
            <w:r>
              <w:rPr>
                <w:rFonts w:hint="eastAsia"/>
                <w:color w:val="auto"/>
              </w:rPr>
              <w:t>、评估和应急资源调查的；</w:t>
            </w:r>
          </w:p>
          <w:p w14:paraId="666D0AAF">
            <w:pPr>
              <w:pStyle w:val="11"/>
              <w:ind w:firstLine="420"/>
              <w:rPr>
                <w:rFonts w:eastAsia="宋体"/>
                <w:color w:val="auto"/>
              </w:rPr>
            </w:pPr>
            <w:r>
              <w:rPr>
                <w:rFonts w:hint="eastAsia" w:ascii="宋体" w:hAnsi="宋体" w:eastAsia="宋体" w:cs="宋体"/>
                <w:color w:val="auto"/>
                <w:kern w:val="0"/>
                <w:szCs w:val="21"/>
              </w:rPr>
              <w:t>……</w:t>
            </w:r>
          </w:p>
        </w:tc>
        <w:tc>
          <w:tcPr>
            <w:tcW w:w="741" w:type="dxa"/>
            <w:vAlign w:val="center"/>
          </w:tcPr>
          <w:p w14:paraId="57BD68D5">
            <w:pPr>
              <w:widowControl/>
              <w:adjustRightInd w:val="0"/>
              <w:snapToGrid w:val="0"/>
              <w:rPr>
                <w:rFonts w:ascii="宋体" w:hAnsi="宋体" w:cs="宋体"/>
                <w:color w:val="auto"/>
                <w:kern w:val="0"/>
                <w:szCs w:val="21"/>
              </w:rPr>
            </w:pPr>
          </w:p>
        </w:tc>
      </w:tr>
      <w:tr w14:paraId="6A9F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522" w:type="dxa"/>
            <w:vAlign w:val="center"/>
          </w:tcPr>
          <w:p w14:paraId="17FEED30">
            <w:pPr>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8</w:t>
            </w:r>
          </w:p>
        </w:tc>
        <w:tc>
          <w:tcPr>
            <w:tcW w:w="1341" w:type="dxa"/>
            <w:vAlign w:val="center"/>
          </w:tcPr>
          <w:p w14:paraId="6E94E275">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应急预案评审或者论证情况</w:t>
            </w:r>
          </w:p>
        </w:tc>
        <w:tc>
          <w:tcPr>
            <w:tcW w:w="1438" w:type="dxa"/>
            <w:vAlign w:val="center"/>
          </w:tcPr>
          <w:p w14:paraId="2FCDAE93">
            <w:pPr>
              <w:widowControl/>
              <w:adjustRightInd w:val="0"/>
              <w:snapToGrid w:val="0"/>
              <w:rPr>
                <w:rFonts w:ascii="宋体" w:hAnsi="宋体"/>
                <w:bCs/>
                <w:color w:val="auto"/>
                <w:szCs w:val="21"/>
              </w:rPr>
            </w:pPr>
            <w:r>
              <w:rPr>
                <w:rFonts w:hint="eastAsia" w:ascii="宋体" w:hAnsi="宋体"/>
                <w:bCs/>
                <w:color w:val="auto"/>
                <w:szCs w:val="21"/>
              </w:rPr>
              <w:t>高危行业生产经营单位进行应急预案评审，其他生产经营单位进行论证</w:t>
            </w:r>
          </w:p>
        </w:tc>
        <w:tc>
          <w:tcPr>
            <w:tcW w:w="4795" w:type="dxa"/>
            <w:vAlign w:val="center"/>
          </w:tcPr>
          <w:p w14:paraId="53953452">
            <w:pPr>
              <w:adjustRightInd w:val="0"/>
              <w:snapToGrid w:val="0"/>
              <w:ind w:firstLine="420" w:firstLineChars="200"/>
              <w:rPr>
                <w:rFonts w:ascii="宋体" w:hAnsi="宋体"/>
                <w:bCs/>
                <w:color w:val="auto"/>
                <w:szCs w:val="21"/>
              </w:rPr>
            </w:pPr>
            <w:r>
              <w:rPr>
                <w:rFonts w:hint="eastAsia" w:ascii="宋体" w:hAnsi="宋体"/>
                <w:bCs/>
                <w:color w:val="auto"/>
                <w:szCs w:val="21"/>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14:paraId="33AFBD0F">
            <w:pPr>
              <w:adjustRightInd w:val="0"/>
              <w:snapToGrid w:val="0"/>
              <w:ind w:firstLine="420" w:firstLineChars="200"/>
              <w:rPr>
                <w:rFonts w:ascii="宋体" w:hAnsi="宋体"/>
                <w:bCs/>
                <w:color w:val="auto"/>
                <w:szCs w:val="21"/>
              </w:rPr>
            </w:pPr>
            <w:r>
              <w:rPr>
                <w:rFonts w:hint="eastAsia" w:ascii="宋体" w:hAnsi="宋体"/>
                <w:bCs/>
                <w:color w:val="auto"/>
                <w:szCs w:val="21"/>
              </w:rPr>
              <w:t>前款规定以外的其他生产经营单位可以根据自身需要，对本单位编制的应急预案进行论证。</w:t>
            </w:r>
          </w:p>
          <w:p w14:paraId="14DC664F">
            <w:pPr>
              <w:adjustRightInd w:val="0"/>
              <w:snapToGrid w:val="0"/>
              <w:ind w:firstLine="420" w:firstLineChars="200"/>
              <w:rPr>
                <w:rFonts w:ascii="宋体" w:hAnsi="宋体"/>
                <w:bCs/>
                <w:color w:val="auto"/>
                <w:szCs w:val="21"/>
              </w:rPr>
            </w:pPr>
            <w:r>
              <w:rPr>
                <w:rFonts w:hint="eastAsia" w:ascii="宋体" w:hAnsi="宋体"/>
                <w:bCs/>
                <w:color w:val="auto"/>
                <w:szCs w:val="21"/>
              </w:rPr>
              <w:t>第二十三条  应急预案的评审或者论证应当注重基本要素的完整性、组织体系的合理性、应急处置程序和措施的针对性、应急保障措施的可行性、应急预案的衔接性等内容。</w:t>
            </w:r>
          </w:p>
        </w:tc>
        <w:tc>
          <w:tcPr>
            <w:tcW w:w="7277" w:type="dxa"/>
            <w:vAlign w:val="center"/>
          </w:tcPr>
          <w:p w14:paraId="44563195">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14:paraId="4AA8A38E">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2CA86A5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（二）未按照规定开展应急预案评审的；</w:t>
            </w:r>
          </w:p>
          <w:p w14:paraId="5113FEB2">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Align w:val="center"/>
          </w:tcPr>
          <w:p w14:paraId="75F5A8C1">
            <w:pPr>
              <w:widowControl/>
              <w:adjustRightInd w:val="0"/>
              <w:snapToGrid w:val="0"/>
              <w:rPr>
                <w:rFonts w:ascii="宋体" w:hAnsi="宋体" w:cs="宋体"/>
                <w:color w:val="auto"/>
                <w:kern w:val="0"/>
                <w:szCs w:val="21"/>
              </w:rPr>
            </w:pPr>
          </w:p>
        </w:tc>
      </w:tr>
      <w:tr w14:paraId="211B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8" w:hRule="atLeast"/>
          <w:jc w:val="center"/>
        </w:trPr>
        <w:tc>
          <w:tcPr>
            <w:tcW w:w="522" w:type="dxa"/>
            <w:vAlign w:val="center"/>
          </w:tcPr>
          <w:p w14:paraId="305D0C5E">
            <w:pPr>
              <w:jc w:val="center"/>
              <w:rPr>
                <w:rFonts w:hint="default" w:ascii="宋体" w:hAnsi="宋体" w:eastAsia="宋体"/>
                <w:color w:val="auto"/>
                <w:szCs w:val="21"/>
                <w:lang w:val="en-US" w:eastAsia="zh-CN"/>
              </w:rPr>
            </w:pPr>
            <w:r>
              <w:rPr>
                <w:rFonts w:hint="eastAsia" w:ascii="宋体" w:hAnsi="宋体"/>
                <w:color w:val="auto"/>
                <w:szCs w:val="21"/>
                <w:lang w:val="en-US" w:eastAsia="zh-CN"/>
              </w:rPr>
              <w:t>19</w:t>
            </w:r>
          </w:p>
        </w:tc>
        <w:tc>
          <w:tcPr>
            <w:tcW w:w="1341" w:type="dxa"/>
            <w:vAlign w:val="center"/>
          </w:tcPr>
          <w:p w14:paraId="4A4A1DC3">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应急预案备案情况</w:t>
            </w:r>
          </w:p>
        </w:tc>
        <w:tc>
          <w:tcPr>
            <w:tcW w:w="1438" w:type="dxa"/>
            <w:vAlign w:val="center"/>
          </w:tcPr>
          <w:p w14:paraId="3B52FDBE">
            <w:pPr>
              <w:widowControl/>
              <w:adjustRightInd w:val="0"/>
              <w:snapToGrid w:val="0"/>
              <w:rPr>
                <w:rFonts w:ascii="宋体" w:hAnsi="宋体"/>
                <w:bCs/>
                <w:color w:val="auto"/>
                <w:szCs w:val="21"/>
              </w:rPr>
            </w:pPr>
            <w:r>
              <w:rPr>
                <w:rFonts w:hint="eastAsia" w:ascii="宋体" w:hAnsi="宋体"/>
                <w:bCs/>
                <w:color w:val="auto"/>
                <w:szCs w:val="21"/>
              </w:rPr>
              <w:t>按照生产经营单位隶属关系、行业领域、规模等备案</w:t>
            </w:r>
          </w:p>
        </w:tc>
        <w:tc>
          <w:tcPr>
            <w:tcW w:w="4795" w:type="dxa"/>
            <w:vAlign w:val="center"/>
          </w:tcPr>
          <w:p w14:paraId="6C187FE7">
            <w:pPr>
              <w:adjustRightInd w:val="0"/>
              <w:snapToGrid w:val="0"/>
              <w:ind w:firstLine="420" w:firstLineChars="200"/>
              <w:rPr>
                <w:rFonts w:ascii="宋体" w:hAnsi="宋体"/>
                <w:bCs/>
                <w:color w:val="auto"/>
                <w:szCs w:val="21"/>
              </w:rPr>
            </w:pPr>
            <w:r>
              <w:rPr>
                <w:rFonts w:hint="eastAsia" w:ascii="宋体" w:hAnsi="宋体"/>
                <w:bCs/>
                <w:color w:val="auto"/>
                <w:szCs w:val="21"/>
              </w:rPr>
              <w:t>《生产安全事故应急预案管理办法》第二十六条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14:paraId="6934F3B0">
            <w:pPr>
              <w:adjustRightInd w:val="0"/>
              <w:snapToGrid w:val="0"/>
              <w:ind w:firstLine="420" w:firstLineChars="200"/>
              <w:rPr>
                <w:rFonts w:ascii="宋体" w:hAnsi="宋体"/>
                <w:bCs/>
                <w:color w:val="auto"/>
                <w:szCs w:val="21"/>
              </w:rPr>
            </w:pPr>
            <w:r>
              <w:rPr>
                <w:rFonts w:hint="eastAsia" w:ascii="宋体" w:hAnsi="宋体"/>
                <w:bCs/>
                <w:color w:val="auto"/>
                <w:szCs w:val="21"/>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14:paraId="5F22817F">
            <w:pPr>
              <w:adjustRightInd w:val="0"/>
              <w:snapToGrid w:val="0"/>
              <w:ind w:firstLine="420" w:firstLineChars="200"/>
              <w:rPr>
                <w:rFonts w:ascii="宋体" w:hAnsi="宋体"/>
                <w:bCs/>
                <w:color w:val="auto"/>
                <w:szCs w:val="21"/>
              </w:rPr>
            </w:pPr>
            <w:r>
              <w:rPr>
                <w:rFonts w:hint="eastAsia" w:ascii="宋体" w:hAnsi="宋体"/>
                <w:bCs/>
                <w:color w:val="auto"/>
                <w:szCs w:val="21"/>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14:paraId="3AC71056">
            <w:pPr>
              <w:adjustRightInd w:val="0"/>
              <w:snapToGrid w:val="0"/>
              <w:ind w:firstLine="420" w:firstLineChars="200"/>
              <w:rPr>
                <w:rFonts w:ascii="宋体" w:hAnsi="宋体"/>
                <w:bCs/>
                <w:color w:val="auto"/>
                <w:szCs w:val="21"/>
              </w:rPr>
            </w:pPr>
            <w:r>
              <w:rPr>
                <w:rFonts w:hint="eastAsia" w:ascii="宋体" w:hAnsi="宋体"/>
                <w:bCs/>
                <w:color w:val="auto"/>
                <w:szCs w:val="21"/>
              </w:rPr>
              <w:t>油气输送管道运营单位的应急预案，除按照本条第一款、第二款的规定备案外，还应当抄送所经行政区域的县级人民政府应急管理部门。</w:t>
            </w:r>
          </w:p>
          <w:p w14:paraId="7F8857ED">
            <w:pPr>
              <w:adjustRightInd w:val="0"/>
              <w:snapToGrid w:val="0"/>
              <w:ind w:firstLine="420" w:firstLineChars="200"/>
              <w:rPr>
                <w:rFonts w:ascii="宋体" w:hAnsi="宋体"/>
                <w:bCs/>
                <w:color w:val="auto"/>
                <w:szCs w:val="21"/>
              </w:rPr>
            </w:pPr>
            <w:r>
              <w:rPr>
                <w:rFonts w:hint="eastAsia" w:ascii="宋体" w:hAnsi="宋体"/>
                <w:bCs/>
                <w:color w:val="auto"/>
                <w:szCs w:val="21"/>
              </w:rPr>
              <w:t>海洋石油开采企业的应急预案，除按照本条第一款、第二款的规定备案外，还应当抄送所经行政区域的县级人民政府应急管理部门和海洋石油安全监管机构。</w:t>
            </w:r>
          </w:p>
          <w:p w14:paraId="123B19BF">
            <w:pPr>
              <w:adjustRightInd w:val="0"/>
              <w:snapToGrid w:val="0"/>
              <w:ind w:firstLine="420" w:firstLineChars="200"/>
              <w:rPr>
                <w:rFonts w:ascii="宋体" w:hAnsi="宋体"/>
                <w:bCs/>
                <w:color w:val="auto"/>
                <w:szCs w:val="21"/>
              </w:rPr>
            </w:pPr>
            <w:r>
              <w:rPr>
                <w:rFonts w:hint="eastAsia" w:ascii="宋体" w:hAnsi="宋体"/>
                <w:bCs/>
                <w:color w:val="auto"/>
                <w:szCs w:val="21"/>
              </w:rPr>
              <w:t>煤矿企业的应急预案除按照本条第一款、第二款的规定备案外，还应当抄送所在地的煤矿安全监察机构。</w:t>
            </w:r>
          </w:p>
        </w:tc>
        <w:tc>
          <w:tcPr>
            <w:tcW w:w="7277" w:type="dxa"/>
            <w:vAlign w:val="center"/>
          </w:tcPr>
          <w:p w14:paraId="1D4AB803">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14:paraId="140D186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3C7CF04A">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741" w:type="dxa"/>
            <w:vAlign w:val="center"/>
          </w:tcPr>
          <w:p w14:paraId="34FD6F91">
            <w:pPr>
              <w:widowControl/>
              <w:adjustRightInd w:val="0"/>
              <w:snapToGrid w:val="0"/>
              <w:rPr>
                <w:rFonts w:ascii="宋体" w:hAnsi="宋体" w:cs="宋体"/>
                <w:color w:val="auto"/>
                <w:kern w:val="0"/>
                <w:szCs w:val="21"/>
              </w:rPr>
            </w:pPr>
          </w:p>
        </w:tc>
      </w:tr>
      <w:tr w14:paraId="7D0D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86" w:hRule="atLeast"/>
          <w:jc w:val="center"/>
        </w:trPr>
        <w:tc>
          <w:tcPr>
            <w:tcW w:w="522" w:type="dxa"/>
            <w:vAlign w:val="center"/>
          </w:tcPr>
          <w:p w14:paraId="45D1279E">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0</w:t>
            </w:r>
          </w:p>
        </w:tc>
        <w:tc>
          <w:tcPr>
            <w:tcW w:w="1341" w:type="dxa"/>
            <w:vAlign w:val="center"/>
          </w:tcPr>
          <w:p w14:paraId="3665FD31">
            <w:pPr>
              <w:widowControl/>
              <w:adjustRightInd w:val="0"/>
              <w:snapToGrid w:val="0"/>
              <w:rPr>
                <w:rFonts w:ascii="宋体" w:hAnsi="宋体" w:cs="宋体"/>
                <w:color w:val="auto"/>
                <w:kern w:val="0"/>
                <w:szCs w:val="21"/>
              </w:rPr>
            </w:pPr>
            <w:r>
              <w:rPr>
                <w:rFonts w:hint="eastAsia" w:ascii="宋体" w:hAnsi="宋体" w:cs="宋体"/>
                <w:color w:val="auto"/>
                <w:kern w:val="0"/>
                <w:szCs w:val="21"/>
              </w:rPr>
              <w:t>事故风险及应急措施告知情况</w:t>
            </w:r>
          </w:p>
        </w:tc>
        <w:tc>
          <w:tcPr>
            <w:tcW w:w="1438" w:type="dxa"/>
            <w:vAlign w:val="center"/>
          </w:tcPr>
          <w:p w14:paraId="4A1D8865">
            <w:pPr>
              <w:widowControl/>
              <w:adjustRightInd w:val="0"/>
              <w:snapToGrid w:val="0"/>
              <w:rPr>
                <w:rFonts w:ascii="宋体" w:hAnsi="宋体"/>
                <w:bCs/>
                <w:color w:val="auto"/>
                <w:szCs w:val="21"/>
              </w:rPr>
            </w:pPr>
            <w:r>
              <w:rPr>
                <w:rFonts w:hint="eastAsia" w:ascii="宋体" w:hAnsi="宋体"/>
                <w:bCs/>
                <w:color w:val="auto"/>
                <w:szCs w:val="21"/>
              </w:rPr>
              <w:t>将有关事故风险的性质、影响范围和应急防范措施告知周边的其他单位和人员</w:t>
            </w:r>
          </w:p>
        </w:tc>
        <w:tc>
          <w:tcPr>
            <w:tcW w:w="4795" w:type="dxa"/>
            <w:vAlign w:val="center"/>
          </w:tcPr>
          <w:p w14:paraId="264CD2A4">
            <w:pPr>
              <w:adjustRightInd w:val="0"/>
              <w:snapToGrid w:val="0"/>
              <w:ind w:firstLine="420" w:firstLineChars="200"/>
              <w:rPr>
                <w:rFonts w:ascii="Times New Roman" w:hAnsi="Times New Roman"/>
                <w:color w:val="auto"/>
              </w:rPr>
            </w:pPr>
            <w:r>
              <w:rPr>
                <w:rFonts w:hint="eastAsia" w:ascii="Times New Roman" w:hAnsi="Times New Roman"/>
                <w:color w:val="auto"/>
              </w:rPr>
              <w:t>《生产安全事故应急预案管理办法》第二十四条  ……</w:t>
            </w:r>
          </w:p>
          <w:p w14:paraId="0FD2D282">
            <w:pPr>
              <w:adjustRightInd w:val="0"/>
              <w:snapToGrid w:val="0"/>
              <w:ind w:firstLine="420" w:firstLineChars="200"/>
              <w:rPr>
                <w:rFonts w:ascii="宋体" w:hAnsi="宋体"/>
                <w:bCs/>
                <w:color w:val="auto"/>
                <w:szCs w:val="21"/>
              </w:rPr>
            </w:pPr>
            <w:r>
              <w:rPr>
                <w:rFonts w:hint="eastAsia" w:ascii="宋体" w:hAnsi="宋体"/>
                <w:bCs/>
                <w:color w:val="auto"/>
                <w:szCs w:val="21"/>
              </w:rPr>
              <w:t>事故风险可能影响周边其他单位、人员的，生产经营单位应当将有关事故风险的性质、影响范围和应急防范措施告知周边的其他单位和人员。</w:t>
            </w:r>
          </w:p>
        </w:tc>
        <w:tc>
          <w:tcPr>
            <w:tcW w:w="7277" w:type="dxa"/>
            <w:vAlign w:val="center"/>
          </w:tcPr>
          <w:p w14:paraId="496161BB">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14:paraId="23020CBF">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7F04E5CF">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（三）事故风险可能影响周边单位、人员的，未将事故风险的性质、影响范围和应急防范措施告知周边单位和人员的；</w:t>
            </w:r>
          </w:p>
          <w:p w14:paraId="16C40949">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Align w:val="center"/>
          </w:tcPr>
          <w:p w14:paraId="7BA445DB">
            <w:pPr>
              <w:widowControl/>
              <w:adjustRightInd w:val="0"/>
              <w:snapToGrid w:val="0"/>
              <w:rPr>
                <w:rFonts w:ascii="宋体" w:hAnsi="宋体" w:cs="宋体"/>
                <w:color w:val="auto"/>
                <w:kern w:val="0"/>
                <w:szCs w:val="21"/>
              </w:rPr>
            </w:pPr>
          </w:p>
        </w:tc>
      </w:tr>
      <w:tr w14:paraId="257A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522" w:type="dxa"/>
            <w:vAlign w:val="center"/>
          </w:tcPr>
          <w:p w14:paraId="7BCBF73A">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1</w:t>
            </w:r>
          </w:p>
        </w:tc>
        <w:tc>
          <w:tcPr>
            <w:tcW w:w="1341" w:type="dxa"/>
            <w:vAlign w:val="center"/>
          </w:tcPr>
          <w:p w14:paraId="3A418114">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应急预案评估情况</w:t>
            </w:r>
          </w:p>
        </w:tc>
        <w:tc>
          <w:tcPr>
            <w:tcW w:w="1438" w:type="dxa"/>
            <w:vAlign w:val="center"/>
          </w:tcPr>
          <w:p w14:paraId="171BFF7D">
            <w:pPr>
              <w:adjustRightInd w:val="0"/>
              <w:snapToGrid w:val="0"/>
              <w:rPr>
                <w:rFonts w:ascii="宋体" w:hAnsi="宋体"/>
                <w:bCs/>
                <w:color w:val="auto"/>
                <w:szCs w:val="21"/>
              </w:rPr>
            </w:pPr>
            <w:r>
              <w:rPr>
                <w:rFonts w:hint="eastAsia" w:ascii="Times New Roman" w:hAnsi="Times New Roman"/>
                <w:color w:val="auto"/>
              </w:rPr>
              <w:t>建立应急预案定期评估制度，高危行业领域及中型规模以上生产经营单位每三年进行一次评估</w:t>
            </w:r>
          </w:p>
        </w:tc>
        <w:tc>
          <w:tcPr>
            <w:tcW w:w="4795" w:type="dxa"/>
            <w:vAlign w:val="center"/>
          </w:tcPr>
          <w:p w14:paraId="5CC1E4D2">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《生产安全事故应急预案管理办法》第三十五条  应急预案编制单位应当建立应急预案定期评估制度，对预案内容的针对性和实用性进行分析，并对应急预案是否需要修订作出结论。</w:t>
            </w:r>
          </w:p>
          <w:p w14:paraId="2F6F536C">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14:paraId="5DC88999">
            <w:pPr>
              <w:adjustRightInd w:val="0"/>
              <w:snapToGrid w:val="0"/>
              <w:spacing w:line="240" w:lineRule="exact"/>
              <w:ind w:firstLine="420" w:firstLineChars="200"/>
              <w:rPr>
                <w:rFonts w:ascii="宋体" w:hAnsi="宋体"/>
                <w:bCs/>
                <w:color w:val="auto"/>
                <w:szCs w:val="21"/>
              </w:rPr>
            </w:pPr>
            <w:r>
              <w:rPr>
                <w:rFonts w:hint="eastAsia" w:ascii="Times New Roman" w:hAnsi="Times New Roman"/>
                <w:color w:val="auto"/>
              </w:rPr>
              <w:t>应急预案评估可以邀请相关专业机构或者有关专家、有实际应急救援工作经验的人员参加，必要时可以委托安全生产技术服务机构实施。</w:t>
            </w:r>
          </w:p>
        </w:tc>
        <w:tc>
          <w:tcPr>
            <w:tcW w:w="7277" w:type="dxa"/>
            <w:vAlign w:val="center"/>
          </w:tcPr>
          <w:p w14:paraId="1FA8F717">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14:paraId="50A44F18">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51F66B5D">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（四）未按照规定开展应急预案评估的；</w:t>
            </w:r>
          </w:p>
          <w:p w14:paraId="2B82560D">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741" w:type="dxa"/>
            <w:vAlign w:val="center"/>
          </w:tcPr>
          <w:p w14:paraId="7C28E0C8">
            <w:pPr>
              <w:widowControl/>
              <w:adjustRightInd w:val="0"/>
              <w:snapToGrid w:val="0"/>
              <w:rPr>
                <w:rFonts w:ascii="宋体" w:hAnsi="宋体" w:cs="宋体"/>
                <w:color w:val="auto"/>
                <w:kern w:val="0"/>
                <w:szCs w:val="21"/>
              </w:rPr>
            </w:pPr>
          </w:p>
        </w:tc>
      </w:tr>
      <w:tr w14:paraId="74D0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88" w:hRule="atLeast"/>
          <w:jc w:val="center"/>
        </w:trPr>
        <w:tc>
          <w:tcPr>
            <w:tcW w:w="522" w:type="dxa"/>
            <w:vAlign w:val="center"/>
          </w:tcPr>
          <w:p w14:paraId="71503280">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2</w:t>
            </w:r>
          </w:p>
        </w:tc>
        <w:tc>
          <w:tcPr>
            <w:tcW w:w="1341" w:type="dxa"/>
            <w:vAlign w:val="center"/>
          </w:tcPr>
          <w:p w14:paraId="2891DF7E">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应急预案修订和重新备案情况</w:t>
            </w:r>
          </w:p>
        </w:tc>
        <w:tc>
          <w:tcPr>
            <w:tcW w:w="1438" w:type="dxa"/>
            <w:vAlign w:val="center"/>
          </w:tcPr>
          <w:p w14:paraId="7B0E8C97">
            <w:pPr>
              <w:widowControl/>
              <w:adjustRightInd w:val="0"/>
              <w:snapToGrid w:val="0"/>
              <w:rPr>
                <w:rFonts w:ascii="宋体" w:hAnsi="宋体"/>
                <w:bCs/>
                <w:color w:val="auto"/>
                <w:szCs w:val="21"/>
              </w:rPr>
            </w:pPr>
            <w:r>
              <w:rPr>
                <w:rFonts w:hint="eastAsia" w:ascii="Times New Roman" w:hAnsi="Times New Roman"/>
                <w:color w:val="auto"/>
              </w:rPr>
              <w:t>应急预案应当及时修订并归档，并按要求进行备案</w:t>
            </w:r>
          </w:p>
        </w:tc>
        <w:tc>
          <w:tcPr>
            <w:tcW w:w="4795" w:type="dxa"/>
            <w:vAlign w:val="center"/>
          </w:tcPr>
          <w:p w14:paraId="7E3BBF32">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《生产安全事故应急预案管理办法》第三十六条  有下列情形之一的，应急预案应当及时修订并归档：</w:t>
            </w:r>
          </w:p>
          <w:p w14:paraId="174E9710">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（一）依据的法律、法规、规章、标准及上位预案中的有关规定发生重大变化的；</w:t>
            </w:r>
          </w:p>
          <w:p w14:paraId="1B2E7587">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（二）应急指挥机构及其职责发生调整的；</w:t>
            </w:r>
          </w:p>
          <w:p w14:paraId="1D7CB5E6">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（三）安全生产面临的风险发生重大变化的；</w:t>
            </w:r>
          </w:p>
          <w:p w14:paraId="6D335FD8">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（四）重要应急资源发生重大变化的；</w:t>
            </w:r>
          </w:p>
          <w:p w14:paraId="6E7B2A10">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（五）在应急演练和事故应急救援中发现需要修订预案的重大问题的；</w:t>
            </w:r>
          </w:p>
          <w:p w14:paraId="31C3AB35">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（六）编制单位认为应当修订的其他情况。</w:t>
            </w:r>
          </w:p>
          <w:p w14:paraId="34759289">
            <w:pPr>
              <w:adjustRightInd w:val="0"/>
              <w:snapToGrid w:val="0"/>
              <w:spacing w:line="240" w:lineRule="exact"/>
              <w:ind w:firstLine="420" w:firstLineChars="200"/>
              <w:rPr>
                <w:rFonts w:ascii="宋体" w:hAnsi="宋体"/>
                <w:bCs/>
                <w:color w:val="auto"/>
                <w:szCs w:val="21"/>
              </w:rPr>
            </w:pPr>
            <w:r>
              <w:rPr>
                <w:rFonts w:hint="eastAsia" w:ascii="宋体" w:hAnsi="宋体"/>
                <w:bCs/>
                <w:color w:val="auto"/>
                <w:szCs w:val="21"/>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tc>
        <w:tc>
          <w:tcPr>
            <w:tcW w:w="7277" w:type="dxa"/>
            <w:vAlign w:val="center"/>
          </w:tcPr>
          <w:p w14:paraId="3C2C2377">
            <w:pPr>
              <w:widowControl/>
              <w:adjustRightInd w:val="0"/>
              <w:snapToGrid w:val="0"/>
              <w:ind w:firstLine="420" w:firstLineChars="200"/>
              <w:rPr>
                <w:rFonts w:ascii="宋体" w:hAnsi="宋体" w:cs="宋体"/>
                <w:color w:val="auto"/>
                <w:kern w:val="0"/>
                <w:szCs w:val="21"/>
              </w:rPr>
            </w:pPr>
            <w:r>
              <w:rPr>
                <w:rFonts w:hint="eastAsia" w:ascii="Times New Roman" w:hAnsi="Times New Roman"/>
                <w:color w:val="auto"/>
              </w:rPr>
              <w:t>《生产安全事故应急预案管理办法》</w:t>
            </w:r>
            <w:r>
              <w:rPr>
                <w:rFonts w:hint="eastAsia" w:ascii="宋体" w:hAnsi="宋体" w:cs="宋体"/>
                <w:color w:val="auto"/>
                <w:kern w:val="0"/>
                <w:szCs w:val="21"/>
              </w:rPr>
              <w:t>第四十五条  生产经营单位有下列情形之一的，由县级以上安全生产监督管理部门责令限期改正，可以处1万元以上3万元以下罚款：</w:t>
            </w:r>
          </w:p>
          <w:p w14:paraId="4A309232">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14:paraId="4A929E52">
            <w:pPr>
              <w:widowControl/>
              <w:numPr>
                <w:ilvl w:val="255"/>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（五）未按照规定进行应急预案修订的；</w:t>
            </w:r>
          </w:p>
          <w:p w14:paraId="11166543">
            <w:pPr>
              <w:widowControl/>
              <w:adjustRightInd w:val="0"/>
              <w:snapToGrid w:val="0"/>
              <w:ind w:left="420" w:leftChars="200"/>
              <w:rPr>
                <w:rFonts w:ascii="宋体" w:hAnsi="宋体" w:cs="宋体"/>
                <w:color w:val="auto"/>
                <w:kern w:val="0"/>
                <w:szCs w:val="21"/>
              </w:rPr>
            </w:pPr>
            <w:r>
              <w:rPr>
                <w:rFonts w:hint="eastAsia" w:ascii="宋体" w:hAnsi="宋体" w:cs="宋体"/>
                <w:color w:val="auto"/>
                <w:kern w:val="0"/>
                <w:szCs w:val="21"/>
              </w:rPr>
              <w:t>……</w:t>
            </w:r>
          </w:p>
          <w:p w14:paraId="22C17BBD">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741" w:type="dxa"/>
            <w:vAlign w:val="center"/>
          </w:tcPr>
          <w:p w14:paraId="567869AC">
            <w:pPr>
              <w:widowControl/>
              <w:adjustRightInd w:val="0"/>
              <w:snapToGrid w:val="0"/>
              <w:rPr>
                <w:rFonts w:ascii="宋体" w:hAnsi="宋体" w:cs="宋体"/>
                <w:color w:val="auto"/>
                <w:kern w:val="0"/>
                <w:szCs w:val="21"/>
              </w:rPr>
            </w:pPr>
          </w:p>
        </w:tc>
      </w:tr>
      <w:tr w14:paraId="0990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522" w:type="dxa"/>
            <w:vAlign w:val="center"/>
          </w:tcPr>
          <w:p w14:paraId="01DB4EF5">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3</w:t>
            </w:r>
          </w:p>
        </w:tc>
        <w:tc>
          <w:tcPr>
            <w:tcW w:w="1341" w:type="dxa"/>
            <w:vAlign w:val="center"/>
          </w:tcPr>
          <w:p w14:paraId="63D40C94">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应急物资及装备情况</w:t>
            </w:r>
          </w:p>
        </w:tc>
        <w:tc>
          <w:tcPr>
            <w:tcW w:w="1438" w:type="dxa"/>
            <w:vAlign w:val="center"/>
          </w:tcPr>
          <w:p w14:paraId="69FB6186">
            <w:pPr>
              <w:widowControl/>
              <w:adjustRightInd w:val="0"/>
              <w:snapToGrid w:val="0"/>
              <w:rPr>
                <w:rFonts w:ascii="宋体" w:hAnsi="宋体"/>
                <w:bCs/>
                <w:color w:val="auto"/>
                <w:szCs w:val="21"/>
              </w:rPr>
            </w:pPr>
            <w:r>
              <w:rPr>
                <w:rFonts w:hint="eastAsia" w:ascii="宋体" w:hAnsi="宋体"/>
                <w:bCs/>
                <w:color w:val="auto"/>
                <w:szCs w:val="21"/>
              </w:rPr>
              <w:t>按照应急预案的规定，落实应急物资及装备</w:t>
            </w:r>
          </w:p>
        </w:tc>
        <w:tc>
          <w:tcPr>
            <w:tcW w:w="4795" w:type="dxa"/>
            <w:vAlign w:val="center"/>
          </w:tcPr>
          <w:p w14:paraId="37235DCE">
            <w:pPr>
              <w:adjustRightInd w:val="0"/>
              <w:snapToGrid w:val="0"/>
              <w:spacing w:line="240" w:lineRule="exact"/>
              <w:ind w:firstLine="420" w:firstLineChars="200"/>
              <w:rPr>
                <w:rFonts w:ascii="宋体" w:hAnsi="宋体"/>
                <w:bCs/>
                <w:color w:val="auto"/>
                <w:szCs w:val="21"/>
              </w:rPr>
            </w:pPr>
            <w:r>
              <w:rPr>
                <w:rFonts w:hint="eastAsia" w:ascii="Times New Roman" w:hAnsi="Times New Roman"/>
                <w:color w:val="auto"/>
              </w:rPr>
              <w:t>《生产安全事故应急预案管理办法》第三十八条　生产经营单位应当按照应急预案的规定，落实应急指挥体系、应急救援队伍、应急物资及装备，建立应急物资、装备配备及其使用档案，并对应急物资、装备进行定期检测和维护，使其处于适用状态。</w:t>
            </w:r>
          </w:p>
        </w:tc>
        <w:tc>
          <w:tcPr>
            <w:tcW w:w="7277" w:type="dxa"/>
            <w:vAlign w:val="center"/>
          </w:tcPr>
          <w:p w14:paraId="3D7A7BEB">
            <w:pPr>
              <w:widowControl/>
              <w:adjustRightInd w:val="0"/>
              <w:snapToGrid w:val="0"/>
              <w:spacing w:line="240" w:lineRule="exact"/>
              <w:ind w:firstLine="420" w:firstLineChars="200"/>
              <w:rPr>
                <w:rFonts w:ascii="宋体" w:hAnsi="宋体" w:cs="宋体"/>
                <w:color w:val="auto"/>
                <w:kern w:val="0"/>
                <w:szCs w:val="21"/>
              </w:rPr>
            </w:pPr>
            <w:r>
              <w:rPr>
                <w:rFonts w:hint="eastAsia" w:ascii="Times New Roman" w:hAnsi="Times New Roman"/>
                <w:color w:val="auto"/>
              </w:rPr>
              <w:t>《生产安全事故应急预案管理办法》</w:t>
            </w:r>
            <w:r>
              <w:rPr>
                <w:rFonts w:hint="eastAsia" w:ascii="宋体" w:hAnsi="宋体" w:cs="宋体"/>
                <w:color w:val="auto"/>
                <w:kern w:val="0"/>
                <w:szCs w:val="21"/>
              </w:rPr>
              <w:t>第四十五条  生产经营单位有下列情形之一的，由县级以上安全生产监督管理部门责令限期改正，可以处1万元以上3万元以下罚款：</w:t>
            </w:r>
          </w:p>
          <w:p w14:paraId="71018A11">
            <w:pPr>
              <w:widowControl/>
              <w:adjustRightInd w:val="0"/>
              <w:snapToGrid w:val="0"/>
              <w:spacing w:line="240" w:lineRule="exact"/>
              <w:ind w:firstLine="420" w:firstLineChars="200"/>
              <w:rPr>
                <w:rFonts w:ascii="宋体" w:hAnsi="宋体" w:cs="宋体"/>
                <w:color w:val="auto"/>
                <w:kern w:val="0"/>
                <w:szCs w:val="21"/>
              </w:rPr>
            </w:pPr>
            <w:r>
              <w:rPr>
                <w:rFonts w:hint="eastAsia" w:ascii="宋体" w:hAnsi="宋体" w:cs="宋体"/>
                <w:color w:val="auto"/>
                <w:kern w:val="0"/>
                <w:szCs w:val="21"/>
              </w:rPr>
              <w:t>……</w:t>
            </w:r>
          </w:p>
          <w:p w14:paraId="17394C33">
            <w:pPr>
              <w:widowControl/>
              <w:numPr>
                <w:ilvl w:val="255"/>
                <w:numId w:val="0"/>
              </w:num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（六）未落实应急预案规定的应急物资及装备的。</w:t>
            </w:r>
          </w:p>
          <w:p w14:paraId="358CDFF3">
            <w:pPr>
              <w:widowControl/>
              <w:adjustRightInd w:val="0"/>
              <w:snapToGrid w:val="0"/>
              <w:spacing w:line="240" w:lineRule="exact"/>
              <w:ind w:left="420" w:leftChars="200" w:firstLine="210" w:firstLineChars="100"/>
              <w:rPr>
                <w:rFonts w:ascii="Times New Roman" w:hAnsi="Times New Roman"/>
                <w:color w:val="auto"/>
              </w:rPr>
            </w:pPr>
            <w:r>
              <w:rPr>
                <w:rFonts w:hint="eastAsia" w:ascii="Times New Roman" w:hAnsi="Times New Roman"/>
                <w:color w:val="auto"/>
              </w:rPr>
              <w:t>……</w:t>
            </w:r>
          </w:p>
        </w:tc>
        <w:tc>
          <w:tcPr>
            <w:tcW w:w="741" w:type="dxa"/>
            <w:vAlign w:val="center"/>
          </w:tcPr>
          <w:p w14:paraId="2D7F70AA">
            <w:pPr>
              <w:widowControl/>
              <w:adjustRightInd w:val="0"/>
              <w:snapToGrid w:val="0"/>
              <w:rPr>
                <w:rFonts w:ascii="宋体" w:hAnsi="宋体" w:cs="宋体"/>
                <w:color w:val="auto"/>
                <w:kern w:val="0"/>
                <w:szCs w:val="21"/>
              </w:rPr>
            </w:pPr>
          </w:p>
        </w:tc>
      </w:tr>
      <w:tr w14:paraId="1486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522" w:type="dxa"/>
            <w:vMerge w:val="restart"/>
            <w:vAlign w:val="center"/>
          </w:tcPr>
          <w:p w14:paraId="49683D2C">
            <w:pPr>
              <w:jc w:val="center"/>
              <w:rPr>
                <w:rFonts w:hint="eastAsia" w:ascii="宋体" w:hAnsi="宋体"/>
                <w:color w:val="auto"/>
                <w:szCs w:val="21"/>
                <w:lang w:val="en-US" w:eastAsia="zh-CN"/>
              </w:rPr>
            </w:pPr>
            <w:r>
              <w:rPr>
                <w:rFonts w:hint="eastAsia" w:ascii="宋体" w:hAnsi="宋体"/>
                <w:color w:val="auto"/>
                <w:szCs w:val="21"/>
                <w:lang w:val="en-US" w:eastAsia="zh-CN"/>
              </w:rPr>
              <w:t>24</w:t>
            </w:r>
          </w:p>
        </w:tc>
        <w:tc>
          <w:tcPr>
            <w:tcW w:w="1341" w:type="dxa"/>
            <w:vMerge w:val="restart"/>
            <w:vAlign w:val="center"/>
          </w:tcPr>
          <w:p w14:paraId="2F4FF2E7">
            <w:pPr>
              <w:jc w:val="both"/>
              <w:rPr>
                <w:rFonts w:hint="eastAsia" w:ascii="宋体" w:hAnsi="宋体"/>
                <w:color w:val="auto"/>
                <w:szCs w:val="21"/>
              </w:rPr>
            </w:pPr>
            <w:r>
              <w:rPr>
                <w:rFonts w:hint="eastAsia" w:ascii="宋体" w:hAnsi="宋体"/>
                <w:color w:val="auto"/>
                <w:szCs w:val="21"/>
              </w:rPr>
              <w:t>承担安全评价、认证、检测、检验职责的机构出具报告</w:t>
            </w:r>
            <w:r>
              <w:rPr>
                <w:rFonts w:hint="eastAsia" w:ascii="宋体" w:hAnsi="宋体"/>
                <w:color w:val="auto"/>
                <w:szCs w:val="21"/>
                <w:lang w:eastAsia="zh-CN"/>
              </w:rPr>
              <w:t>情况</w:t>
            </w:r>
          </w:p>
        </w:tc>
        <w:tc>
          <w:tcPr>
            <w:tcW w:w="1438" w:type="dxa"/>
            <w:vAlign w:val="center"/>
          </w:tcPr>
          <w:p w14:paraId="0FDDBA36">
            <w:pPr>
              <w:jc w:val="both"/>
              <w:rPr>
                <w:rFonts w:hint="eastAsia" w:ascii="宋体" w:hAnsi="宋体"/>
                <w:color w:val="auto"/>
                <w:szCs w:val="21"/>
              </w:rPr>
            </w:pPr>
            <w:r>
              <w:rPr>
                <w:rFonts w:hint="eastAsia" w:ascii="宋体" w:hAnsi="宋体"/>
                <w:color w:val="auto"/>
                <w:szCs w:val="21"/>
                <w:lang w:val="en-US" w:eastAsia="zh-CN"/>
              </w:rPr>
              <w:t>24.1</w:t>
            </w:r>
            <w:r>
              <w:rPr>
                <w:rFonts w:hint="eastAsia" w:ascii="宋体" w:hAnsi="宋体"/>
                <w:color w:val="auto"/>
                <w:szCs w:val="21"/>
              </w:rPr>
              <w:t>承担安全评价、认证、检测、检验职责的机构应当具备国家规定的资质条件，并对其作出的安全评价、认证、检测、检验结果的合法性、真实性负责。</w:t>
            </w:r>
          </w:p>
        </w:tc>
        <w:tc>
          <w:tcPr>
            <w:tcW w:w="4795" w:type="dxa"/>
            <w:vAlign w:val="center"/>
          </w:tcPr>
          <w:p w14:paraId="7FD5A18B">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14:paraId="14BCB571">
            <w:pPr>
              <w:jc w:val="both"/>
              <w:rPr>
                <w:rFonts w:hint="eastAsia" w:ascii="宋体" w:hAnsi="宋体"/>
                <w:color w:val="auto"/>
                <w:szCs w:val="21"/>
              </w:rPr>
            </w:pPr>
          </w:p>
        </w:tc>
        <w:tc>
          <w:tcPr>
            <w:tcW w:w="7277" w:type="dxa"/>
            <w:vAlign w:val="center"/>
          </w:tcPr>
          <w:p w14:paraId="0BDAE05F">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第九十二条　承担安全评价、认证、检测、检验职责的机构出具失实报告的，责令停业整顿，并处三万元以上十万元以下的罚款；给他人造成损害的，依法承担赔偿责任。</w:t>
            </w:r>
          </w:p>
        </w:tc>
        <w:tc>
          <w:tcPr>
            <w:tcW w:w="741" w:type="dxa"/>
            <w:vAlign w:val="center"/>
          </w:tcPr>
          <w:p w14:paraId="011FFADD">
            <w:pPr>
              <w:jc w:val="both"/>
              <w:rPr>
                <w:rFonts w:hint="eastAsia" w:ascii="宋体" w:hAnsi="宋体"/>
                <w:color w:val="auto"/>
                <w:szCs w:val="21"/>
              </w:rPr>
            </w:pPr>
          </w:p>
        </w:tc>
      </w:tr>
      <w:tr w14:paraId="757C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522" w:type="dxa"/>
            <w:vMerge w:val="continue"/>
            <w:vAlign w:val="center"/>
          </w:tcPr>
          <w:p w14:paraId="5BE23931">
            <w:pPr>
              <w:jc w:val="center"/>
              <w:rPr>
                <w:rFonts w:hint="eastAsia" w:ascii="宋体" w:hAnsi="宋体"/>
                <w:color w:val="auto"/>
                <w:szCs w:val="21"/>
                <w:lang w:val="en-US" w:eastAsia="zh-CN"/>
              </w:rPr>
            </w:pPr>
          </w:p>
        </w:tc>
        <w:tc>
          <w:tcPr>
            <w:tcW w:w="1341" w:type="dxa"/>
            <w:vMerge w:val="continue"/>
            <w:vAlign w:val="center"/>
          </w:tcPr>
          <w:p w14:paraId="2F40A729">
            <w:pPr>
              <w:jc w:val="both"/>
              <w:rPr>
                <w:rFonts w:hint="eastAsia" w:ascii="宋体" w:hAnsi="宋体"/>
                <w:color w:val="auto"/>
                <w:szCs w:val="21"/>
              </w:rPr>
            </w:pPr>
          </w:p>
        </w:tc>
        <w:tc>
          <w:tcPr>
            <w:tcW w:w="1438" w:type="dxa"/>
            <w:vAlign w:val="center"/>
          </w:tcPr>
          <w:p w14:paraId="0E36AF8A">
            <w:pPr>
              <w:jc w:val="both"/>
              <w:rPr>
                <w:rFonts w:hint="eastAsia" w:ascii="宋体" w:hAnsi="宋体"/>
                <w:color w:val="auto"/>
                <w:szCs w:val="21"/>
              </w:rPr>
            </w:pPr>
            <w:r>
              <w:rPr>
                <w:rFonts w:hint="eastAsia" w:ascii="宋体" w:hAnsi="宋体"/>
                <w:color w:val="auto"/>
                <w:szCs w:val="21"/>
                <w:lang w:val="en-US" w:eastAsia="zh-CN"/>
              </w:rPr>
              <w:t>24.2</w:t>
            </w:r>
            <w:r>
              <w:rPr>
                <w:rFonts w:hint="eastAsia" w:ascii="宋体" w:hAnsi="宋体"/>
                <w:color w:val="auto"/>
                <w:szCs w:val="21"/>
              </w:rPr>
              <w:t>承担安全评价、认证、检测、检验职责的机构不得租借资质、挂靠、出具虚假报告。</w:t>
            </w:r>
          </w:p>
          <w:p w14:paraId="3DBD0713">
            <w:pPr>
              <w:jc w:val="both"/>
              <w:rPr>
                <w:rFonts w:hint="eastAsia" w:ascii="宋体" w:hAnsi="宋体" w:eastAsia="宋体"/>
                <w:color w:val="auto"/>
                <w:szCs w:val="21"/>
                <w:lang w:val="en-US" w:eastAsia="zh-CN"/>
              </w:rPr>
            </w:pPr>
          </w:p>
        </w:tc>
        <w:tc>
          <w:tcPr>
            <w:tcW w:w="4795" w:type="dxa"/>
            <w:vAlign w:val="center"/>
          </w:tcPr>
          <w:p w14:paraId="056A4CB0">
            <w:pPr>
              <w:ind w:firstLine="420" w:firstLineChars="200"/>
              <w:jc w:val="both"/>
              <w:rPr>
                <w:rFonts w:hint="eastAsia" w:ascii="宋体" w:hAnsi="宋体"/>
                <w:color w:val="auto"/>
                <w:szCs w:val="21"/>
                <w:lang w:val="en-US" w:eastAsia="zh-CN"/>
              </w:rPr>
            </w:pPr>
            <w:r>
              <w:rPr>
                <w:rFonts w:hint="eastAsia" w:ascii="宋体" w:hAnsi="宋体"/>
                <w:color w:val="auto"/>
                <w:szCs w:val="21"/>
                <w:lang w:eastAsia="zh-CN"/>
              </w:rPr>
              <w:t>《中华人民共和国安全生产法》</w:t>
            </w:r>
            <w:r>
              <w:rPr>
                <w:rFonts w:hint="eastAsia" w:ascii="宋体" w:hAnsi="宋体"/>
                <w:color w:val="auto"/>
                <w:szCs w:val="21"/>
              </w:rPr>
              <w:t>第七十二条</w:t>
            </w:r>
            <w:r>
              <w:rPr>
                <w:rFonts w:hint="eastAsia" w:ascii="宋体" w:hAnsi="宋体"/>
                <w:color w:val="auto"/>
                <w:szCs w:val="21"/>
                <w:lang w:val="en-US" w:eastAsia="zh-CN"/>
              </w:rPr>
              <w:t xml:space="preserve">  ……</w:t>
            </w:r>
          </w:p>
          <w:p w14:paraId="49E83BF2">
            <w:pPr>
              <w:ind w:firstLine="420" w:firstLineChars="200"/>
              <w:jc w:val="both"/>
              <w:rPr>
                <w:rFonts w:hint="eastAsia" w:ascii="宋体" w:hAnsi="宋体"/>
                <w:color w:val="auto"/>
                <w:szCs w:val="21"/>
              </w:rPr>
            </w:pPr>
            <w:r>
              <w:rPr>
                <w:rFonts w:hint="eastAsia" w:ascii="宋体" w:hAnsi="宋体"/>
                <w:color w:val="auto"/>
                <w:szCs w:val="21"/>
              </w:rPr>
              <w:t>承担安全评价、认证、检测、检验职责的机构应当建立并实施服务公开和报告公开制度，不得租借资质、挂靠、出具虚假报告。</w:t>
            </w:r>
          </w:p>
          <w:p w14:paraId="5C722CEC">
            <w:pPr>
              <w:jc w:val="both"/>
              <w:rPr>
                <w:rFonts w:hint="eastAsia" w:ascii="宋体" w:hAnsi="宋体"/>
                <w:color w:val="auto"/>
                <w:szCs w:val="21"/>
              </w:rPr>
            </w:pPr>
          </w:p>
        </w:tc>
        <w:tc>
          <w:tcPr>
            <w:tcW w:w="7277" w:type="dxa"/>
            <w:vAlign w:val="center"/>
          </w:tcPr>
          <w:p w14:paraId="7D37194D">
            <w:pPr>
              <w:ind w:firstLine="420" w:firstLineChars="200"/>
              <w:jc w:val="both"/>
              <w:rPr>
                <w:rFonts w:hint="eastAsia" w:ascii="宋体" w:hAnsi="宋体"/>
                <w:color w:val="auto"/>
                <w:szCs w:val="21"/>
                <w:lang w:val="en-US" w:eastAsia="zh-CN"/>
              </w:rPr>
            </w:pPr>
            <w:r>
              <w:rPr>
                <w:rFonts w:hint="eastAsia" w:ascii="宋体" w:hAnsi="宋体"/>
                <w:color w:val="auto"/>
                <w:szCs w:val="21"/>
                <w:lang w:eastAsia="zh-CN"/>
              </w:rPr>
              <w:t>《中华人民共和国安全生产法》</w:t>
            </w:r>
            <w:r>
              <w:rPr>
                <w:rFonts w:hint="eastAsia" w:ascii="宋体" w:hAnsi="宋体"/>
                <w:color w:val="auto"/>
                <w:szCs w:val="21"/>
              </w:rPr>
              <w:t>第九十二条</w:t>
            </w:r>
            <w:r>
              <w:rPr>
                <w:rFonts w:hint="eastAsia" w:ascii="宋体" w:hAnsi="宋体"/>
                <w:color w:val="auto"/>
                <w:szCs w:val="21"/>
                <w:lang w:val="en-US" w:eastAsia="zh-CN"/>
              </w:rPr>
              <w:t xml:space="preserve"> ……</w:t>
            </w:r>
          </w:p>
          <w:p w14:paraId="0AFCED63">
            <w:pPr>
              <w:ind w:firstLine="420" w:firstLineChars="200"/>
              <w:jc w:val="both"/>
              <w:rPr>
                <w:rFonts w:hint="eastAsia" w:ascii="宋体" w:hAnsi="宋体"/>
                <w:color w:val="auto"/>
                <w:szCs w:val="21"/>
              </w:rPr>
            </w:pPr>
            <w:r>
              <w:rPr>
                <w:rFonts w:hint="eastAsia" w:ascii="宋体" w:hAnsi="宋体"/>
                <w:color w:val="auto"/>
                <w:szCs w:val="21"/>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color w:val="auto"/>
                <w:szCs w:val="21"/>
                <w:lang w:val="en-US" w:eastAsia="zh-CN"/>
              </w:rPr>
              <w:t xml:space="preserve">     </w:t>
            </w:r>
            <w:r>
              <w:rPr>
                <w:rFonts w:hint="eastAsia" w:ascii="宋体" w:hAnsi="宋体"/>
                <w:color w:val="auto"/>
                <w:szCs w:val="21"/>
              </w:rPr>
              <w:t>　　</w:t>
            </w:r>
            <w:r>
              <w:rPr>
                <w:rFonts w:hint="eastAsia" w:ascii="宋体" w:hAnsi="宋体"/>
                <w:color w:val="auto"/>
                <w:szCs w:val="21"/>
                <w:lang w:val="en-US" w:eastAsia="zh-CN"/>
              </w:rPr>
              <w:t xml:space="preserve">                </w:t>
            </w:r>
            <w:r>
              <w:rPr>
                <w:rFonts w:hint="eastAsia" w:ascii="宋体" w:hAnsi="宋体"/>
                <w:color w:val="auto"/>
                <w:szCs w:val="21"/>
              </w:rPr>
              <w:t>对有前款违法行为的机构及其直接责任人员，吊销其相应资质和资格，五年内不得从事安全评价、认证、检测、检验等工作；情节严重的，实行终身行业和职业禁入。</w:t>
            </w:r>
          </w:p>
          <w:p w14:paraId="33DBD632">
            <w:pPr>
              <w:ind w:firstLine="420" w:firstLineChars="200"/>
              <w:jc w:val="both"/>
              <w:rPr>
                <w:rFonts w:hint="eastAsia" w:ascii="宋体" w:hAnsi="宋体"/>
                <w:color w:val="auto"/>
                <w:szCs w:val="21"/>
              </w:rPr>
            </w:pPr>
          </w:p>
          <w:p w14:paraId="5C618110">
            <w:pPr>
              <w:ind w:firstLine="420" w:firstLineChars="200"/>
              <w:jc w:val="both"/>
              <w:rPr>
                <w:rFonts w:hint="eastAsia" w:ascii="宋体" w:hAnsi="宋体"/>
                <w:color w:val="auto"/>
                <w:szCs w:val="21"/>
              </w:rPr>
            </w:pPr>
          </w:p>
        </w:tc>
        <w:tc>
          <w:tcPr>
            <w:tcW w:w="741" w:type="dxa"/>
            <w:vAlign w:val="center"/>
          </w:tcPr>
          <w:p w14:paraId="5C2C2528">
            <w:pPr>
              <w:jc w:val="both"/>
              <w:rPr>
                <w:rFonts w:hint="eastAsia" w:ascii="宋体" w:hAnsi="宋体"/>
                <w:color w:val="auto"/>
                <w:szCs w:val="21"/>
              </w:rPr>
            </w:pPr>
          </w:p>
        </w:tc>
      </w:tr>
      <w:tr w14:paraId="6106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522" w:type="dxa"/>
            <w:vAlign w:val="center"/>
          </w:tcPr>
          <w:p w14:paraId="21C6F167">
            <w:pPr>
              <w:jc w:val="center"/>
              <w:rPr>
                <w:rFonts w:hint="eastAsia" w:ascii="宋体" w:hAnsi="宋体"/>
                <w:color w:val="auto"/>
                <w:szCs w:val="21"/>
                <w:lang w:val="en-US" w:eastAsia="zh-CN"/>
              </w:rPr>
            </w:pPr>
          </w:p>
          <w:p w14:paraId="23E32387">
            <w:pPr>
              <w:jc w:val="center"/>
              <w:rPr>
                <w:rFonts w:hint="eastAsia" w:ascii="宋体" w:hAnsi="宋体"/>
                <w:color w:val="auto"/>
                <w:szCs w:val="21"/>
                <w:lang w:val="en-US" w:eastAsia="zh-CN"/>
              </w:rPr>
            </w:pPr>
          </w:p>
          <w:p w14:paraId="56CE961F">
            <w:pPr>
              <w:jc w:val="center"/>
              <w:rPr>
                <w:rFonts w:hint="eastAsia" w:ascii="宋体" w:hAnsi="宋体"/>
                <w:color w:val="auto"/>
                <w:szCs w:val="21"/>
                <w:lang w:val="en-US" w:eastAsia="zh-CN"/>
              </w:rPr>
            </w:pPr>
          </w:p>
          <w:p w14:paraId="04D20F35">
            <w:pPr>
              <w:jc w:val="center"/>
              <w:rPr>
                <w:rFonts w:hint="eastAsia" w:ascii="宋体" w:hAnsi="宋体"/>
                <w:color w:val="auto"/>
                <w:szCs w:val="21"/>
                <w:lang w:val="en-US" w:eastAsia="zh-CN"/>
              </w:rPr>
            </w:pPr>
            <w:r>
              <w:rPr>
                <w:rFonts w:hint="eastAsia" w:ascii="宋体" w:hAnsi="宋体"/>
                <w:color w:val="auto"/>
                <w:szCs w:val="21"/>
                <w:lang w:val="en-US" w:eastAsia="zh-CN"/>
              </w:rPr>
              <w:t>25</w:t>
            </w:r>
          </w:p>
        </w:tc>
        <w:tc>
          <w:tcPr>
            <w:tcW w:w="1341" w:type="dxa"/>
            <w:vAlign w:val="center"/>
          </w:tcPr>
          <w:p w14:paraId="0370D487">
            <w:pPr>
              <w:jc w:val="both"/>
              <w:rPr>
                <w:rFonts w:hint="eastAsia" w:ascii="宋体" w:hAnsi="宋体"/>
                <w:color w:val="auto"/>
                <w:szCs w:val="21"/>
                <w:lang w:eastAsia="zh-CN"/>
              </w:rPr>
            </w:pPr>
            <w:r>
              <w:rPr>
                <w:rFonts w:hint="eastAsia" w:ascii="宋体" w:hAnsi="宋体"/>
                <w:color w:val="auto"/>
                <w:szCs w:val="21"/>
                <w:lang w:eastAsia="zh-CN"/>
              </w:rPr>
              <w:t>高危行业配备注册安全工程师情况</w:t>
            </w:r>
          </w:p>
        </w:tc>
        <w:tc>
          <w:tcPr>
            <w:tcW w:w="1438" w:type="dxa"/>
            <w:vAlign w:val="center"/>
          </w:tcPr>
          <w:p w14:paraId="0C4C7CED">
            <w:pPr>
              <w:jc w:val="both"/>
              <w:rPr>
                <w:rFonts w:hint="eastAsia" w:ascii="宋体" w:hAnsi="宋体"/>
                <w:color w:val="auto"/>
                <w:szCs w:val="21"/>
                <w:lang w:val="en-US" w:eastAsia="zh-CN"/>
              </w:rPr>
            </w:pPr>
            <w:r>
              <w:rPr>
                <w:rFonts w:hint="eastAsia" w:ascii="宋体" w:hAnsi="宋体"/>
                <w:color w:val="auto"/>
                <w:szCs w:val="21"/>
              </w:rPr>
              <w:t>危险物品的生产、储存、装卸单位以及矿山、金属冶炼单位应当有注册安全工程师从事安全生产管理工作。</w:t>
            </w:r>
          </w:p>
        </w:tc>
        <w:tc>
          <w:tcPr>
            <w:tcW w:w="4795" w:type="dxa"/>
            <w:vAlign w:val="center"/>
          </w:tcPr>
          <w:p w14:paraId="590463D8">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第二十七条</w:t>
            </w:r>
            <w:r>
              <w:rPr>
                <w:rFonts w:hint="eastAsia" w:ascii="宋体" w:hAnsi="宋体"/>
                <w:color w:val="auto"/>
                <w:szCs w:val="21"/>
                <w:lang w:val="en-US" w:eastAsia="zh-CN"/>
              </w:rPr>
              <w:t xml:space="preserve">  </w:t>
            </w:r>
            <w:r>
              <w:rPr>
                <w:rFonts w:hint="eastAsia" w:ascii="宋体" w:hAnsi="宋体"/>
                <w:color w:val="auto"/>
                <w:szCs w:val="21"/>
                <w:lang w:eastAsia="zh-CN"/>
              </w:rPr>
              <w:t>……</w:t>
            </w:r>
          </w:p>
          <w:p w14:paraId="583E964C">
            <w:pPr>
              <w:ind w:firstLine="420" w:firstLineChars="200"/>
              <w:jc w:val="both"/>
              <w:rPr>
                <w:rFonts w:hint="eastAsia" w:ascii="宋体" w:hAnsi="宋体"/>
                <w:color w:val="auto"/>
                <w:szCs w:val="21"/>
              </w:rPr>
            </w:pPr>
            <w:r>
              <w:rPr>
                <w:rFonts w:hint="eastAsia" w:ascii="宋体" w:hAnsi="宋体"/>
                <w:color w:val="auto"/>
                <w:szCs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30F7319D">
            <w:pPr>
              <w:jc w:val="both"/>
              <w:rPr>
                <w:rFonts w:hint="eastAsia" w:ascii="宋体" w:hAnsi="宋体"/>
                <w:color w:val="auto"/>
                <w:szCs w:val="21"/>
              </w:rPr>
            </w:pPr>
          </w:p>
        </w:tc>
        <w:tc>
          <w:tcPr>
            <w:tcW w:w="7277" w:type="dxa"/>
            <w:vAlign w:val="center"/>
          </w:tcPr>
          <w:p w14:paraId="76BD8C54">
            <w:pPr>
              <w:jc w:val="both"/>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eastAsia="zh-CN"/>
              </w:rPr>
              <w:t>《中华人民共和国安全生产法》</w:t>
            </w:r>
            <w:r>
              <w:rPr>
                <w:rFonts w:hint="eastAsia" w:ascii="宋体" w:hAnsi="宋体"/>
                <w:color w:val="auto"/>
                <w:szCs w:val="21"/>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8C35AC4">
            <w:pPr>
              <w:jc w:val="both"/>
              <w:rPr>
                <w:rFonts w:hint="eastAsia" w:ascii="宋体" w:hAnsi="宋体"/>
                <w:color w:val="auto"/>
                <w:szCs w:val="21"/>
              </w:rPr>
            </w:pPr>
            <w:r>
              <w:rPr>
                <w:rFonts w:hint="eastAsia" w:ascii="宋体" w:hAnsi="宋体"/>
                <w:color w:val="auto"/>
                <w:szCs w:val="21"/>
              </w:rPr>
              <w:t>　　（一）未按照规定设置安全生产管理机构或者配备安全生产管理人员、注册安全工程师的；</w:t>
            </w:r>
          </w:p>
          <w:p w14:paraId="7226C675">
            <w:pPr>
              <w:jc w:val="both"/>
              <w:rPr>
                <w:rFonts w:hint="eastAsia" w:ascii="宋体" w:hAnsi="宋体"/>
                <w:color w:val="auto"/>
                <w:szCs w:val="21"/>
              </w:rPr>
            </w:pPr>
          </w:p>
        </w:tc>
        <w:tc>
          <w:tcPr>
            <w:tcW w:w="741" w:type="dxa"/>
            <w:vAlign w:val="center"/>
          </w:tcPr>
          <w:p w14:paraId="47C9AF03">
            <w:pPr>
              <w:jc w:val="both"/>
              <w:rPr>
                <w:rFonts w:hint="eastAsia" w:ascii="宋体" w:hAnsi="宋体"/>
                <w:color w:val="auto"/>
                <w:szCs w:val="21"/>
              </w:rPr>
            </w:pPr>
          </w:p>
        </w:tc>
      </w:tr>
      <w:tr w14:paraId="7BF3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522" w:type="dxa"/>
            <w:vAlign w:val="center"/>
          </w:tcPr>
          <w:p w14:paraId="46689A3F">
            <w:pPr>
              <w:jc w:val="center"/>
              <w:rPr>
                <w:rFonts w:hint="eastAsia" w:ascii="宋体" w:hAnsi="宋体"/>
                <w:color w:val="auto"/>
                <w:szCs w:val="21"/>
                <w:lang w:val="en-US" w:eastAsia="zh-CN"/>
              </w:rPr>
            </w:pPr>
            <w:r>
              <w:rPr>
                <w:rFonts w:hint="eastAsia" w:ascii="宋体" w:hAnsi="宋体"/>
                <w:color w:val="auto"/>
                <w:szCs w:val="21"/>
                <w:lang w:val="en-US" w:eastAsia="zh-CN"/>
              </w:rPr>
              <w:t>26</w:t>
            </w:r>
          </w:p>
        </w:tc>
        <w:tc>
          <w:tcPr>
            <w:tcW w:w="1341" w:type="dxa"/>
            <w:vAlign w:val="center"/>
          </w:tcPr>
          <w:p w14:paraId="470D72D1">
            <w:pPr>
              <w:jc w:val="both"/>
              <w:rPr>
                <w:rFonts w:hint="eastAsia" w:ascii="宋体" w:hAnsi="宋体" w:eastAsia="宋体"/>
                <w:color w:val="auto"/>
                <w:szCs w:val="21"/>
                <w:lang w:eastAsia="zh-CN"/>
              </w:rPr>
            </w:pPr>
            <w:r>
              <w:rPr>
                <w:rFonts w:hint="eastAsia" w:ascii="宋体" w:hAnsi="宋体"/>
                <w:color w:val="auto"/>
                <w:szCs w:val="21"/>
                <w:lang w:eastAsia="zh-CN"/>
              </w:rPr>
              <w:t>设备的维护情况</w:t>
            </w:r>
          </w:p>
        </w:tc>
        <w:tc>
          <w:tcPr>
            <w:tcW w:w="1438" w:type="dxa"/>
            <w:vAlign w:val="center"/>
          </w:tcPr>
          <w:p w14:paraId="342BD7C4">
            <w:pPr>
              <w:jc w:val="both"/>
              <w:rPr>
                <w:rFonts w:hint="eastAsia" w:ascii="宋体" w:hAnsi="宋体" w:eastAsia="宋体"/>
                <w:color w:val="auto"/>
                <w:szCs w:val="21"/>
                <w:lang w:eastAsia="zh-CN"/>
              </w:rPr>
            </w:pPr>
            <w:r>
              <w:rPr>
                <w:rFonts w:hint="eastAsia" w:ascii="宋体" w:hAnsi="宋体"/>
                <w:color w:val="auto"/>
                <w:szCs w:val="21"/>
                <w:lang w:eastAsia="zh-CN"/>
              </w:rPr>
              <w:t>不得关闭、破坏直接关系生产安全的设备等</w:t>
            </w:r>
          </w:p>
        </w:tc>
        <w:tc>
          <w:tcPr>
            <w:tcW w:w="4795" w:type="dxa"/>
            <w:vAlign w:val="center"/>
          </w:tcPr>
          <w:p w14:paraId="29CD6E83">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第三十六条　</w:t>
            </w:r>
            <w:r>
              <w:rPr>
                <w:rFonts w:hint="eastAsia" w:ascii="宋体" w:hAnsi="宋体"/>
                <w:color w:val="auto"/>
                <w:szCs w:val="21"/>
                <w:lang w:eastAsia="zh-CN"/>
              </w:rPr>
              <w:t>……</w:t>
            </w:r>
          </w:p>
          <w:p w14:paraId="39964C4D">
            <w:pPr>
              <w:ind w:firstLine="420" w:firstLineChars="200"/>
              <w:jc w:val="both"/>
              <w:rPr>
                <w:rFonts w:hint="eastAsia" w:ascii="宋体" w:hAnsi="宋体"/>
                <w:color w:val="auto"/>
                <w:szCs w:val="21"/>
              </w:rPr>
            </w:pPr>
            <w:r>
              <w:rPr>
                <w:rFonts w:hint="eastAsia" w:ascii="宋体" w:hAnsi="宋体"/>
                <w:color w:val="auto"/>
                <w:szCs w:val="21"/>
              </w:rPr>
              <w:t>生产经营单位不得关闭、破坏直接关系生产安全的监控、报警、防护、救生设备、设施，或者篡改、隐瞒、销毁其相关数据、信息。</w:t>
            </w:r>
          </w:p>
          <w:p w14:paraId="5B59F218">
            <w:pPr>
              <w:jc w:val="both"/>
              <w:rPr>
                <w:rFonts w:hint="eastAsia" w:ascii="宋体" w:hAnsi="宋体"/>
                <w:color w:val="auto"/>
                <w:szCs w:val="21"/>
              </w:rPr>
            </w:pPr>
          </w:p>
        </w:tc>
        <w:tc>
          <w:tcPr>
            <w:tcW w:w="7277" w:type="dxa"/>
            <w:vAlign w:val="center"/>
          </w:tcPr>
          <w:p w14:paraId="54DADA71">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2FC9921">
            <w:pPr>
              <w:ind w:firstLine="420" w:firstLineChars="200"/>
              <w:jc w:val="both"/>
              <w:rPr>
                <w:rFonts w:hint="eastAsia" w:ascii="宋体" w:hAnsi="宋体"/>
                <w:color w:val="auto"/>
                <w:szCs w:val="21"/>
              </w:rPr>
            </w:pPr>
            <w:r>
              <w:rPr>
                <w:rFonts w:hint="eastAsia" w:ascii="宋体" w:hAnsi="宋体"/>
                <w:color w:val="auto"/>
                <w:szCs w:val="21"/>
              </w:rPr>
              <w:t>（四）关闭、破坏直接关系生产安全的监控、报警、防护、救生设备、设施，或者篡改、隐瞒、销毁其相关数据、信息的；</w:t>
            </w:r>
          </w:p>
        </w:tc>
        <w:tc>
          <w:tcPr>
            <w:tcW w:w="741" w:type="dxa"/>
            <w:vAlign w:val="center"/>
          </w:tcPr>
          <w:p w14:paraId="3E5D90A3">
            <w:pPr>
              <w:jc w:val="both"/>
              <w:rPr>
                <w:rFonts w:hint="eastAsia" w:ascii="宋体" w:hAnsi="宋体"/>
                <w:color w:val="auto"/>
                <w:szCs w:val="21"/>
              </w:rPr>
            </w:pPr>
          </w:p>
        </w:tc>
      </w:tr>
      <w:tr w14:paraId="1236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522" w:type="dxa"/>
            <w:vAlign w:val="center"/>
          </w:tcPr>
          <w:p w14:paraId="576CBBC7">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p>
        </w:tc>
        <w:tc>
          <w:tcPr>
            <w:tcW w:w="1341" w:type="dxa"/>
            <w:vAlign w:val="center"/>
          </w:tcPr>
          <w:p w14:paraId="20CC2C33">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可燃气体报警装置</w:t>
            </w:r>
            <w:r>
              <w:rPr>
                <w:rFonts w:hint="eastAsia" w:asciiTheme="minorEastAsia" w:hAnsiTheme="minorEastAsia" w:eastAsiaTheme="minorEastAsia" w:cstheme="minorEastAsia"/>
                <w:color w:val="auto"/>
                <w:sz w:val="21"/>
                <w:szCs w:val="21"/>
                <w:lang w:eastAsia="zh-CN"/>
              </w:rPr>
              <w:t>情况</w:t>
            </w:r>
          </w:p>
        </w:tc>
        <w:tc>
          <w:tcPr>
            <w:tcW w:w="1438" w:type="dxa"/>
            <w:vAlign w:val="center"/>
          </w:tcPr>
          <w:p w14:paraId="669E61E8">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使用燃气的生产经营单位可燃气体报警装置</w:t>
            </w:r>
          </w:p>
          <w:p w14:paraId="580C0A48">
            <w:pPr>
              <w:jc w:val="both"/>
              <w:rPr>
                <w:rFonts w:hint="eastAsia" w:asciiTheme="minorEastAsia" w:hAnsiTheme="minorEastAsia" w:eastAsiaTheme="minorEastAsia" w:cstheme="minorEastAsia"/>
                <w:color w:val="auto"/>
                <w:sz w:val="21"/>
                <w:szCs w:val="21"/>
              </w:rPr>
            </w:pPr>
          </w:p>
        </w:tc>
        <w:tc>
          <w:tcPr>
            <w:tcW w:w="4795" w:type="dxa"/>
            <w:vAlign w:val="center"/>
          </w:tcPr>
          <w:p w14:paraId="737F8AD7">
            <w:pPr>
              <w:jc w:val="both"/>
              <w:rPr>
                <w:rFonts w:hint="eastAsia" w:asciiTheme="minorEastAsia" w:hAnsiTheme="minorEastAsia" w:eastAsiaTheme="minorEastAsia" w:cstheme="minorEastAsia"/>
                <w:color w:val="auto"/>
                <w:sz w:val="21"/>
                <w:szCs w:val="21"/>
              </w:rPr>
            </w:pPr>
          </w:p>
          <w:p w14:paraId="7DFE9CE7">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《中华人民共和国安全生产法》第三十六条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餐饮等行业的生产经营单位使用燃气的，应当安装可燃气体报警装置，并保障其正常使用。</w:t>
            </w:r>
          </w:p>
          <w:p w14:paraId="4DA557A3">
            <w:pPr>
              <w:jc w:val="both"/>
              <w:rPr>
                <w:rFonts w:hint="eastAsia" w:asciiTheme="minorEastAsia" w:hAnsiTheme="minorEastAsia" w:eastAsiaTheme="minorEastAsia" w:cstheme="minorEastAsia"/>
                <w:color w:val="auto"/>
                <w:sz w:val="21"/>
                <w:szCs w:val="21"/>
              </w:rPr>
            </w:pPr>
          </w:p>
        </w:tc>
        <w:tc>
          <w:tcPr>
            <w:tcW w:w="7277" w:type="dxa"/>
            <w:vAlign w:val="center"/>
          </w:tcPr>
          <w:p w14:paraId="1C85A8D5">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《中华人民共和国安全生产法》</w:t>
            </w:r>
            <w:r>
              <w:rPr>
                <w:rFonts w:hint="eastAsia" w:asciiTheme="minorEastAsia" w:hAnsiTheme="minorEastAsia" w:eastAsiaTheme="minorEastAsia" w:cstheme="minorEastAsia"/>
                <w:color w:val="auto"/>
                <w:sz w:val="21"/>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5C9FF09">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（八）餐饮等行业的生产经营单位使用燃气未安装可燃气体报警装置的。 </w:t>
            </w:r>
          </w:p>
          <w:p w14:paraId="7D5E104F">
            <w:pPr>
              <w:jc w:val="both"/>
              <w:rPr>
                <w:rFonts w:hint="eastAsia" w:asciiTheme="minorEastAsia" w:hAnsiTheme="minorEastAsia" w:eastAsiaTheme="minorEastAsia" w:cstheme="minorEastAsia"/>
                <w:color w:val="auto"/>
                <w:sz w:val="21"/>
                <w:szCs w:val="21"/>
              </w:rPr>
            </w:pPr>
          </w:p>
        </w:tc>
        <w:tc>
          <w:tcPr>
            <w:tcW w:w="741" w:type="dxa"/>
            <w:vAlign w:val="center"/>
          </w:tcPr>
          <w:p w14:paraId="6F6D127F">
            <w:pPr>
              <w:jc w:val="both"/>
              <w:rPr>
                <w:rFonts w:hint="eastAsia" w:asciiTheme="minorEastAsia" w:hAnsiTheme="minorEastAsia" w:eastAsiaTheme="minorEastAsia" w:cstheme="minorEastAsia"/>
                <w:color w:val="auto"/>
                <w:sz w:val="21"/>
                <w:szCs w:val="21"/>
              </w:rPr>
            </w:pPr>
          </w:p>
        </w:tc>
      </w:tr>
      <w:tr w14:paraId="3608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05" w:hRule="atLeast"/>
          <w:jc w:val="center"/>
        </w:trPr>
        <w:tc>
          <w:tcPr>
            <w:tcW w:w="522" w:type="dxa"/>
            <w:vAlign w:val="center"/>
          </w:tcPr>
          <w:p w14:paraId="3ECCA1F2">
            <w:pPr>
              <w:jc w:val="center"/>
              <w:rPr>
                <w:rFonts w:hint="eastAsia" w:ascii="宋体" w:hAnsi="宋体"/>
                <w:color w:val="auto"/>
                <w:szCs w:val="21"/>
                <w:lang w:val="en-US" w:eastAsia="zh-CN"/>
              </w:rPr>
            </w:pPr>
            <w:r>
              <w:rPr>
                <w:rFonts w:hint="eastAsia" w:ascii="宋体" w:hAnsi="宋体"/>
                <w:color w:val="auto"/>
                <w:szCs w:val="21"/>
                <w:lang w:val="en-US" w:eastAsia="zh-CN"/>
              </w:rPr>
              <w:t>28</w:t>
            </w:r>
          </w:p>
        </w:tc>
        <w:tc>
          <w:tcPr>
            <w:tcW w:w="1341" w:type="dxa"/>
            <w:vAlign w:val="center"/>
          </w:tcPr>
          <w:p w14:paraId="25F42551">
            <w:pPr>
              <w:jc w:val="both"/>
              <w:rPr>
                <w:rFonts w:hint="eastAsia" w:ascii="宋体" w:hAnsi="宋体"/>
                <w:color w:val="auto"/>
                <w:szCs w:val="21"/>
              </w:rPr>
            </w:pPr>
            <w:r>
              <w:rPr>
                <w:rFonts w:hint="eastAsia" w:ascii="宋体" w:hAnsi="宋体"/>
                <w:color w:val="auto"/>
                <w:szCs w:val="21"/>
              </w:rPr>
              <w:t>建立安全风险分级管控制度</w:t>
            </w:r>
            <w:r>
              <w:rPr>
                <w:rFonts w:hint="eastAsia" w:ascii="宋体" w:hAnsi="宋体"/>
                <w:color w:val="auto"/>
                <w:szCs w:val="21"/>
                <w:lang w:eastAsia="zh-CN"/>
              </w:rPr>
              <w:t>情况</w:t>
            </w:r>
          </w:p>
        </w:tc>
        <w:tc>
          <w:tcPr>
            <w:tcW w:w="1438" w:type="dxa"/>
            <w:vAlign w:val="center"/>
          </w:tcPr>
          <w:p w14:paraId="74496CC6">
            <w:pPr>
              <w:jc w:val="both"/>
              <w:rPr>
                <w:rFonts w:hint="eastAsia" w:ascii="宋体" w:hAnsi="宋体"/>
                <w:color w:val="auto"/>
                <w:szCs w:val="21"/>
              </w:rPr>
            </w:pPr>
            <w:r>
              <w:rPr>
                <w:rFonts w:hint="eastAsia" w:ascii="宋体" w:hAnsi="宋体"/>
                <w:color w:val="auto"/>
                <w:szCs w:val="21"/>
              </w:rPr>
              <w:t>建立安全风险分级管控制度</w:t>
            </w:r>
            <w:r>
              <w:rPr>
                <w:rFonts w:hint="eastAsia" w:ascii="宋体" w:hAnsi="宋体"/>
                <w:color w:val="auto"/>
                <w:szCs w:val="21"/>
                <w:lang w:eastAsia="zh-CN"/>
              </w:rPr>
              <w:t>，采取管控措施</w:t>
            </w:r>
          </w:p>
        </w:tc>
        <w:tc>
          <w:tcPr>
            <w:tcW w:w="4795" w:type="dxa"/>
            <w:vAlign w:val="center"/>
          </w:tcPr>
          <w:p w14:paraId="2AB5F3C0">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第四十一条　生产经营单位应当建立安全风险分级管控制度，按照安全风险分级采取相应的管控措施。</w:t>
            </w:r>
          </w:p>
          <w:p w14:paraId="2F842FAD">
            <w:pPr>
              <w:jc w:val="both"/>
              <w:rPr>
                <w:rFonts w:hint="eastAsia" w:ascii="宋体" w:hAnsi="宋体"/>
                <w:color w:val="auto"/>
                <w:szCs w:val="21"/>
              </w:rPr>
            </w:pPr>
          </w:p>
        </w:tc>
        <w:tc>
          <w:tcPr>
            <w:tcW w:w="7277" w:type="dxa"/>
            <w:vAlign w:val="center"/>
          </w:tcPr>
          <w:p w14:paraId="3E7E6CBE">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0B17F91">
            <w:pPr>
              <w:ind w:firstLine="420" w:firstLineChars="200"/>
              <w:jc w:val="both"/>
              <w:rPr>
                <w:rFonts w:hint="eastAsia" w:ascii="宋体" w:hAnsi="宋体"/>
                <w:color w:val="auto"/>
                <w:szCs w:val="21"/>
              </w:rPr>
            </w:pPr>
            <w:r>
              <w:rPr>
                <w:rFonts w:hint="eastAsia" w:ascii="宋体" w:hAnsi="宋体"/>
                <w:color w:val="auto"/>
                <w:szCs w:val="21"/>
              </w:rPr>
              <w:t>（四）未建立安全风险分级管控制度或者未按照安全风险分级采取相应管控措施的；</w:t>
            </w:r>
          </w:p>
        </w:tc>
        <w:tc>
          <w:tcPr>
            <w:tcW w:w="741" w:type="dxa"/>
            <w:vAlign w:val="center"/>
          </w:tcPr>
          <w:p w14:paraId="494E136C">
            <w:pPr>
              <w:jc w:val="both"/>
              <w:rPr>
                <w:rFonts w:hint="eastAsia" w:ascii="宋体" w:hAnsi="宋体"/>
                <w:color w:val="auto"/>
                <w:szCs w:val="21"/>
              </w:rPr>
            </w:pPr>
          </w:p>
        </w:tc>
      </w:tr>
      <w:tr w14:paraId="18F4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522" w:type="dxa"/>
            <w:vAlign w:val="center"/>
          </w:tcPr>
          <w:p w14:paraId="7CE605AF">
            <w:pPr>
              <w:jc w:val="center"/>
              <w:rPr>
                <w:rFonts w:hint="eastAsia" w:ascii="宋体" w:hAnsi="宋体"/>
                <w:color w:val="auto"/>
                <w:szCs w:val="21"/>
                <w:lang w:val="en-US" w:eastAsia="zh-CN"/>
              </w:rPr>
            </w:pPr>
            <w:r>
              <w:rPr>
                <w:rFonts w:hint="eastAsia" w:ascii="宋体" w:hAnsi="宋体"/>
                <w:color w:val="auto"/>
                <w:szCs w:val="21"/>
                <w:lang w:val="en-US" w:eastAsia="zh-CN"/>
              </w:rPr>
              <w:t>29</w:t>
            </w:r>
          </w:p>
        </w:tc>
        <w:tc>
          <w:tcPr>
            <w:tcW w:w="1341" w:type="dxa"/>
            <w:vAlign w:val="center"/>
          </w:tcPr>
          <w:p w14:paraId="26D9A2D1">
            <w:pPr>
              <w:jc w:val="both"/>
              <w:rPr>
                <w:rFonts w:hint="eastAsia" w:ascii="宋体" w:hAnsi="宋体" w:eastAsia="宋体"/>
                <w:color w:val="auto"/>
                <w:szCs w:val="21"/>
                <w:lang w:eastAsia="zh-CN"/>
              </w:rPr>
            </w:pPr>
            <w:r>
              <w:rPr>
                <w:rFonts w:hint="eastAsia" w:ascii="宋体" w:hAnsi="宋体"/>
                <w:color w:val="auto"/>
                <w:szCs w:val="21"/>
                <w:lang w:eastAsia="zh-CN"/>
              </w:rPr>
              <w:t>高危行业施工单位对施工项目的安全管理情况</w:t>
            </w:r>
          </w:p>
        </w:tc>
        <w:tc>
          <w:tcPr>
            <w:tcW w:w="1438" w:type="dxa"/>
            <w:vAlign w:val="center"/>
          </w:tcPr>
          <w:p w14:paraId="6AD66971">
            <w:pPr>
              <w:jc w:val="both"/>
              <w:rPr>
                <w:rFonts w:hint="eastAsia" w:ascii="宋体" w:hAnsi="宋体"/>
                <w:color w:val="auto"/>
                <w:szCs w:val="21"/>
              </w:rPr>
            </w:pPr>
            <w:r>
              <w:rPr>
                <w:rFonts w:hint="eastAsia" w:ascii="宋体" w:hAnsi="宋体"/>
                <w:color w:val="auto"/>
                <w:szCs w:val="21"/>
              </w:rPr>
              <w:t>施工单位应当加强对施工项目的安全管理</w:t>
            </w:r>
          </w:p>
        </w:tc>
        <w:tc>
          <w:tcPr>
            <w:tcW w:w="4795" w:type="dxa"/>
            <w:vAlign w:val="center"/>
          </w:tcPr>
          <w:p w14:paraId="650627DE">
            <w:pPr>
              <w:jc w:val="both"/>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val="en-US" w:eastAsia="zh-CN"/>
              </w:rPr>
              <w:t xml:space="preserve"> </w:t>
            </w:r>
            <w:r>
              <w:rPr>
                <w:rFonts w:hint="eastAsia" w:ascii="宋体" w:hAnsi="宋体"/>
                <w:color w:val="auto"/>
                <w:szCs w:val="21"/>
                <w:lang w:eastAsia="zh-CN"/>
              </w:rPr>
              <w:t>《中华人民共和国安全生产法》</w:t>
            </w:r>
            <w:r>
              <w:rPr>
                <w:rFonts w:hint="eastAsia" w:ascii="宋体" w:hAnsi="宋体"/>
                <w:color w:val="auto"/>
                <w:szCs w:val="21"/>
              </w:rPr>
              <w:t>第四十九条</w:t>
            </w:r>
            <w:r>
              <w:rPr>
                <w:rFonts w:hint="eastAsia" w:ascii="宋体" w:hAnsi="宋体"/>
                <w:color w:val="auto"/>
                <w:szCs w:val="21"/>
                <w:lang w:val="en-US" w:eastAsia="zh-CN"/>
              </w:rPr>
              <w:t xml:space="preserve">  ……</w:t>
            </w:r>
          </w:p>
          <w:p w14:paraId="4135F8F8">
            <w:pPr>
              <w:ind w:firstLine="420" w:firstLineChars="200"/>
              <w:jc w:val="both"/>
              <w:rPr>
                <w:rFonts w:hint="eastAsia" w:ascii="宋体" w:hAnsi="宋体"/>
                <w:color w:val="auto"/>
                <w:szCs w:val="21"/>
              </w:rPr>
            </w:pPr>
            <w:r>
              <w:rPr>
                <w:rFonts w:hint="eastAsia" w:ascii="宋体" w:hAnsi="宋体"/>
                <w:color w:val="auto"/>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64479754">
            <w:pPr>
              <w:jc w:val="both"/>
              <w:rPr>
                <w:rFonts w:hint="eastAsia" w:ascii="宋体" w:hAnsi="宋体"/>
                <w:color w:val="auto"/>
                <w:szCs w:val="21"/>
              </w:rPr>
            </w:pPr>
          </w:p>
        </w:tc>
        <w:tc>
          <w:tcPr>
            <w:tcW w:w="7277" w:type="dxa"/>
            <w:vAlign w:val="center"/>
          </w:tcPr>
          <w:p w14:paraId="01AE28D2">
            <w:pPr>
              <w:ind w:firstLine="420" w:firstLineChars="200"/>
              <w:jc w:val="both"/>
              <w:rPr>
                <w:rFonts w:hint="eastAsia" w:ascii="宋体" w:hAnsi="宋体"/>
                <w:color w:val="auto"/>
                <w:szCs w:val="21"/>
                <w:lang w:val="en-US" w:eastAsia="zh-CN"/>
              </w:rPr>
            </w:pPr>
            <w:r>
              <w:rPr>
                <w:rFonts w:hint="eastAsia" w:ascii="宋体" w:hAnsi="宋体"/>
                <w:color w:val="auto"/>
                <w:szCs w:val="21"/>
                <w:lang w:eastAsia="zh-CN"/>
              </w:rPr>
              <w:t>《中华人民共和国安全生产法》第一百零三条</w:t>
            </w:r>
            <w:r>
              <w:rPr>
                <w:rFonts w:hint="eastAsia" w:ascii="宋体" w:hAnsi="宋体"/>
                <w:color w:val="auto"/>
                <w:szCs w:val="21"/>
                <w:lang w:val="en-US" w:eastAsia="zh-CN"/>
              </w:rPr>
              <w:t xml:space="preserve"> ……</w:t>
            </w:r>
          </w:p>
          <w:p w14:paraId="059D96A5">
            <w:pPr>
              <w:ind w:firstLine="420" w:firstLineChars="200"/>
              <w:jc w:val="both"/>
              <w:rPr>
                <w:rFonts w:hint="eastAsia" w:ascii="宋体" w:hAnsi="宋体"/>
                <w:color w:val="auto"/>
                <w:szCs w:val="21"/>
              </w:rPr>
            </w:pPr>
            <w:r>
              <w:rPr>
                <w:rFonts w:hint="eastAsia" w:ascii="宋体" w:hAnsi="宋体"/>
                <w:color w:val="auto"/>
                <w:szCs w:val="21"/>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0BA34B1E">
            <w:pPr>
              <w:jc w:val="both"/>
              <w:rPr>
                <w:rFonts w:hint="eastAsia" w:ascii="宋体" w:hAnsi="宋体"/>
                <w:color w:val="auto"/>
                <w:szCs w:val="21"/>
              </w:rPr>
            </w:pPr>
          </w:p>
        </w:tc>
        <w:tc>
          <w:tcPr>
            <w:tcW w:w="741" w:type="dxa"/>
            <w:vAlign w:val="center"/>
          </w:tcPr>
          <w:p w14:paraId="471F15BA">
            <w:pPr>
              <w:jc w:val="both"/>
              <w:rPr>
                <w:rFonts w:hint="eastAsia" w:ascii="宋体" w:hAnsi="宋体"/>
                <w:color w:val="auto"/>
                <w:szCs w:val="21"/>
              </w:rPr>
            </w:pPr>
          </w:p>
        </w:tc>
      </w:tr>
      <w:tr w14:paraId="7D20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0" w:hRule="atLeast"/>
          <w:jc w:val="center"/>
        </w:trPr>
        <w:tc>
          <w:tcPr>
            <w:tcW w:w="522" w:type="dxa"/>
            <w:vAlign w:val="center"/>
          </w:tcPr>
          <w:p w14:paraId="36C3CEFB">
            <w:pPr>
              <w:jc w:val="center"/>
              <w:rPr>
                <w:rFonts w:hint="eastAsia" w:ascii="宋体" w:hAnsi="宋体"/>
                <w:color w:val="auto"/>
                <w:szCs w:val="21"/>
                <w:lang w:val="en-US" w:eastAsia="zh-CN"/>
              </w:rPr>
            </w:pPr>
            <w:r>
              <w:rPr>
                <w:rFonts w:hint="eastAsia" w:ascii="宋体" w:hAnsi="宋体"/>
                <w:color w:val="auto"/>
                <w:szCs w:val="21"/>
                <w:lang w:val="en-US" w:eastAsia="zh-CN"/>
              </w:rPr>
              <w:t>30</w:t>
            </w:r>
          </w:p>
        </w:tc>
        <w:tc>
          <w:tcPr>
            <w:tcW w:w="1341" w:type="dxa"/>
            <w:vAlign w:val="center"/>
          </w:tcPr>
          <w:p w14:paraId="0C29EF7B">
            <w:pPr>
              <w:jc w:val="both"/>
              <w:rPr>
                <w:rFonts w:hint="eastAsia" w:ascii="宋体" w:hAnsi="宋体" w:eastAsia="宋体"/>
                <w:color w:val="auto"/>
                <w:szCs w:val="21"/>
                <w:lang w:eastAsia="zh-CN"/>
              </w:rPr>
            </w:pPr>
            <w:r>
              <w:rPr>
                <w:rFonts w:hint="eastAsia" w:ascii="宋体" w:hAnsi="宋体"/>
                <w:color w:val="auto"/>
                <w:szCs w:val="21"/>
                <w:lang w:eastAsia="zh-CN"/>
              </w:rPr>
              <w:t>高危行业投保安全生产责任保险情况</w:t>
            </w:r>
          </w:p>
        </w:tc>
        <w:tc>
          <w:tcPr>
            <w:tcW w:w="1438" w:type="dxa"/>
            <w:vAlign w:val="center"/>
          </w:tcPr>
          <w:p w14:paraId="08B9F11B">
            <w:pPr>
              <w:jc w:val="both"/>
              <w:rPr>
                <w:rFonts w:hint="eastAsia" w:ascii="宋体" w:hAnsi="宋体"/>
                <w:color w:val="auto"/>
                <w:szCs w:val="21"/>
              </w:rPr>
            </w:pPr>
            <w:r>
              <w:rPr>
                <w:rFonts w:hint="eastAsia" w:ascii="宋体" w:hAnsi="宋体"/>
                <w:color w:val="auto"/>
                <w:szCs w:val="21"/>
              </w:rPr>
              <w:t>高危行业、领域的生产经营单位应当投保安全生产责任保险</w:t>
            </w:r>
          </w:p>
        </w:tc>
        <w:tc>
          <w:tcPr>
            <w:tcW w:w="4795" w:type="dxa"/>
            <w:vAlign w:val="center"/>
          </w:tcPr>
          <w:p w14:paraId="4963849B">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第五十一条</w:t>
            </w:r>
            <w:r>
              <w:rPr>
                <w:rFonts w:hint="eastAsia" w:ascii="宋体" w:hAnsi="宋体"/>
                <w:color w:val="auto"/>
                <w:szCs w:val="21"/>
                <w:lang w:val="en-US" w:eastAsia="zh-CN"/>
              </w:rPr>
              <w:t xml:space="preserve"> </w:t>
            </w:r>
            <w:r>
              <w:rPr>
                <w:rFonts w:hint="eastAsia" w:ascii="宋体" w:hAnsi="宋体"/>
                <w:color w:val="auto"/>
                <w:szCs w:val="21"/>
                <w:lang w:eastAsia="zh-CN"/>
              </w:rPr>
              <w:t>……</w:t>
            </w:r>
          </w:p>
          <w:p w14:paraId="2F4D77A0">
            <w:pPr>
              <w:jc w:val="both"/>
              <w:rPr>
                <w:rFonts w:hint="eastAsia" w:ascii="宋体" w:hAnsi="宋体"/>
                <w:color w:val="auto"/>
                <w:szCs w:val="21"/>
              </w:rPr>
            </w:pPr>
            <w:r>
              <w:rPr>
                <w:rFonts w:hint="eastAsia" w:ascii="宋体" w:hAnsi="宋体"/>
                <w:color w:val="auto"/>
                <w:szCs w:val="21"/>
              </w:rPr>
              <w:t>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6602228B">
            <w:pPr>
              <w:jc w:val="both"/>
              <w:rPr>
                <w:rFonts w:hint="eastAsia" w:ascii="宋体" w:hAnsi="宋体"/>
                <w:color w:val="auto"/>
                <w:szCs w:val="21"/>
              </w:rPr>
            </w:pPr>
          </w:p>
        </w:tc>
        <w:tc>
          <w:tcPr>
            <w:tcW w:w="7277" w:type="dxa"/>
            <w:vAlign w:val="center"/>
          </w:tcPr>
          <w:p w14:paraId="7E2A0EDC">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第一百零九条  高危行业、领域的生产经营单位未按照国家规定投保安全生产责任保险的，责令限期改正，处五万元以上十万元以下的罚款；逾期未改正的，处十万元以上二十万元以下的罚款。</w:t>
            </w:r>
          </w:p>
          <w:p w14:paraId="094B2C37">
            <w:pPr>
              <w:jc w:val="both"/>
              <w:rPr>
                <w:rFonts w:hint="eastAsia" w:ascii="宋体" w:hAnsi="宋体"/>
                <w:color w:val="auto"/>
                <w:szCs w:val="21"/>
              </w:rPr>
            </w:pPr>
          </w:p>
        </w:tc>
        <w:tc>
          <w:tcPr>
            <w:tcW w:w="741" w:type="dxa"/>
            <w:vAlign w:val="center"/>
          </w:tcPr>
          <w:p w14:paraId="3A943C96">
            <w:pPr>
              <w:jc w:val="both"/>
              <w:rPr>
                <w:rFonts w:hint="eastAsia" w:ascii="宋体" w:hAnsi="宋体"/>
                <w:color w:val="auto"/>
                <w:szCs w:val="21"/>
              </w:rPr>
            </w:pPr>
          </w:p>
        </w:tc>
      </w:tr>
    </w:tbl>
    <w:p w14:paraId="526800F8"/>
    <w:p w14:paraId="362792FF">
      <w:pPr>
        <w:pStyle w:val="11"/>
      </w:pPr>
    </w:p>
    <w:p w14:paraId="62DE0F4F"/>
    <w:p w14:paraId="403C0BEC">
      <w:pPr>
        <w:pStyle w:val="11"/>
      </w:pPr>
    </w:p>
    <w:p w14:paraId="72CD0804"/>
    <w:p w14:paraId="058029D7">
      <w:pPr>
        <w:pStyle w:val="11"/>
      </w:pPr>
    </w:p>
    <w:p w14:paraId="1A8372AC">
      <w:pPr>
        <w:spacing w:before="146" w:line="219" w:lineRule="auto"/>
        <w:jc w:val="center"/>
        <w:rPr>
          <w:rFonts w:ascii="Arial"/>
          <w:sz w:val="21"/>
        </w:rPr>
      </w:pPr>
      <w:r>
        <w:rPr>
          <w:rFonts w:hint="eastAsia" w:ascii="方正小标宋简体" w:hAnsi="方正小标宋简体" w:eastAsia="方正小标宋简体" w:cs="方正小标宋简体"/>
          <w:b w:val="0"/>
          <w:bCs w:val="0"/>
          <w:spacing w:val="-10"/>
          <w:sz w:val="44"/>
          <w:szCs w:val="44"/>
          <w:lang w:val="en-US" w:eastAsia="zh-CN"/>
        </w:rPr>
        <w:t>自治区</w:t>
      </w:r>
      <w:r>
        <w:rPr>
          <w:rFonts w:hint="eastAsia" w:ascii="方正小标宋简体" w:hAnsi="方正小标宋简体" w:eastAsia="方正小标宋简体" w:cs="方正小标宋简体"/>
          <w:b w:val="0"/>
          <w:bCs w:val="0"/>
          <w:spacing w:val="-10"/>
          <w:sz w:val="44"/>
          <w:szCs w:val="44"/>
        </w:rPr>
        <w:t>安全生产执法检查</w:t>
      </w:r>
      <w:r>
        <w:rPr>
          <w:rFonts w:hint="eastAsia" w:ascii="方正小标宋简体" w:hAnsi="方正小标宋简体" w:eastAsia="方正小标宋简体" w:cs="方正小标宋简体"/>
          <w:b w:val="0"/>
          <w:bCs w:val="0"/>
          <w:spacing w:val="-11"/>
          <w:sz w:val="44"/>
          <w:szCs w:val="44"/>
        </w:rPr>
        <w:t>重点事项指导目录</w:t>
      </w:r>
      <w:r>
        <w:rPr>
          <w:rFonts w:hint="eastAsia" w:ascii="方正小标宋简体" w:hAnsi="方正小标宋简体" w:eastAsia="方正小标宋简体" w:cs="方正小标宋简体"/>
          <w:b w:val="0"/>
          <w:bCs w:val="0"/>
          <w:spacing w:val="-11"/>
          <w:sz w:val="44"/>
          <w:szCs w:val="44"/>
          <w:lang w:eastAsia="zh-CN"/>
        </w:rPr>
        <w:t>（</w:t>
      </w:r>
      <w:r>
        <w:rPr>
          <w:rFonts w:hint="eastAsia" w:ascii="方正小标宋简体" w:hAnsi="方正小标宋简体" w:eastAsia="方正小标宋简体" w:cs="方正小标宋简体"/>
          <w:b w:val="0"/>
          <w:bCs w:val="0"/>
          <w:spacing w:val="-10"/>
          <w:sz w:val="44"/>
          <w:szCs w:val="44"/>
        </w:rPr>
        <w:t>危险化学品</w:t>
      </w:r>
      <w:r>
        <w:rPr>
          <w:rFonts w:hint="eastAsia" w:ascii="方正小标宋简体" w:hAnsi="方正小标宋简体" w:eastAsia="方正小标宋简体" w:cs="方正小标宋简体"/>
          <w:b w:val="0"/>
          <w:bCs w:val="0"/>
          <w:spacing w:val="-10"/>
          <w:sz w:val="44"/>
          <w:szCs w:val="44"/>
          <w:lang w:eastAsia="zh-CN"/>
        </w:rPr>
        <w:t>企业</w:t>
      </w:r>
      <w:r>
        <w:rPr>
          <w:rFonts w:hint="eastAsia" w:ascii="方正小标宋简体" w:hAnsi="方正小标宋简体" w:eastAsia="方正小标宋简体" w:cs="方正小标宋简体"/>
          <w:b w:val="0"/>
          <w:bCs w:val="0"/>
          <w:spacing w:val="-11"/>
          <w:sz w:val="44"/>
          <w:szCs w:val="44"/>
          <w:lang w:eastAsia="zh-CN"/>
        </w:rPr>
        <w:t>）</w:t>
      </w:r>
    </w:p>
    <w:p w14:paraId="13E01ACD"/>
    <w:p w14:paraId="5BFDACA8">
      <w:pPr>
        <w:spacing w:line="79" w:lineRule="exact"/>
      </w:pPr>
    </w:p>
    <w:tbl>
      <w:tblPr>
        <w:tblStyle w:val="12"/>
        <w:tblW w:w="15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2460"/>
        <w:gridCol w:w="3977"/>
        <w:gridCol w:w="3006"/>
        <w:gridCol w:w="3361"/>
        <w:gridCol w:w="1624"/>
      </w:tblGrid>
      <w:tr w14:paraId="69F6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blHeader/>
          <w:jc w:val="center"/>
        </w:trPr>
        <w:tc>
          <w:tcPr>
            <w:tcW w:w="643" w:type="dxa"/>
            <w:noWrap w:val="0"/>
            <w:vAlign w:val="center"/>
          </w:tcPr>
          <w:p w14:paraId="3F712739">
            <w:pPr>
              <w:spacing w:before="212" w:line="221" w:lineRule="auto"/>
              <w:ind w:left="188"/>
              <w:jc w:val="both"/>
              <w:rPr>
                <w:rFonts w:ascii="宋体" w:hAnsi="宋体" w:eastAsia="宋体" w:cs="宋体"/>
                <w:b/>
                <w:bCs/>
                <w:sz w:val="24"/>
                <w:szCs w:val="24"/>
              </w:rPr>
            </w:pPr>
            <w:r>
              <w:rPr>
                <w:rFonts w:ascii="宋体" w:hAnsi="宋体" w:eastAsia="宋体" w:cs="宋体"/>
                <w:b/>
                <w:bCs/>
                <w:spacing w:val="-5"/>
                <w:sz w:val="24"/>
                <w:szCs w:val="24"/>
              </w:rPr>
              <w:t>序号</w:t>
            </w:r>
          </w:p>
        </w:tc>
        <w:tc>
          <w:tcPr>
            <w:tcW w:w="2460" w:type="dxa"/>
            <w:noWrap w:val="0"/>
            <w:vAlign w:val="center"/>
          </w:tcPr>
          <w:p w14:paraId="58133FF7">
            <w:pPr>
              <w:spacing w:before="81" w:line="219" w:lineRule="auto"/>
              <w:ind w:left="643"/>
              <w:jc w:val="both"/>
              <w:rPr>
                <w:rFonts w:ascii="宋体" w:hAnsi="宋体" w:eastAsia="宋体" w:cs="宋体"/>
                <w:b/>
                <w:bCs/>
                <w:sz w:val="24"/>
                <w:szCs w:val="24"/>
              </w:rPr>
            </w:pPr>
            <w:r>
              <w:rPr>
                <w:rFonts w:ascii="宋体" w:hAnsi="宋体" w:eastAsia="宋体" w:cs="宋体"/>
                <w:b/>
                <w:bCs/>
                <w:spacing w:val="-5"/>
                <w:sz w:val="24"/>
                <w:szCs w:val="24"/>
              </w:rPr>
              <w:t>执法检查</w:t>
            </w:r>
          </w:p>
          <w:p w14:paraId="13D1E58D">
            <w:pPr>
              <w:spacing w:before="24" w:line="210" w:lineRule="auto"/>
              <w:ind w:left="403"/>
              <w:jc w:val="both"/>
              <w:rPr>
                <w:rFonts w:ascii="宋体" w:hAnsi="宋体" w:eastAsia="宋体" w:cs="宋体"/>
                <w:b/>
                <w:bCs/>
                <w:sz w:val="24"/>
                <w:szCs w:val="24"/>
              </w:rPr>
            </w:pPr>
            <w:r>
              <w:rPr>
                <w:rFonts w:ascii="宋体" w:hAnsi="宋体" w:eastAsia="宋体" w:cs="宋体"/>
                <w:b/>
                <w:bCs/>
                <w:spacing w:val="-4"/>
                <w:sz w:val="24"/>
                <w:szCs w:val="24"/>
              </w:rPr>
              <w:t>重点事项内容</w:t>
            </w:r>
          </w:p>
        </w:tc>
        <w:tc>
          <w:tcPr>
            <w:tcW w:w="3977" w:type="dxa"/>
            <w:noWrap w:val="0"/>
            <w:vAlign w:val="center"/>
          </w:tcPr>
          <w:p w14:paraId="684A0063">
            <w:pPr>
              <w:spacing w:before="210" w:line="219" w:lineRule="auto"/>
              <w:ind w:left="1055"/>
              <w:jc w:val="both"/>
              <w:rPr>
                <w:rFonts w:ascii="宋体" w:hAnsi="宋体" w:eastAsia="宋体" w:cs="宋体"/>
                <w:b/>
                <w:bCs/>
                <w:sz w:val="24"/>
                <w:szCs w:val="24"/>
              </w:rPr>
            </w:pPr>
            <w:r>
              <w:rPr>
                <w:rFonts w:ascii="宋体" w:hAnsi="宋体" w:eastAsia="宋体" w:cs="宋体"/>
                <w:b/>
                <w:bCs/>
                <w:spacing w:val="-4"/>
                <w:sz w:val="24"/>
                <w:szCs w:val="24"/>
              </w:rPr>
              <w:t>执法检查依据</w:t>
            </w:r>
          </w:p>
        </w:tc>
        <w:tc>
          <w:tcPr>
            <w:tcW w:w="3006" w:type="dxa"/>
            <w:noWrap w:val="0"/>
            <w:vAlign w:val="center"/>
          </w:tcPr>
          <w:p w14:paraId="2553018E">
            <w:pPr>
              <w:spacing w:before="82" w:line="220" w:lineRule="auto"/>
              <w:ind w:left="848"/>
              <w:jc w:val="both"/>
              <w:rPr>
                <w:rFonts w:ascii="宋体" w:hAnsi="宋体" w:eastAsia="宋体" w:cs="宋体"/>
                <w:b/>
                <w:bCs/>
                <w:sz w:val="24"/>
                <w:szCs w:val="24"/>
              </w:rPr>
            </w:pPr>
            <w:r>
              <w:rPr>
                <w:rFonts w:ascii="宋体" w:hAnsi="宋体" w:eastAsia="宋体" w:cs="宋体"/>
                <w:b/>
                <w:bCs/>
                <w:spacing w:val="-5"/>
                <w:sz w:val="24"/>
                <w:szCs w:val="24"/>
              </w:rPr>
              <w:t>有关规范性</w:t>
            </w:r>
          </w:p>
          <w:p w14:paraId="54416B0A">
            <w:pPr>
              <w:spacing w:before="22" w:line="210" w:lineRule="auto"/>
              <w:ind w:left="588"/>
              <w:jc w:val="both"/>
              <w:rPr>
                <w:rFonts w:ascii="宋体" w:hAnsi="宋体" w:eastAsia="宋体" w:cs="宋体"/>
                <w:b/>
                <w:bCs/>
                <w:sz w:val="24"/>
                <w:szCs w:val="24"/>
              </w:rPr>
            </w:pPr>
            <w:r>
              <w:rPr>
                <w:rFonts w:ascii="宋体" w:hAnsi="宋体" w:eastAsia="宋体" w:cs="宋体"/>
                <w:b/>
                <w:bCs/>
                <w:spacing w:val="3"/>
                <w:sz w:val="24"/>
                <w:szCs w:val="24"/>
              </w:rPr>
              <w:t>文件及标准要求</w:t>
            </w:r>
          </w:p>
        </w:tc>
        <w:tc>
          <w:tcPr>
            <w:tcW w:w="3361" w:type="dxa"/>
            <w:noWrap w:val="0"/>
            <w:vAlign w:val="center"/>
          </w:tcPr>
          <w:p w14:paraId="7A41CB4A">
            <w:pPr>
              <w:spacing w:before="213" w:line="219" w:lineRule="auto"/>
              <w:ind w:left="967"/>
              <w:jc w:val="both"/>
              <w:rPr>
                <w:rFonts w:ascii="宋体" w:hAnsi="宋体" w:eastAsia="宋体" w:cs="宋体"/>
                <w:b/>
                <w:bCs/>
                <w:sz w:val="24"/>
                <w:szCs w:val="24"/>
              </w:rPr>
            </w:pPr>
            <w:r>
              <w:rPr>
                <w:rFonts w:ascii="宋体" w:hAnsi="宋体" w:eastAsia="宋体" w:cs="宋体"/>
                <w:b/>
                <w:bCs/>
                <w:spacing w:val="8"/>
                <w:sz w:val="24"/>
                <w:szCs w:val="24"/>
              </w:rPr>
              <w:t>处罚依据</w:t>
            </w:r>
          </w:p>
        </w:tc>
        <w:tc>
          <w:tcPr>
            <w:tcW w:w="1624" w:type="dxa"/>
            <w:noWrap w:val="0"/>
            <w:vAlign w:val="center"/>
          </w:tcPr>
          <w:p w14:paraId="685CED0F">
            <w:pPr>
              <w:spacing w:before="212" w:line="221" w:lineRule="auto"/>
              <w:ind w:left="402"/>
              <w:jc w:val="both"/>
              <w:rPr>
                <w:rFonts w:ascii="宋体" w:hAnsi="宋体" w:eastAsia="宋体" w:cs="宋体"/>
                <w:b/>
                <w:bCs/>
                <w:sz w:val="24"/>
                <w:szCs w:val="24"/>
              </w:rPr>
            </w:pPr>
            <w:r>
              <w:rPr>
                <w:rFonts w:ascii="宋体" w:hAnsi="宋体" w:eastAsia="宋体" w:cs="宋体"/>
                <w:b/>
                <w:bCs/>
                <w:spacing w:val="-6"/>
                <w:sz w:val="24"/>
                <w:szCs w:val="24"/>
              </w:rPr>
              <w:t>备注</w:t>
            </w:r>
          </w:p>
        </w:tc>
      </w:tr>
      <w:tr w14:paraId="5C1CD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2" w:hRule="atLeast"/>
          <w:jc w:val="center"/>
        </w:trPr>
        <w:tc>
          <w:tcPr>
            <w:tcW w:w="643" w:type="dxa"/>
            <w:noWrap w:val="0"/>
            <w:vAlign w:val="center"/>
          </w:tcPr>
          <w:p w14:paraId="219E0EAF">
            <w:pPr>
              <w:spacing w:line="257" w:lineRule="auto"/>
              <w:jc w:val="both"/>
              <w:rPr>
                <w:rFonts w:ascii="Arial"/>
                <w:sz w:val="21"/>
                <w:szCs w:val="21"/>
              </w:rPr>
            </w:pPr>
          </w:p>
          <w:p w14:paraId="20E174C9">
            <w:pPr>
              <w:spacing w:line="258" w:lineRule="auto"/>
              <w:jc w:val="both"/>
              <w:rPr>
                <w:rFonts w:ascii="Arial"/>
                <w:sz w:val="21"/>
                <w:szCs w:val="21"/>
              </w:rPr>
            </w:pPr>
          </w:p>
          <w:p w14:paraId="619273E9">
            <w:pPr>
              <w:spacing w:line="258" w:lineRule="auto"/>
              <w:jc w:val="both"/>
              <w:rPr>
                <w:rFonts w:ascii="Arial"/>
                <w:sz w:val="21"/>
                <w:szCs w:val="21"/>
              </w:rPr>
            </w:pPr>
          </w:p>
          <w:p w14:paraId="34D1E630">
            <w:pPr>
              <w:spacing w:line="258" w:lineRule="auto"/>
              <w:jc w:val="both"/>
              <w:rPr>
                <w:rFonts w:ascii="Arial"/>
                <w:sz w:val="21"/>
                <w:szCs w:val="21"/>
              </w:rPr>
            </w:pPr>
          </w:p>
          <w:p w14:paraId="28D16E5F">
            <w:pPr>
              <w:spacing w:line="258" w:lineRule="auto"/>
              <w:jc w:val="both"/>
              <w:rPr>
                <w:rFonts w:ascii="Arial"/>
                <w:sz w:val="21"/>
                <w:szCs w:val="21"/>
              </w:rPr>
            </w:pPr>
          </w:p>
          <w:p w14:paraId="35650648">
            <w:pPr>
              <w:spacing w:line="258" w:lineRule="auto"/>
              <w:jc w:val="both"/>
              <w:rPr>
                <w:rFonts w:ascii="Arial"/>
                <w:sz w:val="21"/>
                <w:szCs w:val="21"/>
              </w:rPr>
            </w:pPr>
          </w:p>
          <w:p w14:paraId="225EB494">
            <w:pPr>
              <w:spacing w:line="258" w:lineRule="auto"/>
              <w:jc w:val="both"/>
              <w:rPr>
                <w:rFonts w:ascii="Arial"/>
                <w:sz w:val="21"/>
                <w:szCs w:val="21"/>
              </w:rPr>
            </w:pPr>
          </w:p>
          <w:p w14:paraId="623B0F5F">
            <w:pPr>
              <w:spacing w:line="258" w:lineRule="auto"/>
              <w:jc w:val="both"/>
              <w:rPr>
                <w:rFonts w:ascii="Arial"/>
                <w:sz w:val="21"/>
                <w:szCs w:val="21"/>
              </w:rPr>
            </w:pPr>
          </w:p>
          <w:p w14:paraId="5F8D6362">
            <w:pPr>
              <w:spacing w:line="258" w:lineRule="auto"/>
              <w:jc w:val="both"/>
              <w:rPr>
                <w:rFonts w:ascii="Arial"/>
                <w:sz w:val="21"/>
                <w:szCs w:val="21"/>
              </w:rPr>
            </w:pPr>
          </w:p>
          <w:p w14:paraId="70CD47A6">
            <w:pPr>
              <w:spacing w:line="258" w:lineRule="auto"/>
              <w:jc w:val="both"/>
              <w:rPr>
                <w:rFonts w:ascii="Arial"/>
                <w:sz w:val="21"/>
                <w:szCs w:val="21"/>
              </w:rPr>
            </w:pPr>
          </w:p>
          <w:p w14:paraId="57807881">
            <w:pPr>
              <w:spacing w:before="78" w:line="183" w:lineRule="auto"/>
              <w:ind w:left="365"/>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60" w:type="dxa"/>
            <w:noWrap w:val="0"/>
            <w:vAlign w:val="center"/>
          </w:tcPr>
          <w:p w14:paraId="7A383115">
            <w:pPr>
              <w:widowControl/>
              <w:adjustRightInd w:val="0"/>
              <w:snapToGrid w:val="0"/>
              <w:ind w:firstLine="420" w:firstLineChars="200"/>
              <w:rPr>
                <w:rFonts w:hint="eastAsia" w:ascii="宋体" w:hAnsi="宋体" w:cs="宋体"/>
                <w:color w:val="auto"/>
                <w:kern w:val="0"/>
                <w:sz w:val="21"/>
                <w:szCs w:val="21"/>
              </w:rPr>
            </w:pPr>
          </w:p>
          <w:p w14:paraId="7B8DE9A1">
            <w:pPr>
              <w:widowControl/>
              <w:adjustRightInd w:val="0"/>
              <w:snapToGrid w:val="0"/>
              <w:ind w:firstLine="420" w:firstLineChars="200"/>
              <w:rPr>
                <w:rFonts w:hint="eastAsia" w:ascii="宋体" w:hAnsi="宋体" w:cs="宋体"/>
                <w:color w:val="auto"/>
                <w:kern w:val="0"/>
                <w:sz w:val="21"/>
                <w:szCs w:val="21"/>
              </w:rPr>
            </w:pPr>
          </w:p>
          <w:p w14:paraId="107C5065">
            <w:pPr>
              <w:widowControl/>
              <w:adjustRightInd w:val="0"/>
              <w:snapToGrid w:val="0"/>
              <w:ind w:firstLine="420" w:firstLineChars="200"/>
              <w:rPr>
                <w:rFonts w:hint="eastAsia" w:ascii="宋体" w:hAnsi="宋体" w:cs="宋体"/>
                <w:color w:val="auto"/>
                <w:kern w:val="0"/>
                <w:sz w:val="21"/>
                <w:szCs w:val="21"/>
              </w:rPr>
            </w:pPr>
          </w:p>
          <w:p w14:paraId="763B5B88">
            <w:pPr>
              <w:widowControl/>
              <w:adjustRightInd w:val="0"/>
              <w:snapToGrid w:val="0"/>
              <w:ind w:firstLine="420" w:firstLineChars="200"/>
              <w:rPr>
                <w:rFonts w:hint="eastAsia" w:ascii="宋体" w:hAnsi="宋体" w:cs="宋体"/>
                <w:color w:val="auto"/>
                <w:kern w:val="0"/>
                <w:sz w:val="21"/>
                <w:szCs w:val="21"/>
              </w:rPr>
            </w:pPr>
          </w:p>
          <w:p w14:paraId="0A9BFDCB">
            <w:pPr>
              <w:widowControl/>
              <w:adjustRightInd w:val="0"/>
              <w:snapToGrid w:val="0"/>
              <w:ind w:firstLine="420" w:firstLineChars="200"/>
              <w:rPr>
                <w:rFonts w:hint="eastAsia" w:ascii="宋体" w:hAnsi="宋体" w:cs="宋体"/>
                <w:color w:val="auto"/>
                <w:kern w:val="0"/>
                <w:sz w:val="21"/>
                <w:szCs w:val="21"/>
              </w:rPr>
            </w:pPr>
          </w:p>
          <w:p w14:paraId="48B8AAA1">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未将事故隐患排查治理情况如实记录或者未向从业人员通报(包括主要负责人未进行安全风险承诺公告，或者承诺公告与现场情</w:t>
            </w:r>
          </w:p>
          <w:p w14:paraId="0924018F">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况不相符合、虚假承诺等相关情形)。</w:t>
            </w:r>
          </w:p>
        </w:tc>
        <w:tc>
          <w:tcPr>
            <w:tcW w:w="3977" w:type="dxa"/>
            <w:noWrap w:val="0"/>
            <w:vAlign w:val="center"/>
          </w:tcPr>
          <w:p w14:paraId="0BF7FBA6">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《中华人民共和国安全生产法》第四十一条第一款、第二款生产经营单位应当建立安全风险分级管控制度，按照安全风险分级采取相应的管控措施。</w:t>
            </w:r>
          </w:p>
          <w:p w14:paraId="6FE1784B">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006" w:type="dxa"/>
            <w:noWrap w:val="0"/>
            <w:vAlign w:val="center"/>
          </w:tcPr>
          <w:p w14:paraId="74437569">
            <w:pPr>
              <w:widowControl/>
              <w:adjustRightInd w:val="0"/>
              <w:snapToGrid w:val="0"/>
              <w:ind w:firstLine="420" w:firstLineChars="200"/>
              <w:rPr>
                <w:rFonts w:hint="eastAsia" w:ascii="宋体" w:hAnsi="宋体" w:cs="宋体"/>
                <w:color w:val="auto"/>
                <w:kern w:val="0"/>
                <w:sz w:val="21"/>
                <w:szCs w:val="21"/>
              </w:rPr>
            </w:pPr>
          </w:p>
          <w:p w14:paraId="7DDD0010">
            <w:pPr>
              <w:widowControl/>
              <w:adjustRightInd w:val="0"/>
              <w:snapToGrid w:val="0"/>
              <w:ind w:firstLine="420" w:firstLineChars="200"/>
              <w:rPr>
                <w:rFonts w:hint="eastAsia" w:ascii="宋体" w:hAnsi="宋体" w:cs="宋体"/>
                <w:color w:val="auto"/>
                <w:kern w:val="0"/>
                <w:sz w:val="21"/>
                <w:szCs w:val="21"/>
              </w:rPr>
            </w:pPr>
          </w:p>
          <w:p w14:paraId="1FAFB013">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关于全面实施危险化学品企业安全风险研判与承诺公告制度的通知》(应急〔2018〕74号)五、安全承诺公告企业安全承诺：企业在进行全面安全风险研判的基础上，落实相关的安全风险管控措施，由企业主要负责人承诺当日所有装置、罐区是否处于安全运行状态，安全风险是否得到有效管控。</w:t>
            </w:r>
          </w:p>
        </w:tc>
        <w:tc>
          <w:tcPr>
            <w:tcW w:w="3361" w:type="dxa"/>
            <w:noWrap w:val="0"/>
            <w:vAlign w:val="center"/>
          </w:tcPr>
          <w:p w14:paraId="7F491C68">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46CBB1B">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(五)未将事故隐患排查治理情况如实记录或者未向从业人员通报的。</w:t>
            </w:r>
          </w:p>
        </w:tc>
        <w:tc>
          <w:tcPr>
            <w:tcW w:w="1624" w:type="dxa"/>
            <w:noWrap w:val="0"/>
            <w:vAlign w:val="center"/>
          </w:tcPr>
          <w:p w14:paraId="5B073995">
            <w:pPr>
              <w:widowControl/>
              <w:adjustRightInd w:val="0"/>
              <w:snapToGrid w:val="0"/>
              <w:ind w:firstLine="420" w:firstLineChars="200"/>
              <w:rPr>
                <w:rFonts w:hint="eastAsia" w:ascii="宋体" w:hAnsi="宋体" w:cs="宋体"/>
                <w:color w:val="auto"/>
                <w:kern w:val="0"/>
                <w:sz w:val="21"/>
                <w:szCs w:val="21"/>
              </w:rPr>
            </w:pPr>
          </w:p>
          <w:p w14:paraId="59D9B5F6">
            <w:pPr>
              <w:widowControl/>
              <w:adjustRightInd w:val="0"/>
              <w:snapToGrid w:val="0"/>
              <w:ind w:firstLine="420" w:firstLineChars="200"/>
              <w:rPr>
                <w:rFonts w:hint="eastAsia" w:ascii="宋体" w:hAnsi="宋体" w:cs="宋体"/>
                <w:color w:val="auto"/>
                <w:kern w:val="0"/>
                <w:sz w:val="21"/>
                <w:szCs w:val="21"/>
              </w:rPr>
            </w:pPr>
          </w:p>
          <w:p w14:paraId="166577E2">
            <w:pPr>
              <w:widowControl/>
              <w:adjustRightInd w:val="0"/>
              <w:snapToGrid w:val="0"/>
              <w:ind w:firstLine="420" w:firstLineChars="200"/>
              <w:rPr>
                <w:rFonts w:hint="eastAsia" w:ascii="宋体" w:hAnsi="宋体" w:cs="宋体"/>
                <w:color w:val="auto"/>
                <w:kern w:val="0"/>
                <w:sz w:val="21"/>
                <w:szCs w:val="21"/>
              </w:rPr>
            </w:pPr>
          </w:p>
          <w:p w14:paraId="032E5A75">
            <w:pPr>
              <w:widowControl/>
              <w:adjustRightInd w:val="0"/>
              <w:snapToGrid w:val="0"/>
              <w:ind w:firstLine="420" w:firstLineChars="200"/>
              <w:rPr>
                <w:rFonts w:hint="eastAsia" w:ascii="宋体" w:hAnsi="宋体" w:cs="宋体"/>
                <w:color w:val="auto"/>
                <w:kern w:val="0"/>
                <w:sz w:val="21"/>
                <w:szCs w:val="21"/>
              </w:rPr>
            </w:pPr>
          </w:p>
          <w:p w14:paraId="454C62E7">
            <w:pPr>
              <w:widowControl/>
              <w:adjustRightInd w:val="0"/>
              <w:snapToGrid w:val="0"/>
              <w:ind w:firstLine="420" w:firstLineChars="200"/>
              <w:rPr>
                <w:rFonts w:hint="eastAsia" w:ascii="宋体" w:hAnsi="宋体" w:cs="宋体"/>
                <w:color w:val="auto"/>
                <w:kern w:val="0"/>
                <w:sz w:val="21"/>
                <w:szCs w:val="21"/>
              </w:rPr>
            </w:pPr>
          </w:p>
          <w:p w14:paraId="0B585F65">
            <w:pPr>
              <w:widowControl/>
              <w:adjustRightInd w:val="0"/>
              <w:snapToGrid w:val="0"/>
              <w:ind w:firstLine="420" w:firstLineChars="200"/>
              <w:rPr>
                <w:rFonts w:hint="eastAsia" w:ascii="宋体" w:hAnsi="宋体" w:cs="宋体"/>
                <w:color w:val="auto"/>
                <w:kern w:val="0"/>
                <w:sz w:val="21"/>
                <w:szCs w:val="21"/>
              </w:rPr>
            </w:pPr>
          </w:p>
          <w:p w14:paraId="03E25CB2">
            <w:pPr>
              <w:widowControl/>
              <w:adjustRightInd w:val="0"/>
              <w:snapToGrid w:val="0"/>
              <w:ind w:firstLine="420" w:firstLineChars="200"/>
              <w:rPr>
                <w:rFonts w:hint="eastAsia" w:ascii="宋体" w:hAnsi="宋体" w:cs="宋体"/>
                <w:color w:val="auto"/>
                <w:kern w:val="0"/>
                <w:sz w:val="21"/>
                <w:szCs w:val="21"/>
              </w:rPr>
            </w:pPr>
          </w:p>
          <w:p w14:paraId="19B6DD95">
            <w:pPr>
              <w:widowControl/>
              <w:adjustRightInd w:val="0"/>
              <w:snapToGrid w:val="0"/>
              <w:ind w:firstLine="420" w:firstLineChars="200"/>
              <w:rPr>
                <w:rFonts w:hint="eastAsia" w:ascii="宋体" w:hAnsi="宋体" w:cs="宋体"/>
                <w:color w:val="auto"/>
                <w:kern w:val="0"/>
                <w:sz w:val="21"/>
                <w:szCs w:val="21"/>
              </w:rPr>
            </w:pPr>
          </w:p>
          <w:p w14:paraId="397A7D89">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主要负责人安全生产责任落实管理</w:t>
            </w:r>
          </w:p>
        </w:tc>
      </w:tr>
      <w:tr w14:paraId="10872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jc w:val="center"/>
        </w:trPr>
        <w:tc>
          <w:tcPr>
            <w:tcW w:w="643" w:type="dxa"/>
            <w:noWrap w:val="0"/>
            <w:vAlign w:val="center"/>
          </w:tcPr>
          <w:p w14:paraId="2DD87656">
            <w:pPr>
              <w:spacing w:before="290" w:line="183" w:lineRule="auto"/>
              <w:ind w:left="365"/>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460" w:type="dxa"/>
            <w:noWrap w:val="0"/>
            <w:vAlign w:val="center"/>
          </w:tcPr>
          <w:p w14:paraId="6466F9C4">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未按照有关标准规范要求定期对涉及</w:t>
            </w:r>
          </w:p>
        </w:tc>
        <w:tc>
          <w:tcPr>
            <w:tcW w:w="3977" w:type="dxa"/>
            <w:noWrap w:val="0"/>
            <w:vAlign w:val="center"/>
          </w:tcPr>
          <w:p w14:paraId="0EB2B8ED">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《危险化学品安全管理条例》第十三条第一款生产、储</w:t>
            </w:r>
          </w:p>
        </w:tc>
        <w:tc>
          <w:tcPr>
            <w:tcW w:w="3006" w:type="dxa"/>
            <w:noWrap w:val="0"/>
            <w:vAlign w:val="center"/>
          </w:tcPr>
          <w:p w14:paraId="2444E2B7">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1.《关于加强化工过程安全管理的指导意见》</w:t>
            </w:r>
          </w:p>
        </w:tc>
        <w:tc>
          <w:tcPr>
            <w:tcW w:w="3361" w:type="dxa"/>
            <w:noWrap w:val="0"/>
            <w:vAlign w:val="center"/>
          </w:tcPr>
          <w:p w14:paraId="7842E7A3">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《危险化学品安全管理条例》第七十八条第</w:t>
            </w:r>
          </w:p>
        </w:tc>
        <w:tc>
          <w:tcPr>
            <w:tcW w:w="1624" w:type="dxa"/>
            <w:noWrap w:val="0"/>
            <w:vAlign w:val="center"/>
          </w:tcPr>
          <w:p w14:paraId="47C05F36">
            <w:pPr>
              <w:widowControl/>
              <w:adjustRightInd w:val="0"/>
              <w:snapToGrid w:val="0"/>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设备管理</w:t>
            </w:r>
          </w:p>
        </w:tc>
      </w:tr>
    </w:tbl>
    <w:p w14:paraId="5970800F">
      <w:pPr>
        <w:rPr>
          <w:rFonts w:ascii="Arial"/>
          <w:sz w:val="21"/>
          <w:szCs w:val="21"/>
        </w:rPr>
      </w:pPr>
    </w:p>
    <w:p w14:paraId="2CCDA995">
      <w:pPr>
        <w:rPr>
          <w:rFonts w:ascii="Arial"/>
          <w:sz w:val="21"/>
          <w:szCs w:val="21"/>
        </w:rPr>
      </w:pPr>
    </w:p>
    <w:p w14:paraId="27A66DBB">
      <w:pPr>
        <w:rPr>
          <w:rFonts w:ascii="Arial"/>
          <w:sz w:val="21"/>
        </w:rPr>
      </w:pPr>
    </w:p>
    <w:p w14:paraId="7FC10A30">
      <w:pPr>
        <w:spacing w:line="4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497"/>
        <w:gridCol w:w="3756"/>
        <w:gridCol w:w="2629"/>
        <w:gridCol w:w="1036"/>
      </w:tblGrid>
      <w:tr w14:paraId="66841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64" w:type="dxa"/>
            <w:noWrap w:val="0"/>
            <w:vAlign w:val="top"/>
          </w:tcPr>
          <w:p w14:paraId="0E300A11">
            <w:pPr>
              <w:spacing w:before="21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28" w:type="dxa"/>
            <w:noWrap w:val="0"/>
            <w:vAlign w:val="top"/>
          </w:tcPr>
          <w:p w14:paraId="2E7138A5">
            <w:pPr>
              <w:spacing w:before="65" w:line="219" w:lineRule="auto"/>
              <w:ind w:left="630"/>
              <w:rPr>
                <w:rFonts w:ascii="宋体" w:hAnsi="宋体" w:eastAsia="宋体" w:cs="宋体"/>
                <w:b/>
                <w:bCs/>
                <w:sz w:val="24"/>
                <w:szCs w:val="24"/>
              </w:rPr>
            </w:pPr>
            <w:r>
              <w:rPr>
                <w:rFonts w:ascii="宋体" w:hAnsi="宋体" w:eastAsia="宋体" w:cs="宋体"/>
                <w:b/>
                <w:bCs/>
                <w:spacing w:val="3"/>
                <w:sz w:val="24"/>
                <w:szCs w:val="24"/>
              </w:rPr>
              <w:t>执法检查</w:t>
            </w:r>
          </w:p>
          <w:p w14:paraId="070368A7">
            <w:pPr>
              <w:spacing w:before="34" w:line="215" w:lineRule="auto"/>
              <w:ind w:left="400"/>
              <w:rPr>
                <w:rFonts w:ascii="宋体" w:hAnsi="宋体" w:eastAsia="宋体" w:cs="宋体"/>
                <w:b/>
                <w:bCs/>
                <w:sz w:val="24"/>
                <w:szCs w:val="24"/>
              </w:rPr>
            </w:pPr>
            <w:r>
              <w:rPr>
                <w:rFonts w:ascii="宋体" w:hAnsi="宋体" w:eastAsia="宋体" w:cs="宋体"/>
                <w:b/>
                <w:bCs/>
                <w:spacing w:val="2"/>
                <w:sz w:val="24"/>
                <w:szCs w:val="24"/>
              </w:rPr>
              <w:t>重点事项内容</w:t>
            </w:r>
          </w:p>
        </w:tc>
        <w:tc>
          <w:tcPr>
            <w:tcW w:w="3497" w:type="dxa"/>
            <w:noWrap w:val="0"/>
            <w:vAlign w:val="top"/>
          </w:tcPr>
          <w:p w14:paraId="4375501B">
            <w:pPr>
              <w:spacing w:before="210" w:line="219" w:lineRule="auto"/>
              <w:ind w:left="1036"/>
              <w:rPr>
                <w:rFonts w:ascii="宋体" w:hAnsi="宋体" w:eastAsia="宋体" w:cs="宋体"/>
                <w:b/>
                <w:bCs/>
                <w:sz w:val="24"/>
                <w:szCs w:val="24"/>
              </w:rPr>
            </w:pPr>
            <w:r>
              <w:rPr>
                <w:rFonts w:ascii="宋体" w:hAnsi="宋体" w:eastAsia="宋体" w:cs="宋体"/>
                <w:b/>
                <w:bCs/>
                <w:spacing w:val="5"/>
                <w:sz w:val="24"/>
                <w:szCs w:val="24"/>
              </w:rPr>
              <w:t>执法检查依据</w:t>
            </w:r>
          </w:p>
        </w:tc>
        <w:tc>
          <w:tcPr>
            <w:tcW w:w="3756" w:type="dxa"/>
            <w:noWrap w:val="0"/>
            <w:vAlign w:val="top"/>
          </w:tcPr>
          <w:p w14:paraId="4B8A8301">
            <w:pPr>
              <w:spacing w:before="85" w:line="220" w:lineRule="auto"/>
              <w:ind w:left="856"/>
              <w:rPr>
                <w:rFonts w:ascii="宋体" w:hAnsi="宋体" w:eastAsia="宋体" w:cs="宋体"/>
                <w:b/>
                <w:bCs/>
                <w:sz w:val="24"/>
                <w:szCs w:val="24"/>
              </w:rPr>
            </w:pPr>
            <w:r>
              <w:rPr>
                <w:rFonts w:ascii="宋体" w:hAnsi="宋体" w:eastAsia="宋体" w:cs="宋体"/>
                <w:b/>
                <w:bCs/>
                <w:spacing w:val="-2"/>
                <w:sz w:val="24"/>
                <w:szCs w:val="24"/>
              </w:rPr>
              <w:t>有关规范性</w:t>
            </w:r>
          </w:p>
          <w:p w14:paraId="5D89B45C">
            <w:pPr>
              <w:spacing w:before="38" w:line="195" w:lineRule="auto"/>
              <w:ind w:left="609"/>
              <w:rPr>
                <w:rFonts w:ascii="宋体" w:hAnsi="宋体" w:eastAsia="宋体" w:cs="宋体"/>
                <w:b/>
                <w:bCs/>
                <w:sz w:val="24"/>
                <w:szCs w:val="24"/>
              </w:rPr>
            </w:pPr>
            <w:r>
              <w:rPr>
                <w:rFonts w:ascii="宋体" w:hAnsi="宋体" w:eastAsia="宋体" w:cs="宋体"/>
                <w:b/>
                <w:bCs/>
                <w:sz w:val="24"/>
                <w:szCs w:val="24"/>
              </w:rPr>
              <w:t>文件及标准要求</w:t>
            </w:r>
          </w:p>
        </w:tc>
        <w:tc>
          <w:tcPr>
            <w:tcW w:w="2629" w:type="dxa"/>
            <w:noWrap w:val="0"/>
            <w:vAlign w:val="top"/>
          </w:tcPr>
          <w:p w14:paraId="1C2446CA">
            <w:pPr>
              <w:spacing w:before="210" w:line="219" w:lineRule="auto"/>
              <w:ind w:left="951"/>
              <w:rPr>
                <w:rFonts w:ascii="宋体" w:hAnsi="宋体" w:eastAsia="宋体" w:cs="宋体"/>
                <w:b/>
                <w:bCs/>
                <w:sz w:val="24"/>
                <w:szCs w:val="24"/>
              </w:rPr>
            </w:pPr>
            <w:r>
              <w:rPr>
                <w:rFonts w:ascii="宋体" w:hAnsi="宋体" w:eastAsia="宋体" w:cs="宋体"/>
                <w:b/>
                <w:bCs/>
                <w:spacing w:val="4"/>
                <w:sz w:val="24"/>
                <w:szCs w:val="24"/>
              </w:rPr>
              <w:t>处罚依据</w:t>
            </w:r>
          </w:p>
        </w:tc>
        <w:tc>
          <w:tcPr>
            <w:tcW w:w="1036" w:type="dxa"/>
            <w:noWrap w:val="0"/>
            <w:vAlign w:val="top"/>
          </w:tcPr>
          <w:p w14:paraId="62C3C6E1">
            <w:pPr>
              <w:spacing w:before="212" w:line="221" w:lineRule="auto"/>
              <w:ind w:left="383"/>
              <w:rPr>
                <w:rFonts w:ascii="宋体" w:hAnsi="宋体" w:eastAsia="宋体" w:cs="宋体"/>
                <w:b/>
                <w:bCs/>
                <w:sz w:val="24"/>
                <w:szCs w:val="24"/>
              </w:rPr>
            </w:pPr>
            <w:r>
              <w:rPr>
                <w:rFonts w:ascii="宋体" w:hAnsi="宋体" w:eastAsia="宋体" w:cs="宋体"/>
                <w:b/>
                <w:bCs/>
                <w:spacing w:val="-6"/>
                <w:sz w:val="24"/>
                <w:szCs w:val="24"/>
              </w:rPr>
              <w:t>备注</w:t>
            </w:r>
          </w:p>
        </w:tc>
      </w:tr>
      <w:tr w14:paraId="57967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1" w:hRule="atLeast"/>
          <w:jc w:val="center"/>
        </w:trPr>
        <w:tc>
          <w:tcPr>
            <w:tcW w:w="864" w:type="dxa"/>
            <w:noWrap w:val="0"/>
            <w:vAlign w:val="top"/>
          </w:tcPr>
          <w:p w14:paraId="09B38E81">
            <w:pPr>
              <w:rPr>
                <w:rFonts w:ascii="Arial"/>
                <w:sz w:val="21"/>
              </w:rPr>
            </w:pPr>
          </w:p>
        </w:tc>
        <w:tc>
          <w:tcPr>
            <w:tcW w:w="2228" w:type="dxa"/>
            <w:noWrap w:val="0"/>
            <w:vAlign w:val="top"/>
          </w:tcPr>
          <w:p w14:paraId="46767CBF">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易燃易爆、剧毒物料的管线(包括管件)进行测厚。</w:t>
            </w:r>
          </w:p>
        </w:tc>
        <w:tc>
          <w:tcPr>
            <w:tcW w:w="3497" w:type="dxa"/>
            <w:noWrap w:val="0"/>
            <w:vAlign w:val="top"/>
          </w:tcPr>
          <w:p w14:paraId="30342E4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存危险化学品的单位，应当对其铺设的危险化学品管道设置明显标志，并对危险化学品管道定期检查、检测。</w:t>
            </w:r>
          </w:p>
        </w:tc>
        <w:tc>
          <w:tcPr>
            <w:tcW w:w="3756" w:type="dxa"/>
            <w:noWrap w:val="0"/>
            <w:vAlign w:val="top"/>
          </w:tcPr>
          <w:p w14:paraId="0683EE16">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(安监总管三〔2013〕88号)七、设备完好性(完整性)。</w:t>
            </w:r>
          </w:p>
          <w:p w14:paraId="02D4EE34">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2.《压力管道定期检验规则一工业管道》(TSG D7005-2018)2定期检验、3安全状况等级评定和附件A工业管道年度检查要求、附件B工业管道定期检验报告。</w:t>
            </w:r>
          </w:p>
          <w:p w14:paraId="03EF47FA">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3.《关于加强化工企业泄漏管理的指导意见》(安监总管三〔2014〕94号)第(十六)条建立和不断完善泄漏检测、报告、处理、消除等闭环管理制度。建立定期检测、报告制度，对于装置中存在泄漏风险的部位，尤其是受冲刷或腐蚀容易减薄的物料管线，要根据泄漏风险程度制定相应的周期性测厚和泄漏检测计划，</w:t>
            </w:r>
          </w:p>
        </w:tc>
        <w:tc>
          <w:tcPr>
            <w:tcW w:w="2629" w:type="dxa"/>
            <w:noWrap w:val="0"/>
            <w:vAlign w:val="top"/>
          </w:tcPr>
          <w:p w14:paraId="0B2B8BC6">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一款第一项有下列情形之一的，由安全生产监督管理部门责令改正，可以处5万元以下的罚款；拒不改正的，处5万元以上10万元以下的罚款；情节严重的，责令停产停业整顿：</w:t>
            </w:r>
          </w:p>
          <w:p w14:paraId="3B11AE7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(一)生产、储存危险化学品的单位未对其铺设的危险化学品管道设置明显的标志，或者未对危险化学品管道定期检查、检测的。</w:t>
            </w:r>
          </w:p>
        </w:tc>
        <w:tc>
          <w:tcPr>
            <w:tcW w:w="1036" w:type="dxa"/>
            <w:noWrap w:val="0"/>
            <w:vAlign w:val="top"/>
          </w:tcPr>
          <w:p w14:paraId="169272CF">
            <w:pPr>
              <w:widowControl/>
              <w:adjustRightInd w:val="0"/>
              <w:snapToGrid w:val="0"/>
              <w:ind w:firstLine="420" w:firstLineChars="200"/>
              <w:rPr>
                <w:rFonts w:hint="eastAsia" w:ascii="宋体" w:hAnsi="宋体" w:cs="宋体"/>
                <w:color w:val="auto"/>
                <w:kern w:val="0"/>
                <w:szCs w:val="21"/>
              </w:rPr>
            </w:pPr>
          </w:p>
        </w:tc>
      </w:tr>
    </w:tbl>
    <w:p w14:paraId="2ACB814B">
      <w:pPr>
        <w:rPr>
          <w:rFonts w:ascii="Arial"/>
          <w:sz w:val="21"/>
        </w:rPr>
      </w:pPr>
    </w:p>
    <w:p w14:paraId="5899A519">
      <w:pPr>
        <w:sectPr>
          <w:footerReference r:id="rId3" w:type="default"/>
          <w:pgSz w:w="16840" w:h="11900"/>
          <w:pgMar w:top="1440" w:right="1080" w:bottom="1440" w:left="1080" w:header="0" w:footer="0" w:gutter="0"/>
          <w:pgNumType w:fmt="decimal"/>
          <w:cols w:space="720" w:num="1"/>
        </w:sectPr>
      </w:pPr>
    </w:p>
    <w:p w14:paraId="4BCE1BDC"/>
    <w:p w14:paraId="555A37C3">
      <w:pPr>
        <w:spacing w:line="9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29"/>
        <w:gridCol w:w="3507"/>
        <w:gridCol w:w="3209"/>
        <w:gridCol w:w="3092"/>
        <w:gridCol w:w="1268"/>
      </w:tblGrid>
      <w:tr w14:paraId="40FFC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74" w:type="dxa"/>
            <w:noWrap w:val="0"/>
            <w:vAlign w:val="top"/>
          </w:tcPr>
          <w:p w14:paraId="5DB6CC89">
            <w:pPr>
              <w:spacing w:before="21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29" w:type="dxa"/>
            <w:noWrap w:val="0"/>
            <w:vAlign w:val="top"/>
          </w:tcPr>
          <w:p w14:paraId="2CDC0A99">
            <w:pPr>
              <w:spacing w:before="85" w:line="219" w:lineRule="auto"/>
              <w:ind w:left="620"/>
              <w:rPr>
                <w:rFonts w:ascii="宋体" w:hAnsi="宋体" w:eastAsia="宋体" w:cs="宋体"/>
                <w:b/>
                <w:bCs/>
                <w:sz w:val="24"/>
                <w:szCs w:val="24"/>
              </w:rPr>
            </w:pPr>
            <w:r>
              <w:rPr>
                <w:rFonts w:ascii="宋体" w:hAnsi="宋体" w:eastAsia="宋体" w:cs="宋体"/>
                <w:b/>
                <w:bCs/>
                <w:spacing w:val="3"/>
                <w:sz w:val="24"/>
                <w:szCs w:val="24"/>
              </w:rPr>
              <w:t>执法检查</w:t>
            </w:r>
          </w:p>
          <w:p w14:paraId="12CD4430">
            <w:pPr>
              <w:spacing w:before="34" w:line="200" w:lineRule="auto"/>
              <w:ind w:left="380"/>
              <w:rPr>
                <w:rFonts w:ascii="宋体" w:hAnsi="宋体" w:eastAsia="宋体" w:cs="宋体"/>
                <w:b/>
                <w:bCs/>
                <w:sz w:val="24"/>
                <w:szCs w:val="24"/>
              </w:rPr>
            </w:pPr>
            <w:r>
              <w:rPr>
                <w:rFonts w:ascii="宋体" w:hAnsi="宋体" w:eastAsia="宋体" w:cs="宋体"/>
                <w:b/>
                <w:bCs/>
                <w:spacing w:val="2"/>
                <w:sz w:val="24"/>
                <w:szCs w:val="24"/>
              </w:rPr>
              <w:t>重点事项内容</w:t>
            </w:r>
          </w:p>
        </w:tc>
        <w:tc>
          <w:tcPr>
            <w:tcW w:w="3507" w:type="dxa"/>
            <w:noWrap w:val="0"/>
            <w:vAlign w:val="top"/>
          </w:tcPr>
          <w:p w14:paraId="6E6EB884">
            <w:pPr>
              <w:spacing w:before="213" w:line="219" w:lineRule="auto"/>
              <w:ind w:left="1051"/>
              <w:rPr>
                <w:rFonts w:ascii="宋体" w:hAnsi="宋体" w:eastAsia="宋体" w:cs="宋体"/>
                <w:b/>
                <w:bCs/>
                <w:sz w:val="24"/>
                <w:szCs w:val="24"/>
              </w:rPr>
            </w:pPr>
            <w:r>
              <w:rPr>
                <w:rFonts w:ascii="宋体" w:hAnsi="宋体" w:eastAsia="宋体" w:cs="宋体"/>
                <w:b/>
                <w:bCs/>
                <w:spacing w:val="2"/>
                <w:sz w:val="24"/>
                <w:szCs w:val="24"/>
              </w:rPr>
              <w:t>执法检查依据</w:t>
            </w:r>
          </w:p>
        </w:tc>
        <w:tc>
          <w:tcPr>
            <w:tcW w:w="3209" w:type="dxa"/>
            <w:noWrap w:val="0"/>
            <w:vAlign w:val="top"/>
          </w:tcPr>
          <w:p w14:paraId="241B6D06">
            <w:pPr>
              <w:spacing w:before="75" w:line="220" w:lineRule="auto"/>
              <w:ind w:left="864"/>
              <w:rPr>
                <w:rFonts w:ascii="宋体" w:hAnsi="宋体" w:eastAsia="宋体" w:cs="宋体"/>
                <w:b/>
                <w:bCs/>
                <w:sz w:val="24"/>
                <w:szCs w:val="24"/>
              </w:rPr>
            </w:pPr>
            <w:r>
              <w:rPr>
                <w:rFonts w:ascii="宋体" w:hAnsi="宋体" w:eastAsia="宋体" w:cs="宋体"/>
                <w:b/>
                <w:bCs/>
                <w:spacing w:val="-2"/>
                <w:sz w:val="24"/>
                <w:szCs w:val="24"/>
              </w:rPr>
              <w:t>有关规范性</w:t>
            </w:r>
          </w:p>
          <w:p w14:paraId="4A6EC1A7">
            <w:pPr>
              <w:spacing w:before="52" w:line="192" w:lineRule="auto"/>
              <w:ind w:left="604"/>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3092" w:type="dxa"/>
            <w:noWrap w:val="0"/>
            <w:vAlign w:val="top"/>
          </w:tcPr>
          <w:p w14:paraId="7379EE7A">
            <w:pPr>
              <w:spacing w:before="213" w:line="219" w:lineRule="auto"/>
              <w:ind w:left="956"/>
              <w:rPr>
                <w:rFonts w:ascii="宋体" w:hAnsi="宋体" w:eastAsia="宋体" w:cs="宋体"/>
                <w:b/>
                <w:bCs/>
                <w:sz w:val="24"/>
                <w:szCs w:val="24"/>
              </w:rPr>
            </w:pPr>
            <w:r>
              <w:rPr>
                <w:rFonts w:ascii="宋体" w:hAnsi="宋体" w:eastAsia="宋体" w:cs="宋体"/>
                <w:b/>
                <w:bCs/>
                <w:spacing w:val="3"/>
                <w:sz w:val="24"/>
                <w:szCs w:val="24"/>
              </w:rPr>
              <w:t>处罚依据</w:t>
            </w:r>
          </w:p>
        </w:tc>
        <w:tc>
          <w:tcPr>
            <w:tcW w:w="1268" w:type="dxa"/>
            <w:noWrap w:val="0"/>
            <w:vAlign w:val="top"/>
          </w:tcPr>
          <w:p w14:paraId="77C55846">
            <w:pPr>
              <w:spacing w:before="212" w:line="221" w:lineRule="auto"/>
              <w:ind w:left="382"/>
              <w:rPr>
                <w:rFonts w:ascii="宋体" w:hAnsi="宋体" w:eastAsia="宋体" w:cs="宋体"/>
                <w:b/>
                <w:bCs/>
                <w:sz w:val="24"/>
                <w:szCs w:val="24"/>
              </w:rPr>
            </w:pPr>
            <w:r>
              <w:rPr>
                <w:rFonts w:ascii="宋体" w:hAnsi="宋体" w:eastAsia="宋体" w:cs="宋体"/>
                <w:b/>
                <w:bCs/>
                <w:spacing w:val="-6"/>
                <w:sz w:val="24"/>
                <w:szCs w:val="24"/>
              </w:rPr>
              <w:t>备注</w:t>
            </w:r>
          </w:p>
        </w:tc>
      </w:tr>
      <w:tr w14:paraId="31BEF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5" w:hRule="atLeast"/>
          <w:jc w:val="center"/>
        </w:trPr>
        <w:tc>
          <w:tcPr>
            <w:tcW w:w="874" w:type="dxa"/>
            <w:noWrap w:val="0"/>
            <w:vAlign w:val="top"/>
          </w:tcPr>
          <w:p w14:paraId="738B27C7">
            <w:pPr>
              <w:rPr>
                <w:rFonts w:ascii="Arial"/>
                <w:sz w:val="21"/>
              </w:rPr>
            </w:pPr>
          </w:p>
        </w:tc>
        <w:tc>
          <w:tcPr>
            <w:tcW w:w="2229" w:type="dxa"/>
            <w:noWrap w:val="0"/>
            <w:vAlign w:val="top"/>
          </w:tcPr>
          <w:p w14:paraId="58D5EAED">
            <w:pPr>
              <w:rPr>
                <w:rFonts w:ascii="Arial"/>
                <w:sz w:val="21"/>
              </w:rPr>
            </w:pPr>
          </w:p>
        </w:tc>
        <w:tc>
          <w:tcPr>
            <w:tcW w:w="3507" w:type="dxa"/>
            <w:noWrap w:val="0"/>
            <w:vAlign w:val="top"/>
          </w:tcPr>
          <w:p w14:paraId="018073F7">
            <w:pPr>
              <w:rPr>
                <w:rFonts w:ascii="Arial"/>
                <w:sz w:val="21"/>
              </w:rPr>
            </w:pPr>
          </w:p>
        </w:tc>
        <w:tc>
          <w:tcPr>
            <w:tcW w:w="3209" w:type="dxa"/>
            <w:noWrap w:val="0"/>
            <w:vAlign w:val="top"/>
          </w:tcPr>
          <w:p w14:paraId="05792B3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并定期将检测记录的统计结果上报给企业的生产、设备和安全管理部门，所有记录数据要真实、完整、准确。企业发现泄漏要立即处置、及时登记、尽快消除，不能立即处置的要采取相应的防范措施并建立设备泄漏台账，限期整改。加强对有关管理规定、操作规程、作业指导书和记录文件以及采用的检测和评估技术标准等泄漏管理文件的管理。</w:t>
            </w:r>
          </w:p>
        </w:tc>
        <w:tc>
          <w:tcPr>
            <w:tcW w:w="3092" w:type="dxa"/>
            <w:noWrap w:val="0"/>
            <w:vAlign w:val="top"/>
          </w:tcPr>
          <w:p w14:paraId="218A33C4">
            <w:pPr>
              <w:widowControl/>
              <w:adjustRightInd w:val="0"/>
              <w:snapToGrid w:val="0"/>
              <w:ind w:firstLine="420" w:firstLineChars="200"/>
              <w:rPr>
                <w:rFonts w:hint="eastAsia" w:ascii="宋体" w:hAnsi="宋体" w:cs="宋体"/>
                <w:color w:val="auto"/>
                <w:kern w:val="0"/>
                <w:szCs w:val="21"/>
              </w:rPr>
            </w:pPr>
          </w:p>
        </w:tc>
        <w:tc>
          <w:tcPr>
            <w:tcW w:w="1268" w:type="dxa"/>
            <w:noWrap w:val="0"/>
            <w:vAlign w:val="top"/>
          </w:tcPr>
          <w:p w14:paraId="48A48EC5">
            <w:pPr>
              <w:widowControl/>
              <w:adjustRightInd w:val="0"/>
              <w:snapToGrid w:val="0"/>
              <w:ind w:firstLine="420" w:firstLineChars="200"/>
              <w:rPr>
                <w:rFonts w:hint="eastAsia" w:ascii="宋体" w:hAnsi="宋体" w:cs="宋体"/>
                <w:color w:val="auto"/>
                <w:kern w:val="0"/>
                <w:szCs w:val="21"/>
              </w:rPr>
            </w:pPr>
          </w:p>
        </w:tc>
      </w:tr>
      <w:tr w14:paraId="06F46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6" w:hRule="atLeast"/>
          <w:jc w:val="center"/>
        </w:trPr>
        <w:tc>
          <w:tcPr>
            <w:tcW w:w="874" w:type="dxa"/>
            <w:noWrap w:val="0"/>
            <w:vAlign w:val="top"/>
          </w:tcPr>
          <w:p w14:paraId="18D9D9DC">
            <w:pPr>
              <w:spacing w:line="264" w:lineRule="auto"/>
              <w:rPr>
                <w:rFonts w:ascii="Arial"/>
                <w:sz w:val="21"/>
              </w:rPr>
            </w:pPr>
          </w:p>
          <w:p w14:paraId="77DEECF8">
            <w:pPr>
              <w:spacing w:line="264" w:lineRule="auto"/>
              <w:rPr>
                <w:rFonts w:ascii="Arial"/>
                <w:sz w:val="21"/>
              </w:rPr>
            </w:pPr>
          </w:p>
          <w:p w14:paraId="5340195A">
            <w:pPr>
              <w:spacing w:line="264" w:lineRule="auto"/>
              <w:rPr>
                <w:rFonts w:ascii="Arial"/>
                <w:sz w:val="21"/>
              </w:rPr>
            </w:pPr>
          </w:p>
          <w:p w14:paraId="7A254343">
            <w:pPr>
              <w:spacing w:line="265" w:lineRule="auto"/>
              <w:rPr>
                <w:rFonts w:ascii="Arial"/>
                <w:sz w:val="21"/>
              </w:rPr>
            </w:pPr>
          </w:p>
          <w:p w14:paraId="7BA7128F">
            <w:pPr>
              <w:spacing w:line="265" w:lineRule="auto"/>
              <w:rPr>
                <w:rFonts w:ascii="Arial"/>
                <w:sz w:val="21"/>
              </w:rPr>
            </w:pPr>
          </w:p>
          <w:p w14:paraId="29E69732">
            <w:pPr>
              <w:spacing w:before="78" w:line="183" w:lineRule="auto"/>
              <w:ind w:left="3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229" w:type="dxa"/>
            <w:noWrap w:val="0"/>
            <w:vAlign w:val="top"/>
          </w:tcPr>
          <w:p w14:paraId="052D5FD2">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涉及易燃易爆、剧</w:t>
            </w:r>
          </w:p>
          <w:p w14:paraId="115CB29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毒物料的设备、管线及管件发生泄</w:t>
            </w:r>
          </w:p>
          <w:p w14:paraId="44EF6AD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漏，未妥善处置仍</w:t>
            </w:r>
          </w:p>
          <w:p w14:paraId="5D5CA09C">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继续运行，或者打卡子带“病”运行、</w:t>
            </w:r>
          </w:p>
          <w:p w14:paraId="4F5FD428">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未采取有效措施彻底消除隐患。</w:t>
            </w:r>
          </w:p>
        </w:tc>
        <w:tc>
          <w:tcPr>
            <w:tcW w:w="3507" w:type="dxa"/>
            <w:noWrap w:val="0"/>
            <w:vAlign w:val="top"/>
          </w:tcPr>
          <w:p w14:paraId="59F20BF5">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w:t>
            </w:r>
          </w:p>
        </w:tc>
        <w:tc>
          <w:tcPr>
            <w:tcW w:w="3209" w:type="dxa"/>
            <w:noWrap w:val="0"/>
            <w:vAlign w:val="top"/>
          </w:tcPr>
          <w:p w14:paraId="01B9E911">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1.《关于加强化工过程安全管理的指导意见》(安监总管三〔2013〕88号)七、设备完好性(完整性)以及十二、事故和事件管理。</w:t>
            </w:r>
          </w:p>
          <w:p w14:paraId="5FD2D93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2.《关于加强化工企业泄漏管理的指导意见》(安监总管三〔2014〕94</w:t>
            </w:r>
          </w:p>
        </w:tc>
        <w:tc>
          <w:tcPr>
            <w:tcW w:w="3092" w:type="dxa"/>
            <w:noWrap w:val="0"/>
            <w:vAlign w:val="top"/>
          </w:tcPr>
          <w:p w14:paraId="5CF24D71">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《中华人民共和国安全生产法》第一百零二条生产经营单位未采取措施消除事故隐患的，责令立即消除或者限期消除，处五万元以下的罚款；生产经营单位拒不执行的，责令停产停业整顿，对其直接负责的主管</w:t>
            </w:r>
          </w:p>
        </w:tc>
        <w:tc>
          <w:tcPr>
            <w:tcW w:w="1268" w:type="dxa"/>
            <w:noWrap w:val="0"/>
            <w:vAlign w:val="top"/>
          </w:tcPr>
          <w:p w14:paraId="683A3796">
            <w:pPr>
              <w:widowControl/>
              <w:adjustRightInd w:val="0"/>
              <w:snapToGrid w:val="0"/>
              <w:ind w:firstLine="420" w:firstLineChars="200"/>
              <w:rPr>
                <w:rFonts w:hint="eastAsia" w:ascii="宋体" w:hAnsi="宋体" w:cs="宋体"/>
                <w:color w:val="auto"/>
                <w:kern w:val="0"/>
                <w:szCs w:val="21"/>
              </w:rPr>
            </w:pPr>
          </w:p>
          <w:p w14:paraId="36C5DC04">
            <w:pPr>
              <w:widowControl/>
              <w:adjustRightInd w:val="0"/>
              <w:snapToGrid w:val="0"/>
              <w:ind w:firstLine="420" w:firstLineChars="200"/>
              <w:rPr>
                <w:rFonts w:hint="eastAsia" w:ascii="宋体" w:hAnsi="宋体" w:cs="宋体"/>
                <w:color w:val="auto"/>
                <w:kern w:val="0"/>
                <w:szCs w:val="21"/>
              </w:rPr>
            </w:pPr>
          </w:p>
          <w:p w14:paraId="469E0EB7">
            <w:pPr>
              <w:widowControl/>
              <w:adjustRightInd w:val="0"/>
              <w:snapToGrid w:val="0"/>
              <w:ind w:firstLine="420" w:firstLineChars="200"/>
              <w:rPr>
                <w:rFonts w:hint="eastAsia" w:ascii="宋体" w:hAnsi="宋体" w:cs="宋体"/>
                <w:color w:val="auto"/>
                <w:kern w:val="0"/>
                <w:szCs w:val="21"/>
              </w:rPr>
            </w:pPr>
          </w:p>
          <w:p w14:paraId="55A7ED64">
            <w:pPr>
              <w:widowControl/>
              <w:adjustRightInd w:val="0"/>
              <w:snapToGrid w:val="0"/>
              <w:ind w:firstLine="420" w:firstLineChars="200"/>
              <w:rPr>
                <w:rFonts w:hint="eastAsia" w:ascii="宋体" w:hAnsi="宋体" w:cs="宋体"/>
                <w:color w:val="auto"/>
                <w:kern w:val="0"/>
                <w:szCs w:val="21"/>
              </w:rPr>
            </w:pPr>
          </w:p>
          <w:p w14:paraId="5093A8DE">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生产装置带“病”运行管理</w:t>
            </w:r>
          </w:p>
        </w:tc>
      </w:tr>
    </w:tbl>
    <w:p w14:paraId="1D828DF4">
      <w:pPr>
        <w:rPr>
          <w:rFonts w:ascii="Arial"/>
          <w:sz w:val="21"/>
        </w:rPr>
      </w:pPr>
    </w:p>
    <w:p w14:paraId="2C785BD1">
      <w:pPr>
        <w:sectPr>
          <w:pgSz w:w="16840" w:h="11900"/>
          <w:pgMar w:top="1440" w:right="1080" w:bottom="1440" w:left="1080" w:header="0" w:footer="0" w:gutter="0"/>
          <w:pgNumType w:fmt="decimal"/>
          <w:cols w:space="720" w:num="1"/>
        </w:sectPr>
      </w:pPr>
    </w:p>
    <w:p w14:paraId="22BA15C4"/>
    <w:p w14:paraId="4315D33B"/>
    <w:p w14:paraId="37712A8F">
      <w:pPr>
        <w:spacing w:line="94" w:lineRule="auto"/>
        <w:rPr>
          <w:rFonts w:ascii="Arial"/>
          <w:sz w:val="2"/>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497"/>
        <w:gridCol w:w="3797"/>
        <w:gridCol w:w="1919"/>
        <w:gridCol w:w="1244"/>
      </w:tblGrid>
      <w:tr w14:paraId="602E4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64" w:type="dxa"/>
            <w:noWrap w:val="0"/>
            <w:vAlign w:val="top"/>
          </w:tcPr>
          <w:p w14:paraId="25BBECF5">
            <w:pPr>
              <w:spacing w:before="21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28" w:type="dxa"/>
            <w:noWrap w:val="0"/>
            <w:vAlign w:val="top"/>
          </w:tcPr>
          <w:p w14:paraId="5B38134F">
            <w:pPr>
              <w:spacing w:before="85" w:line="219" w:lineRule="auto"/>
              <w:ind w:left="621"/>
              <w:rPr>
                <w:rFonts w:ascii="宋体" w:hAnsi="宋体" w:eastAsia="宋体" w:cs="宋体"/>
                <w:b/>
                <w:bCs/>
                <w:sz w:val="24"/>
                <w:szCs w:val="24"/>
              </w:rPr>
            </w:pPr>
            <w:r>
              <w:rPr>
                <w:rFonts w:ascii="宋体" w:hAnsi="宋体" w:eastAsia="宋体" w:cs="宋体"/>
                <w:b/>
                <w:bCs/>
                <w:spacing w:val="3"/>
                <w:sz w:val="24"/>
                <w:szCs w:val="24"/>
              </w:rPr>
              <w:t>执法检查</w:t>
            </w:r>
          </w:p>
          <w:p w14:paraId="5DFFE5EF">
            <w:pPr>
              <w:spacing w:before="21" w:line="210" w:lineRule="auto"/>
              <w:ind w:left="384"/>
              <w:rPr>
                <w:rFonts w:ascii="宋体" w:hAnsi="宋体" w:eastAsia="宋体" w:cs="宋体"/>
                <w:b/>
                <w:bCs/>
                <w:sz w:val="24"/>
                <w:szCs w:val="24"/>
              </w:rPr>
            </w:pPr>
            <w:r>
              <w:rPr>
                <w:rFonts w:ascii="宋体" w:hAnsi="宋体" w:eastAsia="宋体" w:cs="宋体"/>
                <w:b/>
                <w:bCs/>
                <w:spacing w:val="-4"/>
                <w:sz w:val="24"/>
                <w:szCs w:val="24"/>
              </w:rPr>
              <w:t>重点事项内容</w:t>
            </w:r>
          </w:p>
        </w:tc>
        <w:tc>
          <w:tcPr>
            <w:tcW w:w="3497" w:type="dxa"/>
            <w:noWrap w:val="0"/>
            <w:vAlign w:val="top"/>
          </w:tcPr>
          <w:p w14:paraId="7229D4C1">
            <w:pPr>
              <w:spacing w:before="209" w:line="219" w:lineRule="auto"/>
              <w:ind w:left="1026"/>
              <w:rPr>
                <w:rFonts w:ascii="宋体" w:hAnsi="宋体" w:eastAsia="宋体" w:cs="宋体"/>
                <w:b/>
                <w:bCs/>
                <w:sz w:val="24"/>
                <w:szCs w:val="24"/>
              </w:rPr>
            </w:pPr>
            <w:r>
              <w:rPr>
                <w:rFonts w:ascii="宋体" w:hAnsi="宋体" w:eastAsia="宋体" w:cs="宋体"/>
                <w:b/>
                <w:bCs/>
                <w:spacing w:val="5"/>
                <w:sz w:val="24"/>
                <w:szCs w:val="24"/>
              </w:rPr>
              <w:t>执法检查依据</w:t>
            </w:r>
          </w:p>
        </w:tc>
        <w:tc>
          <w:tcPr>
            <w:tcW w:w="3797" w:type="dxa"/>
            <w:noWrap w:val="0"/>
            <w:vAlign w:val="top"/>
          </w:tcPr>
          <w:p w14:paraId="0AA544F1">
            <w:pPr>
              <w:spacing w:before="82" w:line="220" w:lineRule="auto"/>
              <w:ind w:left="849"/>
              <w:rPr>
                <w:rFonts w:ascii="宋体" w:hAnsi="宋体" w:eastAsia="宋体" w:cs="宋体"/>
                <w:b/>
                <w:bCs/>
                <w:sz w:val="24"/>
                <w:szCs w:val="24"/>
              </w:rPr>
            </w:pPr>
            <w:r>
              <w:rPr>
                <w:rFonts w:ascii="宋体" w:hAnsi="宋体" w:eastAsia="宋体" w:cs="宋体"/>
                <w:b/>
                <w:bCs/>
                <w:spacing w:val="-5"/>
                <w:sz w:val="24"/>
                <w:szCs w:val="24"/>
              </w:rPr>
              <w:t>有关规范性</w:t>
            </w:r>
          </w:p>
          <w:p w14:paraId="08C98047">
            <w:pPr>
              <w:spacing w:before="52" w:line="187" w:lineRule="auto"/>
              <w:ind w:left="609"/>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1919" w:type="dxa"/>
            <w:noWrap w:val="0"/>
            <w:vAlign w:val="top"/>
          </w:tcPr>
          <w:p w14:paraId="65167674">
            <w:pPr>
              <w:spacing w:before="209" w:line="219" w:lineRule="auto"/>
              <w:ind w:firstLine="249" w:firstLineChars="100"/>
              <w:rPr>
                <w:rFonts w:ascii="宋体" w:hAnsi="宋体" w:eastAsia="宋体" w:cs="宋体"/>
                <w:b/>
                <w:bCs/>
                <w:sz w:val="24"/>
                <w:szCs w:val="24"/>
              </w:rPr>
            </w:pPr>
            <w:r>
              <w:rPr>
                <w:rFonts w:ascii="宋体" w:hAnsi="宋体" w:eastAsia="宋体" w:cs="宋体"/>
                <w:b/>
                <w:bCs/>
                <w:spacing w:val="4"/>
                <w:sz w:val="24"/>
                <w:szCs w:val="24"/>
              </w:rPr>
              <w:t>处罚依据</w:t>
            </w:r>
          </w:p>
        </w:tc>
        <w:tc>
          <w:tcPr>
            <w:tcW w:w="1244" w:type="dxa"/>
            <w:noWrap w:val="0"/>
            <w:vAlign w:val="top"/>
          </w:tcPr>
          <w:p w14:paraId="2DD2CE88">
            <w:pPr>
              <w:spacing w:before="212" w:line="221" w:lineRule="auto"/>
              <w:ind w:left="383"/>
              <w:rPr>
                <w:rFonts w:ascii="宋体" w:hAnsi="宋体" w:eastAsia="宋体" w:cs="宋体"/>
                <w:b/>
                <w:bCs/>
                <w:sz w:val="24"/>
                <w:szCs w:val="24"/>
              </w:rPr>
            </w:pPr>
            <w:r>
              <w:rPr>
                <w:rFonts w:ascii="宋体" w:hAnsi="宋体" w:eastAsia="宋体" w:cs="宋体"/>
                <w:b/>
                <w:bCs/>
                <w:spacing w:val="-6"/>
                <w:sz w:val="24"/>
                <w:szCs w:val="24"/>
              </w:rPr>
              <w:t>备注</w:t>
            </w:r>
          </w:p>
        </w:tc>
      </w:tr>
      <w:tr w14:paraId="20EC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3" w:hRule="atLeast"/>
          <w:jc w:val="center"/>
        </w:trPr>
        <w:tc>
          <w:tcPr>
            <w:tcW w:w="864" w:type="dxa"/>
            <w:noWrap w:val="0"/>
            <w:vAlign w:val="top"/>
          </w:tcPr>
          <w:p w14:paraId="337E859F">
            <w:pPr>
              <w:rPr>
                <w:rFonts w:ascii="Arial"/>
                <w:sz w:val="21"/>
              </w:rPr>
            </w:pPr>
          </w:p>
        </w:tc>
        <w:tc>
          <w:tcPr>
            <w:tcW w:w="2228" w:type="dxa"/>
            <w:noWrap w:val="0"/>
            <w:vAlign w:val="top"/>
          </w:tcPr>
          <w:p w14:paraId="130DC119">
            <w:pPr>
              <w:rPr>
                <w:rFonts w:ascii="Arial"/>
                <w:sz w:val="21"/>
              </w:rPr>
            </w:pPr>
          </w:p>
        </w:tc>
        <w:tc>
          <w:tcPr>
            <w:tcW w:w="3497" w:type="dxa"/>
            <w:noWrap w:val="0"/>
            <w:vAlign w:val="top"/>
          </w:tcPr>
          <w:p w14:paraId="36EDF4CB">
            <w:pPr>
              <w:spacing w:before="111" w:line="237" w:lineRule="auto"/>
              <w:ind w:left="143" w:right="2"/>
              <w:jc w:val="both"/>
              <w:rPr>
                <w:rFonts w:ascii="宋体" w:hAnsi="宋体" w:eastAsia="宋体" w:cs="宋体"/>
                <w:sz w:val="21"/>
                <w:szCs w:val="21"/>
              </w:rPr>
            </w:pPr>
            <w:r>
              <w:rPr>
                <w:rFonts w:ascii="宋体" w:hAnsi="宋体" w:eastAsia="宋体" w:cs="宋体"/>
                <w:spacing w:val="-2"/>
                <w:sz w:val="21"/>
                <w:szCs w:val="21"/>
              </w:rPr>
              <w:t>员通报。其中，重大事故隐患排</w:t>
            </w:r>
            <w:r>
              <w:rPr>
                <w:rFonts w:ascii="宋体" w:hAnsi="宋体" w:eastAsia="宋体" w:cs="宋体"/>
                <w:spacing w:val="11"/>
                <w:sz w:val="21"/>
                <w:szCs w:val="21"/>
              </w:rPr>
              <w:t>查治理情况应当及时向负有安</w:t>
            </w:r>
            <w:r>
              <w:rPr>
                <w:rFonts w:ascii="宋体" w:hAnsi="宋体" w:eastAsia="宋体" w:cs="宋体"/>
                <w:spacing w:val="13"/>
                <w:sz w:val="21"/>
                <w:szCs w:val="21"/>
              </w:rPr>
              <w:t>全生产监督管理职责的部门和</w:t>
            </w:r>
            <w:r>
              <w:rPr>
                <w:rFonts w:ascii="宋体" w:hAnsi="宋体" w:eastAsia="宋体" w:cs="宋体"/>
                <w:spacing w:val="11"/>
                <w:sz w:val="21"/>
                <w:szCs w:val="21"/>
              </w:rPr>
              <w:t>职工大会或者职工代表大会报</w:t>
            </w:r>
            <w:r>
              <w:rPr>
                <w:rFonts w:ascii="宋体" w:hAnsi="宋体" w:eastAsia="宋体" w:cs="宋体"/>
                <w:spacing w:val="-8"/>
                <w:sz w:val="21"/>
                <w:szCs w:val="21"/>
              </w:rPr>
              <w:t>告。</w:t>
            </w:r>
          </w:p>
        </w:tc>
        <w:tc>
          <w:tcPr>
            <w:tcW w:w="3797" w:type="dxa"/>
            <w:noWrap w:val="0"/>
            <w:vAlign w:val="top"/>
          </w:tcPr>
          <w:p w14:paraId="5B954D73">
            <w:pPr>
              <w:spacing w:before="109" w:line="254" w:lineRule="auto"/>
              <w:ind w:left="136"/>
              <w:jc w:val="both"/>
              <w:rPr>
                <w:rFonts w:ascii="宋体" w:hAnsi="宋体" w:eastAsia="宋体" w:cs="宋体"/>
                <w:sz w:val="21"/>
                <w:szCs w:val="21"/>
              </w:rPr>
            </w:pPr>
            <w:r>
              <w:rPr>
                <w:rFonts w:ascii="宋体" w:hAnsi="宋体" w:eastAsia="宋体" w:cs="宋体"/>
                <w:spacing w:val="23"/>
                <w:sz w:val="21"/>
                <w:szCs w:val="21"/>
              </w:rPr>
              <w:t>号)第(十六)条建立</w:t>
            </w:r>
            <w:r>
              <w:rPr>
                <w:rFonts w:ascii="宋体" w:hAnsi="宋体" w:eastAsia="宋体" w:cs="宋体"/>
                <w:spacing w:val="1"/>
                <w:sz w:val="21"/>
                <w:szCs w:val="21"/>
              </w:rPr>
              <w:t>和不断完善泄漏检测、报告、处理、消除等闭环管</w:t>
            </w:r>
            <w:r>
              <w:rPr>
                <w:rFonts w:ascii="宋体" w:hAnsi="宋体" w:eastAsia="宋体" w:cs="宋体"/>
                <w:spacing w:val="10"/>
                <w:sz w:val="21"/>
                <w:szCs w:val="21"/>
              </w:rPr>
              <w:t>理制度。建立定期检测、</w:t>
            </w:r>
            <w:r>
              <w:rPr>
                <w:rFonts w:ascii="宋体" w:hAnsi="宋体" w:eastAsia="宋体" w:cs="宋体"/>
                <w:spacing w:val="-1"/>
                <w:sz w:val="21"/>
                <w:szCs w:val="21"/>
              </w:rPr>
              <w:t>报告制度，对于装置中存在泄漏风险的部位，尤其</w:t>
            </w:r>
            <w:r>
              <w:rPr>
                <w:rFonts w:ascii="宋体" w:hAnsi="宋体" w:eastAsia="宋体" w:cs="宋体"/>
                <w:spacing w:val="1"/>
                <w:sz w:val="21"/>
                <w:szCs w:val="21"/>
              </w:rPr>
              <w:t>是受冲刷或腐蚀容易减薄的物料管线，要根据泄漏风险程度制定相应的周期</w:t>
            </w:r>
            <w:r>
              <w:rPr>
                <w:rFonts w:ascii="宋体" w:hAnsi="宋体" w:eastAsia="宋体" w:cs="宋体"/>
                <w:spacing w:val="10"/>
                <w:sz w:val="21"/>
                <w:szCs w:val="21"/>
              </w:rPr>
              <w:t>性测厚和泄漏检测计划，</w:t>
            </w:r>
            <w:r>
              <w:rPr>
                <w:rFonts w:ascii="宋体" w:hAnsi="宋体" w:eastAsia="宋体" w:cs="宋体"/>
                <w:spacing w:val="1"/>
                <w:sz w:val="21"/>
                <w:szCs w:val="21"/>
              </w:rPr>
              <w:t>并定期将检测记录的统计</w:t>
            </w:r>
            <w:r>
              <w:rPr>
                <w:rFonts w:ascii="宋体" w:hAnsi="宋体" w:eastAsia="宋体" w:cs="宋体"/>
                <w:spacing w:val="10"/>
                <w:sz w:val="21"/>
                <w:szCs w:val="21"/>
              </w:rPr>
              <w:t>结果上报给企业的生产、</w:t>
            </w:r>
            <w:r>
              <w:rPr>
                <w:rFonts w:ascii="宋体" w:hAnsi="宋体" w:eastAsia="宋体" w:cs="宋体"/>
                <w:spacing w:val="1"/>
                <w:sz w:val="21"/>
                <w:szCs w:val="21"/>
              </w:rPr>
              <w:t>设备和安全管理部门，所</w:t>
            </w:r>
            <w:r>
              <w:rPr>
                <w:rFonts w:ascii="宋体" w:hAnsi="宋体" w:eastAsia="宋体" w:cs="宋体"/>
                <w:spacing w:val="-4"/>
                <w:sz w:val="21"/>
                <w:szCs w:val="21"/>
              </w:rPr>
              <w:t>有记录数据要真实、完整、</w:t>
            </w:r>
            <w:r>
              <w:rPr>
                <w:rFonts w:ascii="宋体" w:hAnsi="宋体" w:eastAsia="宋体" w:cs="宋体"/>
                <w:spacing w:val="1"/>
                <w:sz w:val="21"/>
                <w:szCs w:val="21"/>
              </w:rPr>
              <w:t>准确。企业发现泄漏要立即处置、及时登记、尽快消除，不能立即处置的要</w:t>
            </w:r>
            <w:r>
              <w:rPr>
                <w:rFonts w:ascii="宋体" w:hAnsi="宋体" w:eastAsia="宋体" w:cs="宋体"/>
                <w:spacing w:val="-1"/>
                <w:sz w:val="21"/>
                <w:szCs w:val="21"/>
              </w:rPr>
              <w:t>采取相应的防范措施并建</w:t>
            </w:r>
            <w:r>
              <w:rPr>
                <w:rFonts w:ascii="宋体" w:hAnsi="宋体" w:eastAsia="宋体" w:cs="宋体"/>
                <w:spacing w:val="1"/>
                <w:sz w:val="21"/>
                <w:szCs w:val="21"/>
              </w:rPr>
              <w:t>立设备泄漏台账，限期整</w:t>
            </w:r>
            <w:r>
              <w:rPr>
                <w:rFonts w:ascii="宋体" w:hAnsi="宋体" w:eastAsia="宋体" w:cs="宋体"/>
                <w:spacing w:val="-4"/>
                <w:sz w:val="21"/>
                <w:szCs w:val="21"/>
              </w:rPr>
              <w:t>改。加强对有关管理规定、</w:t>
            </w:r>
            <w:r>
              <w:rPr>
                <w:rFonts w:ascii="宋体" w:hAnsi="宋体" w:eastAsia="宋体" w:cs="宋体"/>
                <w:spacing w:val="2"/>
                <w:sz w:val="21"/>
                <w:szCs w:val="21"/>
              </w:rPr>
              <w:t>操作规程、作业指导书和记录文件以及采用的检测</w:t>
            </w:r>
            <w:r>
              <w:rPr>
                <w:rFonts w:ascii="宋体" w:hAnsi="宋体" w:eastAsia="宋体" w:cs="宋体"/>
                <w:spacing w:val="1"/>
                <w:sz w:val="21"/>
                <w:szCs w:val="21"/>
              </w:rPr>
              <w:t>和评估技术标准等泄漏管</w:t>
            </w:r>
          </w:p>
        </w:tc>
        <w:tc>
          <w:tcPr>
            <w:tcW w:w="1919" w:type="dxa"/>
            <w:noWrap w:val="0"/>
            <w:vAlign w:val="top"/>
          </w:tcPr>
          <w:p w14:paraId="212F07F3">
            <w:pPr>
              <w:spacing w:before="97" w:line="241" w:lineRule="auto"/>
              <w:ind w:left="158" w:right="28"/>
              <w:jc w:val="both"/>
              <w:rPr>
                <w:rFonts w:ascii="宋体" w:hAnsi="宋体" w:eastAsia="宋体" w:cs="宋体"/>
                <w:sz w:val="21"/>
                <w:szCs w:val="21"/>
              </w:rPr>
            </w:pPr>
            <w:r>
              <w:rPr>
                <w:rFonts w:ascii="宋体" w:hAnsi="宋体" w:eastAsia="宋体" w:cs="宋体"/>
                <w:spacing w:val="23"/>
                <w:sz w:val="21"/>
                <w:szCs w:val="21"/>
              </w:rPr>
              <w:t>人员和其他直接责任人</w:t>
            </w:r>
            <w:r>
              <w:rPr>
                <w:rFonts w:ascii="宋体" w:hAnsi="宋体" w:eastAsia="宋体" w:cs="宋体"/>
                <w:spacing w:val="21"/>
                <w:sz w:val="21"/>
                <w:szCs w:val="21"/>
              </w:rPr>
              <w:t>员处五万元以上十万元</w:t>
            </w:r>
            <w:r>
              <w:rPr>
                <w:rFonts w:ascii="宋体" w:hAnsi="宋体" w:eastAsia="宋体" w:cs="宋体"/>
                <w:spacing w:val="19"/>
                <w:sz w:val="21"/>
                <w:szCs w:val="21"/>
              </w:rPr>
              <w:t>以下的罚款；构成犯罪</w:t>
            </w:r>
            <w:r>
              <w:rPr>
                <w:rFonts w:ascii="宋体" w:hAnsi="宋体" w:eastAsia="宋体" w:cs="宋体"/>
                <w:spacing w:val="1"/>
                <w:sz w:val="21"/>
                <w:szCs w:val="21"/>
              </w:rPr>
              <w:t>的，依照刑法有关规定追</w:t>
            </w:r>
            <w:r>
              <w:rPr>
                <w:rFonts w:ascii="宋体" w:hAnsi="宋体" w:eastAsia="宋体" w:cs="宋体"/>
                <w:spacing w:val="19"/>
                <w:sz w:val="21"/>
                <w:szCs w:val="21"/>
              </w:rPr>
              <w:t>究刑事责任。</w:t>
            </w:r>
          </w:p>
        </w:tc>
        <w:tc>
          <w:tcPr>
            <w:tcW w:w="1244" w:type="dxa"/>
            <w:noWrap w:val="0"/>
            <w:vAlign w:val="top"/>
          </w:tcPr>
          <w:p w14:paraId="33DCCE35">
            <w:pPr>
              <w:rPr>
                <w:rFonts w:ascii="Arial"/>
                <w:sz w:val="21"/>
              </w:rPr>
            </w:pPr>
          </w:p>
        </w:tc>
      </w:tr>
    </w:tbl>
    <w:p w14:paraId="2101E33C">
      <w:pPr>
        <w:rPr>
          <w:rFonts w:ascii="Arial"/>
          <w:sz w:val="21"/>
        </w:rPr>
      </w:pPr>
    </w:p>
    <w:p w14:paraId="5B7928A9">
      <w:pPr>
        <w:sectPr>
          <w:pgSz w:w="16840" w:h="11900"/>
          <w:pgMar w:top="1440" w:right="1080" w:bottom="1440" w:left="1080" w:header="0" w:footer="0" w:gutter="0"/>
          <w:pgNumType w:fmt="decimal"/>
          <w:cols w:space="720" w:num="1"/>
        </w:sectPr>
      </w:pPr>
    </w:p>
    <w:p w14:paraId="088083FD"/>
    <w:p w14:paraId="29651E77">
      <w:pPr>
        <w:spacing w:line="119" w:lineRule="exact"/>
      </w:pPr>
    </w:p>
    <w:tbl>
      <w:tblPr>
        <w:tblStyle w:val="12"/>
        <w:tblpPr w:leftFromText="180" w:rightFromText="180" w:vertAnchor="text" w:horzAnchor="page" w:tblpX="1621" w:tblpY="12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28"/>
        <w:gridCol w:w="3517"/>
        <w:gridCol w:w="2868"/>
        <w:gridCol w:w="3167"/>
        <w:gridCol w:w="925"/>
      </w:tblGrid>
      <w:tr w14:paraId="7097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4" w:type="dxa"/>
            <w:noWrap w:val="0"/>
            <w:vAlign w:val="top"/>
          </w:tcPr>
          <w:p w14:paraId="47A60B89">
            <w:pPr>
              <w:spacing w:before="22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28" w:type="dxa"/>
            <w:noWrap w:val="0"/>
            <w:vAlign w:val="top"/>
          </w:tcPr>
          <w:p w14:paraId="2E908766">
            <w:pPr>
              <w:spacing w:before="85" w:line="219" w:lineRule="auto"/>
              <w:ind w:left="620"/>
              <w:rPr>
                <w:rFonts w:ascii="宋体" w:hAnsi="宋体" w:eastAsia="宋体" w:cs="宋体"/>
                <w:b/>
                <w:bCs/>
                <w:sz w:val="24"/>
                <w:szCs w:val="24"/>
              </w:rPr>
            </w:pPr>
            <w:r>
              <w:rPr>
                <w:rFonts w:ascii="宋体" w:hAnsi="宋体" w:eastAsia="宋体" w:cs="宋体"/>
                <w:b/>
                <w:bCs/>
                <w:spacing w:val="3"/>
                <w:sz w:val="24"/>
                <w:szCs w:val="24"/>
              </w:rPr>
              <w:t>执法检查</w:t>
            </w:r>
          </w:p>
          <w:p w14:paraId="6C847764">
            <w:pPr>
              <w:spacing w:before="44" w:line="200" w:lineRule="auto"/>
              <w:ind w:left="380"/>
              <w:rPr>
                <w:rFonts w:ascii="宋体" w:hAnsi="宋体" w:eastAsia="宋体" w:cs="宋体"/>
                <w:b/>
                <w:bCs/>
                <w:sz w:val="24"/>
                <w:szCs w:val="24"/>
              </w:rPr>
            </w:pPr>
            <w:r>
              <w:rPr>
                <w:rFonts w:ascii="宋体" w:hAnsi="宋体" w:eastAsia="宋体" w:cs="宋体"/>
                <w:b/>
                <w:bCs/>
                <w:spacing w:val="2"/>
                <w:sz w:val="24"/>
                <w:szCs w:val="24"/>
              </w:rPr>
              <w:t>重点事项内容</w:t>
            </w:r>
          </w:p>
        </w:tc>
        <w:tc>
          <w:tcPr>
            <w:tcW w:w="3517" w:type="dxa"/>
            <w:noWrap w:val="0"/>
            <w:vAlign w:val="top"/>
          </w:tcPr>
          <w:p w14:paraId="6DFEDBEF">
            <w:pPr>
              <w:spacing w:before="223" w:line="219" w:lineRule="auto"/>
              <w:ind w:left="1042"/>
              <w:rPr>
                <w:rFonts w:ascii="宋体" w:hAnsi="宋体" w:eastAsia="宋体" w:cs="宋体"/>
                <w:b/>
                <w:bCs/>
                <w:sz w:val="24"/>
                <w:szCs w:val="24"/>
              </w:rPr>
            </w:pPr>
            <w:r>
              <w:rPr>
                <w:rFonts w:ascii="宋体" w:hAnsi="宋体" w:eastAsia="宋体" w:cs="宋体"/>
                <w:b/>
                <w:bCs/>
                <w:spacing w:val="2"/>
                <w:sz w:val="24"/>
                <w:szCs w:val="24"/>
              </w:rPr>
              <w:t>执法检查依据</w:t>
            </w:r>
          </w:p>
        </w:tc>
        <w:tc>
          <w:tcPr>
            <w:tcW w:w="2868" w:type="dxa"/>
            <w:noWrap w:val="0"/>
            <w:vAlign w:val="top"/>
          </w:tcPr>
          <w:p w14:paraId="78180439">
            <w:pPr>
              <w:spacing w:before="65" w:line="220" w:lineRule="auto"/>
              <w:ind w:left="835"/>
              <w:rPr>
                <w:rFonts w:ascii="宋体" w:hAnsi="宋体" w:eastAsia="宋体" w:cs="宋体"/>
                <w:b/>
                <w:bCs/>
                <w:sz w:val="24"/>
                <w:szCs w:val="24"/>
              </w:rPr>
            </w:pPr>
            <w:r>
              <w:rPr>
                <w:rFonts w:ascii="宋体" w:hAnsi="宋体" w:eastAsia="宋体" w:cs="宋体"/>
                <w:b/>
                <w:bCs/>
                <w:spacing w:val="-2"/>
                <w:sz w:val="24"/>
                <w:szCs w:val="24"/>
              </w:rPr>
              <w:t>有关规范性</w:t>
            </w:r>
          </w:p>
          <w:p w14:paraId="3CA2BE68">
            <w:pPr>
              <w:spacing w:before="53" w:line="207" w:lineRule="auto"/>
              <w:ind w:left="60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3167" w:type="dxa"/>
            <w:noWrap w:val="0"/>
            <w:vAlign w:val="top"/>
          </w:tcPr>
          <w:p w14:paraId="001FA561">
            <w:pPr>
              <w:spacing w:before="223" w:line="219" w:lineRule="auto"/>
              <w:ind w:left="957"/>
              <w:rPr>
                <w:rFonts w:ascii="宋体" w:hAnsi="宋体" w:eastAsia="宋体" w:cs="宋体"/>
                <w:b/>
                <w:bCs/>
                <w:sz w:val="24"/>
                <w:szCs w:val="24"/>
              </w:rPr>
            </w:pPr>
            <w:r>
              <w:rPr>
                <w:rFonts w:ascii="宋体" w:hAnsi="宋体" w:eastAsia="宋体" w:cs="宋体"/>
                <w:b/>
                <w:bCs/>
                <w:spacing w:val="8"/>
                <w:sz w:val="24"/>
                <w:szCs w:val="24"/>
              </w:rPr>
              <w:t>处罚依据</w:t>
            </w:r>
          </w:p>
        </w:tc>
        <w:tc>
          <w:tcPr>
            <w:tcW w:w="925" w:type="dxa"/>
            <w:noWrap w:val="0"/>
            <w:vAlign w:val="top"/>
          </w:tcPr>
          <w:p w14:paraId="11FB5F64">
            <w:pPr>
              <w:spacing w:before="226" w:line="221" w:lineRule="auto"/>
              <w:ind w:left="409"/>
              <w:rPr>
                <w:rFonts w:ascii="宋体" w:hAnsi="宋体" w:eastAsia="宋体" w:cs="宋体"/>
                <w:b/>
                <w:bCs/>
                <w:sz w:val="24"/>
                <w:szCs w:val="24"/>
              </w:rPr>
            </w:pPr>
            <w:r>
              <w:rPr>
                <w:rFonts w:ascii="宋体" w:hAnsi="宋体" w:eastAsia="宋体" w:cs="宋体"/>
                <w:b/>
                <w:bCs/>
                <w:spacing w:val="6"/>
                <w:sz w:val="24"/>
                <w:szCs w:val="24"/>
              </w:rPr>
              <w:t>备注</w:t>
            </w:r>
          </w:p>
        </w:tc>
      </w:tr>
      <w:tr w14:paraId="4A5A6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874" w:type="dxa"/>
            <w:noWrap w:val="0"/>
            <w:vAlign w:val="top"/>
          </w:tcPr>
          <w:p w14:paraId="44459CAC">
            <w:pPr>
              <w:spacing w:before="109" w:line="254" w:lineRule="auto"/>
              <w:ind w:left="136"/>
              <w:jc w:val="both"/>
              <w:rPr>
                <w:rFonts w:ascii="宋体" w:hAnsi="宋体" w:eastAsia="宋体" w:cs="宋体"/>
                <w:spacing w:val="10"/>
                <w:sz w:val="23"/>
                <w:szCs w:val="23"/>
              </w:rPr>
            </w:pPr>
          </w:p>
        </w:tc>
        <w:tc>
          <w:tcPr>
            <w:tcW w:w="2228" w:type="dxa"/>
            <w:noWrap w:val="0"/>
            <w:vAlign w:val="top"/>
          </w:tcPr>
          <w:p w14:paraId="63C20BBD">
            <w:pPr>
              <w:spacing w:before="109" w:line="254" w:lineRule="auto"/>
              <w:ind w:left="136"/>
              <w:jc w:val="both"/>
              <w:rPr>
                <w:rFonts w:ascii="宋体" w:hAnsi="宋体" w:eastAsia="宋体" w:cs="宋体"/>
                <w:spacing w:val="10"/>
                <w:sz w:val="21"/>
                <w:szCs w:val="21"/>
              </w:rPr>
            </w:pPr>
          </w:p>
        </w:tc>
        <w:tc>
          <w:tcPr>
            <w:tcW w:w="3517" w:type="dxa"/>
            <w:noWrap w:val="0"/>
            <w:vAlign w:val="top"/>
          </w:tcPr>
          <w:p w14:paraId="5AD3E1F7">
            <w:pPr>
              <w:spacing w:before="109" w:line="254" w:lineRule="auto"/>
              <w:ind w:left="136"/>
              <w:jc w:val="both"/>
              <w:rPr>
                <w:rFonts w:ascii="宋体" w:hAnsi="宋体" w:eastAsia="宋体" w:cs="宋体"/>
                <w:spacing w:val="10"/>
                <w:sz w:val="21"/>
                <w:szCs w:val="21"/>
              </w:rPr>
            </w:pPr>
          </w:p>
        </w:tc>
        <w:tc>
          <w:tcPr>
            <w:tcW w:w="2868" w:type="dxa"/>
            <w:noWrap w:val="0"/>
            <w:vAlign w:val="top"/>
          </w:tcPr>
          <w:p w14:paraId="7C1CBABF">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理文件的管理。</w:t>
            </w:r>
          </w:p>
          <w:p w14:paraId="5A76108C">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3.《化工(危险化学品)企业保障生产安全十条规定》(安监总政法〔2017〕15号)第六条严禁设备设施带病运行。</w:t>
            </w:r>
          </w:p>
        </w:tc>
        <w:tc>
          <w:tcPr>
            <w:tcW w:w="3167" w:type="dxa"/>
            <w:noWrap w:val="0"/>
            <w:vAlign w:val="top"/>
          </w:tcPr>
          <w:p w14:paraId="7C8EAC37">
            <w:pPr>
              <w:spacing w:before="109" w:line="254" w:lineRule="auto"/>
              <w:ind w:left="136"/>
              <w:jc w:val="both"/>
              <w:rPr>
                <w:rFonts w:ascii="宋体" w:hAnsi="宋体" w:eastAsia="宋体" w:cs="宋体"/>
                <w:spacing w:val="10"/>
                <w:sz w:val="21"/>
                <w:szCs w:val="21"/>
              </w:rPr>
            </w:pPr>
          </w:p>
        </w:tc>
        <w:tc>
          <w:tcPr>
            <w:tcW w:w="925" w:type="dxa"/>
            <w:noWrap w:val="0"/>
            <w:vAlign w:val="top"/>
          </w:tcPr>
          <w:p w14:paraId="35CCF430">
            <w:pPr>
              <w:spacing w:before="109" w:line="254" w:lineRule="auto"/>
              <w:ind w:left="136"/>
              <w:jc w:val="both"/>
              <w:rPr>
                <w:rFonts w:ascii="宋体" w:hAnsi="宋体" w:eastAsia="宋体" w:cs="宋体"/>
                <w:spacing w:val="10"/>
                <w:sz w:val="21"/>
                <w:szCs w:val="21"/>
              </w:rPr>
            </w:pPr>
          </w:p>
        </w:tc>
      </w:tr>
      <w:tr w14:paraId="2E863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8" w:hRule="atLeast"/>
        </w:trPr>
        <w:tc>
          <w:tcPr>
            <w:tcW w:w="874" w:type="dxa"/>
            <w:noWrap w:val="0"/>
            <w:vAlign w:val="top"/>
          </w:tcPr>
          <w:p w14:paraId="17F2DBC6">
            <w:pPr>
              <w:spacing w:before="109" w:line="254" w:lineRule="auto"/>
              <w:ind w:left="136"/>
              <w:jc w:val="both"/>
              <w:rPr>
                <w:rFonts w:ascii="宋体" w:hAnsi="宋体" w:eastAsia="宋体" w:cs="宋体"/>
                <w:spacing w:val="10"/>
                <w:sz w:val="23"/>
                <w:szCs w:val="23"/>
              </w:rPr>
            </w:pPr>
          </w:p>
          <w:p w14:paraId="3CD6A417">
            <w:pPr>
              <w:spacing w:before="109" w:line="254" w:lineRule="auto"/>
              <w:ind w:left="136"/>
              <w:jc w:val="both"/>
              <w:rPr>
                <w:rFonts w:ascii="宋体" w:hAnsi="宋体" w:eastAsia="宋体" w:cs="宋体"/>
                <w:spacing w:val="10"/>
                <w:sz w:val="23"/>
                <w:szCs w:val="23"/>
              </w:rPr>
            </w:pPr>
          </w:p>
          <w:p w14:paraId="6875980F">
            <w:pPr>
              <w:spacing w:before="109" w:line="254" w:lineRule="auto"/>
              <w:ind w:left="136"/>
              <w:jc w:val="both"/>
              <w:rPr>
                <w:rFonts w:ascii="宋体" w:hAnsi="宋体" w:eastAsia="宋体" w:cs="宋体"/>
                <w:spacing w:val="10"/>
                <w:sz w:val="23"/>
                <w:szCs w:val="23"/>
              </w:rPr>
            </w:pPr>
          </w:p>
          <w:p w14:paraId="16E932A7">
            <w:pPr>
              <w:spacing w:before="109" w:line="254" w:lineRule="auto"/>
              <w:ind w:left="136"/>
              <w:jc w:val="both"/>
              <w:rPr>
                <w:rFonts w:ascii="宋体" w:hAnsi="宋体" w:eastAsia="宋体" w:cs="宋体"/>
                <w:spacing w:val="10"/>
                <w:sz w:val="23"/>
                <w:szCs w:val="23"/>
              </w:rPr>
            </w:pPr>
          </w:p>
          <w:p w14:paraId="29BB6541">
            <w:pPr>
              <w:spacing w:before="109" w:line="254" w:lineRule="auto"/>
              <w:ind w:left="136"/>
              <w:jc w:val="both"/>
              <w:rPr>
                <w:rFonts w:ascii="宋体" w:hAnsi="宋体" w:eastAsia="宋体" w:cs="宋体"/>
                <w:spacing w:val="10"/>
                <w:sz w:val="23"/>
                <w:szCs w:val="23"/>
              </w:rPr>
            </w:pPr>
          </w:p>
          <w:p w14:paraId="52EE47FE">
            <w:pPr>
              <w:spacing w:before="109" w:line="254" w:lineRule="auto"/>
              <w:ind w:left="136"/>
              <w:jc w:val="both"/>
              <w:rPr>
                <w:rFonts w:ascii="宋体" w:hAnsi="宋体" w:eastAsia="宋体" w:cs="宋体"/>
                <w:spacing w:val="10"/>
                <w:sz w:val="23"/>
                <w:szCs w:val="23"/>
              </w:rPr>
            </w:pPr>
          </w:p>
          <w:p w14:paraId="2A98D26B">
            <w:pPr>
              <w:spacing w:before="109" w:line="254" w:lineRule="auto"/>
              <w:ind w:left="136"/>
              <w:jc w:val="both"/>
              <w:rPr>
                <w:rFonts w:ascii="宋体" w:hAnsi="宋体" w:eastAsia="宋体" w:cs="宋体"/>
                <w:spacing w:val="10"/>
                <w:sz w:val="23"/>
                <w:szCs w:val="23"/>
              </w:rPr>
            </w:pPr>
          </w:p>
          <w:p w14:paraId="5326DDC6">
            <w:pPr>
              <w:spacing w:before="109" w:line="254" w:lineRule="auto"/>
              <w:ind w:left="136"/>
              <w:jc w:val="both"/>
              <w:rPr>
                <w:rFonts w:ascii="宋体" w:hAnsi="宋体" w:eastAsia="宋体" w:cs="宋体"/>
                <w:spacing w:val="10"/>
                <w:sz w:val="23"/>
                <w:szCs w:val="23"/>
              </w:rPr>
            </w:pPr>
          </w:p>
          <w:p w14:paraId="69D9119E">
            <w:pPr>
              <w:spacing w:before="109" w:line="254" w:lineRule="auto"/>
              <w:ind w:left="136"/>
              <w:jc w:val="both"/>
              <w:rPr>
                <w:rFonts w:ascii="宋体" w:hAnsi="宋体" w:eastAsia="宋体" w:cs="宋体"/>
                <w:spacing w:val="10"/>
                <w:sz w:val="23"/>
                <w:szCs w:val="23"/>
              </w:rPr>
            </w:pPr>
          </w:p>
          <w:p w14:paraId="00899D5D">
            <w:pPr>
              <w:spacing w:before="109" w:line="254" w:lineRule="auto"/>
              <w:ind w:left="136"/>
              <w:jc w:val="both"/>
              <w:rPr>
                <w:rFonts w:ascii="宋体" w:hAnsi="宋体" w:eastAsia="宋体" w:cs="宋体"/>
                <w:spacing w:val="10"/>
                <w:sz w:val="23"/>
                <w:szCs w:val="23"/>
              </w:rPr>
            </w:pPr>
          </w:p>
          <w:p w14:paraId="66E153DB">
            <w:pPr>
              <w:spacing w:before="109" w:line="254" w:lineRule="auto"/>
              <w:ind w:left="136"/>
              <w:jc w:val="both"/>
              <w:rPr>
                <w:rFonts w:hint="eastAsia" w:ascii="宋体" w:hAnsi="宋体" w:eastAsia="宋体" w:cs="宋体"/>
                <w:spacing w:val="10"/>
                <w:sz w:val="23"/>
                <w:szCs w:val="23"/>
                <w:lang w:val="en-US" w:eastAsia="zh-CN"/>
              </w:rPr>
            </w:pPr>
            <w:r>
              <w:rPr>
                <w:rFonts w:hint="eastAsia" w:ascii="宋体" w:hAnsi="宋体" w:eastAsia="宋体" w:cs="宋体"/>
                <w:spacing w:val="10"/>
                <w:sz w:val="23"/>
                <w:szCs w:val="23"/>
                <w:lang w:val="en-US" w:eastAsia="zh-CN"/>
              </w:rPr>
              <w:t>4</w:t>
            </w:r>
          </w:p>
        </w:tc>
        <w:tc>
          <w:tcPr>
            <w:tcW w:w="2228" w:type="dxa"/>
            <w:noWrap w:val="0"/>
            <w:vAlign w:val="top"/>
          </w:tcPr>
          <w:p w14:paraId="0997F926">
            <w:pPr>
              <w:spacing w:before="109" w:line="254" w:lineRule="auto"/>
              <w:ind w:left="136"/>
              <w:jc w:val="both"/>
              <w:rPr>
                <w:rFonts w:ascii="宋体" w:hAnsi="宋体" w:eastAsia="宋体" w:cs="宋体"/>
                <w:spacing w:val="10"/>
                <w:sz w:val="21"/>
                <w:szCs w:val="21"/>
              </w:rPr>
            </w:pPr>
          </w:p>
          <w:p w14:paraId="2A1261CE">
            <w:pPr>
              <w:spacing w:before="109" w:line="254" w:lineRule="auto"/>
              <w:ind w:left="136"/>
              <w:jc w:val="both"/>
              <w:rPr>
                <w:rFonts w:ascii="宋体" w:hAnsi="宋体" w:eastAsia="宋体" w:cs="宋体"/>
                <w:spacing w:val="10"/>
                <w:sz w:val="21"/>
                <w:szCs w:val="21"/>
              </w:rPr>
            </w:pPr>
          </w:p>
          <w:p w14:paraId="72EC605F">
            <w:pPr>
              <w:spacing w:before="109" w:line="254" w:lineRule="auto"/>
              <w:ind w:left="136"/>
              <w:jc w:val="both"/>
              <w:rPr>
                <w:rFonts w:ascii="宋体" w:hAnsi="宋体" w:eastAsia="宋体" w:cs="宋体"/>
                <w:spacing w:val="10"/>
                <w:sz w:val="21"/>
                <w:szCs w:val="21"/>
              </w:rPr>
            </w:pPr>
          </w:p>
          <w:p w14:paraId="2F307EBC">
            <w:pPr>
              <w:spacing w:before="109" w:line="254" w:lineRule="auto"/>
              <w:ind w:left="136"/>
              <w:jc w:val="both"/>
              <w:rPr>
                <w:rFonts w:ascii="宋体" w:hAnsi="宋体" w:eastAsia="宋体" w:cs="宋体"/>
                <w:spacing w:val="10"/>
                <w:sz w:val="21"/>
                <w:szCs w:val="21"/>
              </w:rPr>
            </w:pPr>
          </w:p>
          <w:p w14:paraId="54A720DE">
            <w:pPr>
              <w:spacing w:before="109" w:line="254" w:lineRule="auto"/>
              <w:ind w:left="136"/>
              <w:jc w:val="both"/>
              <w:rPr>
                <w:rFonts w:ascii="宋体" w:hAnsi="宋体" w:eastAsia="宋体" w:cs="宋体"/>
                <w:spacing w:val="10"/>
                <w:sz w:val="21"/>
                <w:szCs w:val="21"/>
              </w:rPr>
            </w:pPr>
          </w:p>
          <w:p w14:paraId="64793DE1">
            <w:pPr>
              <w:spacing w:before="109" w:line="254" w:lineRule="auto"/>
              <w:ind w:left="136"/>
              <w:jc w:val="both"/>
              <w:rPr>
                <w:rFonts w:ascii="宋体" w:hAnsi="宋体" w:eastAsia="宋体" w:cs="宋体"/>
                <w:spacing w:val="10"/>
                <w:sz w:val="21"/>
                <w:szCs w:val="21"/>
              </w:rPr>
            </w:pPr>
          </w:p>
          <w:p w14:paraId="1CB3F6B2">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涉及重大危险源、重点监管危险化工工艺的生产装置、储存设施的安全联锁摘除未履行手</w:t>
            </w:r>
          </w:p>
          <w:p w14:paraId="76A4FC67">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续，或者未及时恢复。</w:t>
            </w:r>
          </w:p>
        </w:tc>
        <w:tc>
          <w:tcPr>
            <w:tcW w:w="3517" w:type="dxa"/>
            <w:noWrap w:val="0"/>
            <w:vAlign w:val="top"/>
          </w:tcPr>
          <w:p w14:paraId="42EA7C1A">
            <w:pPr>
              <w:spacing w:before="109" w:line="254" w:lineRule="auto"/>
              <w:ind w:left="136"/>
              <w:jc w:val="both"/>
              <w:rPr>
                <w:rFonts w:ascii="宋体" w:hAnsi="宋体" w:eastAsia="宋体" w:cs="宋体"/>
                <w:spacing w:val="10"/>
                <w:sz w:val="21"/>
                <w:szCs w:val="21"/>
              </w:rPr>
            </w:pPr>
          </w:p>
          <w:p w14:paraId="4CB45933">
            <w:pPr>
              <w:spacing w:before="109" w:line="254" w:lineRule="auto"/>
              <w:ind w:left="136"/>
              <w:jc w:val="both"/>
              <w:rPr>
                <w:rFonts w:ascii="宋体" w:hAnsi="宋体" w:eastAsia="宋体" w:cs="宋体"/>
                <w:spacing w:val="10"/>
                <w:sz w:val="21"/>
                <w:szCs w:val="21"/>
              </w:rPr>
            </w:pPr>
          </w:p>
          <w:p w14:paraId="6BFC8586">
            <w:pPr>
              <w:spacing w:before="109" w:line="254" w:lineRule="auto"/>
              <w:ind w:left="136"/>
              <w:jc w:val="both"/>
              <w:rPr>
                <w:rFonts w:ascii="宋体" w:hAnsi="宋体" w:eastAsia="宋体" w:cs="宋体"/>
                <w:spacing w:val="10"/>
                <w:sz w:val="21"/>
                <w:szCs w:val="21"/>
              </w:rPr>
            </w:pPr>
          </w:p>
          <w:p w14:paraId="4B9F39D7">
            <w:pPr>
              <w:spacing w:before="109" w:line="254" w:lineRule="auto"/>
              <w:ind w:left="136"/>
              <w:jc w:val="both"/>
              <w:rPr>
                <w:rFonts w:ascii="宋体" w:hAnsi="宋体" w:eastAsia="宋体" w:cs="宋体"/>
                <w:spacing w:val="10"/>
                <w:sz w:val="21"/>
                <w:szCs w:val="21"/>
              </w:rPr>
            </w:pPr>
          </w:p>
          <w:p w14:paraId="13A9E59B">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《中华人民共和国安全生产法》第三十六条第一款、第三款安全设备的设计、制造、安装、使用、检测、维修、改造和报废，应当符合国家标准或者行业标准。</w:t>
            </w:r>
          </w:p>
          <w:p w14:paraId="1210AB63">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生产经营单位不得关闭、破坏直接关系生产安全的监控、报警、防护、救生设备、设施，或者篡改、隐瞒、销毁其相关数据、信息。</w:t>
            </w:r>
          </w:p>
        </w:tc>
        <w:tc>
          <w:tcPr>
            <w:tcW w:w="2868" w:type="dxa"/>
            <w:noWrap w:val="0"/>
            <w:vAlign w:val="top"/>
          </w:tcPr>
          <w:p w14:paraId="264F364E">
            <w:pPr>
              <w:spacing w:before="109" w:line="254" w:lineRule="auto"/>
              <w:ind w:left="136"/>
              <w:jc w:val="both"/>
              <w:rPr>
                <w:rFonts w:ascii="宋体" w:hAnsi="宋体" w:eastAsia="宋体" w:cs="宋体"/>
                <w:spacing w:val="10"/>
                <w:sz w:val="21"/>
                <w:szCs w:val="21"/>
              </w:rPr>
            </w:pPr>
          </w:p>
          <w:p w14:paraId="648C850C">
            <w:pPr>
              <w:spacing w:before="109" w:line="254" w:lineRule="auto"/>
              <w:ind w:left="136"/>
              <w:jc w:val="both"/>
              <w:rPr>
                <w:rFonts w:ascii="宋体" w:hAnsi="宋体" w:eastAsia="宋体" w:cs="宋体"/>
                <w:spacing w:val="10"/>
                <w:sz w:val="21"/>
                <w:szCs w:val="21"/>
              </w:rPr>
            </w:pPr>
          </w:p>
          <w:p w14:paraId="136C031C">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1.《关于加强化工过程安全管理的指导意见》(安监总管三〔2013〕88号)七、设备完好性(完整性)以及十、变更管理。</w:t>
            </w:r>
          </w:p>
          <w:p w14:paraId="3A8ABD5D">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2.《化工(危险化学品)企业安全检查重点指导目录》(安监总管三〔2015〕113号)第二十二条安全联锁未正常投用或未经审批摘除以及经审批后临时摘除超过一个月未恢复的。</w:t>
            </w:r>
          </w:p>
        </w:tc>
        <w:tc>
          <w:tcPr>
            <w:tcW w:w="3167" w:type="dxa"/>
            <w:noWrap w:val="0"/>
            <w:vAlign w:val="top"/>
          </w:tcPr>
          <w:p w14:paraId="0855B848">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中华人民共和国安全生产法》第九十九条第二项、第四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7F068C0">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(二)安全设备的安装、使用、检测、改造和</w:t>
            </w:r>
          </w:p>
        </w:tc>
        <w:tc>
          <w:tcPr>
            <w:tcW w:w="925" w:type="dxa"/>
            <w:noWrap w:val="0"/>
            <w:vAlign w:val="top"/>
          </w:tcPr>
          <w:p w14:paraId="7CCC295E">
            <w:pPr>
              <w:spacing w:before="109" w:line="254" w:lineRule="auto"/>
              <w:ind w:left="136"/>
              <w:jc w:val="both"/>
              <w:rPr>
                <w:rFonts w:ascii="宋体" w:hAnsi="宋体" w:eastAsia="宋体" w:cs="宋体"/>
                <w:spacing w:val="10"/>
                <w:sz w:val="21"/>
                <w:szCs w:val="21"/>
              </w:rPr>
            </w:pPr>
          </w:p>
          <w:p w14:paraId="3C813C0C">
            <w:pPr>
              <w:spacing w:before="109" w:line="254" w:lineRule="auto"/>
              <w:ind w:left="136"/>
              <w:jc w:val="both"/>
              <w:rPr>
                <w:rFonts w:ascii="宋体" w:hAnsi="宋体" w:eastAsia="宋体" w:cs="宋体"/>
                <w:spacing w:val="10"/>
                <w:sz w:val="21"/>
                <w:szCs w:val="21"/>
              </w:rPr>
            </w:pPr>
          </w:p>
          <w:p w14:paraId="6899F890">
            <w:pPr>
              <w:spacing w:before="109" w:line="254" w:lineRule="auto"/>
              <w:ind w:left="136"/>
              <w:jc w:val="both"/>
              <w:rPr>
                <w:rFonts w:ascii="宋体" w:hAnsi="宋体" w:eastAsia="宋体" w:cs="宋体"/>
                <w:spacing w:val="10"/>
                <w:sz w:val="21"/>
                <w:szCs w:val="21"/>
              </w:rPr>
            </w:pPr>
          </w:p>
          <w:p w14:paraId="4FD8EA5D">
            <w:pPr>
              <w:spacing w:before="109" w:line="254" w:lineRule="auto"/>
              <w:ind w:left="136"/>
              <w:jc w:val="both"/>
              <w:rPr>
                <w:rFonts w:ascii="宋体" w:hAnsi="宋体" w:eastAsia="宋体" w:cs="宋体"/>
                <w:spacing w:val="10"/>
                <w:sz w:val="21"/>
                <w:szCs w:val="21"/>
              </w:rPr>
            </w:pPr>
          </w:p>
          <w:p w14:paraId="62D30D76">
            <w:pPr>
              <w:spacing w:before="109" w:line="254" w:lineRule="auto"/>
              <w:ind w:left="136"/>
              <w:jc w:val="both"/>
              <w:rPr>
                <w:rFonts w:ascii="宋体" w:hAnsi="宋体" w:eastAsia="宋体" w:cs="宋体"/>
                <w:spacing w:val="10"/>
                <w:sz w:val="21"/>
                <w:szCs w:val="21"/>
              </w:rPr>
            </w:pPr>
          </w:p>
          <w:p w14:paraId="4AFEA1B2">
            <w:pPr>
              <w:spacing w:before="109" w:line="254" w:lineRule="auto"/>
              <w:ind w:left="136"/>
              <w:jc w:val="both"/>
              <w:rPr>
                <w:rFonts w:ascii="宋体" w:hAnsi="宋体" w:eastAsia="宋体" w:cs="宋体"/>
                <w:spacing w:val="10"/>
                <w:sz w:val="21"/>
                <w:szCs w:val="21"/>
              </w:rPr>
            </w:pPr>
          </w:p>
          <w:p w14:paraId="4069F4F0">
            <w:pPr>
              <w:spacing w:before="109" w:line="254" w:lineRule="auto"/>
              <w:ind w:left="136"/>
              <w:jc w:val="both"/>
              <w:rPr>
                <w:rFonts w:ascii="宋体" w:hAnsi="宋体" w:eastAsia="宋体" w:cs="宋体"/>
                <w:spacing w:val="10"/>
                <w:sz w:val="21"/>
                <w:szCs w:val="21"/>
              </w:rPr>
            </w:pPr>
          </w:p>
          <w:p w14:paraId="7D9F630A">
            <w:pPr>
              <w:spacing w:before="109" w:line="254" w:lineRule="auto"/>
              <w:ind w:left="136"/>
              <w:jc w:val="both"/>
              <w:rPr>
                <w:rFonts w:ascii="宋体" w:hAnsi="宋体" w:eastAsia="宋体" w:cs="宋体"/>
                <w:spacing w:val="10"/>
                <w:sz w:val="21"/>
                <w:szCs w:val="21"/>
              </w:rPr>
            </w:pPr>
          </w:p>
          <w:p w14:paraId="49EB8254">
            <w:pPr>
              <w:spacing w:before="109" w:line="254" w:lineRule="auto"/>
              <w:ind w:left="136"/>
              <w:jc w:val="both"/>
              <w:rPr>
                <w:rFonts w:ascii="宋体" w:hAnsi="宋体" w:eastAsia="宋体" w:cs="宋体"/>
                <w:spacing w:val="10"/>
                <w:sz w:val="21"/>
                <w:szCs w:val="21"/>
              </w:rPr>
            </w:pPr>
          </w:p>
          <w:p w14:paraId="074897C5">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生产装置带"病"运行管理</w:t>
            </w:r>
          </w:p>
        </w:tc>
      </w:tr>
    </w:tbl>
    <w:p w14:paraId="1F1522E2">
      <w:pPr>
        <w:rPr>
          <w:rFonts w:ascii="Arial"/>
          <w:sz w:val="21"/>
        </w:rPr>
      </w:pPr>
    </w:p>
    <w:p w14:paraId="1DD4B278">
      <w:pPr>
        <w:sectPr>
          <w:pgSz w:w="16840" w:h="11900"/>
          <w:pgMar w:top="1440" w:right="1080" w:bottom="1440" w:left="1080" w:header="0" w:footer="0" w:gutter="0"/>
          <w:pgNumType w:fmt="decimal"/>
          <w:cols w:space="720" w:num="1"/>
        </w:sectPr>
      </w:pPr>
    </w:p>
    <w:p w14:paraId="339178DD"/>
    <w:p w14:paraId="7F35943A">
      <w:pPr>
        <w:spacing w:line="23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498"/>
        <w:gridCol w:w="2878"/>
        <w:gridCol w:w="2848"/>
        <w:gridCol w:w="1244"/>
      </w:tblGrid>
      <w:tr w14:paraId="69139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6033CEE3">
            <w:pPr>
              <w:spacing w:before="22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28" w:type="dxa"/>
            <w:noWrap w:val="0"/>
            <w:vAlign w:val="top"/>
          </w:tcPr>
          <w:p w14:paraId="0CD76F05">
            <w:pPr>
              <w:spacing w:before="85" w:line="219" w:lineRule="auto"/>
              <w:ind w:left="621"/>
              <w:rPr>
                <w:rFonts w:ascii="宋体" w:hAnsi="宋体" w:eastAsia="宋体" w:cs="宋体"/>
                <w:b/>
                <w:bCs/>
                <w:sz w:val="24"/>
                <w:szCs w:val="24"/>
              </w:rPr>
            </w:pPr>
            <w:r>
              <w:rPr>
                <w:rFonts w:ascii="宋体" w:hAnsi="宋体" w:eastAsia="宋体" w:cs="宋体"/>
                <w:b/>
                <w:bCs/>
                <w:spacing w:val="3"/>
                <w:sz w:val="24"/>
                <w:szCs w:val="24"/>
              </w:rPr>
              <w:t>执法检查</w:t>
            </w:r>
          </w:p>
          <w:p w14:paraId="5B17FB2D">
            <w:pPr>
              <w:spacing w:before="54" w:line="192" w:lineRule="auto"/>
              <w:ind w:left="381"/>
              <w:rPr>
                <w:rFonts w:ascii="宋体" w:hAnsi="宋体" w:eastAsia="宋体" w:cs="宋体"/>
                <w:b/>
                <w:bCs/>
                <w:sz w:val="24"/>
                <w:szCs w:val="24"/>
              </w:rPr>
            </w:pPr>
            <w:r>
              <w:rPr>
                <w:rFonts w:ascii="宋体" w:hAnsi="宋体" w:eastAsia="宋体" w:cs="宋体"/>
                <w:b/>
                <w:bCs/>
                <w:spacing w:val="2"/>
                <w:sz w:val="24"/>
                <w:szCs w:val="24"/>
              </w:rPr>
              <w:t>重点事项内容</w:t>
            </w:r>
          </w:p>
        </w:tc>
        <w:tc>
          <w:tcPr>
            <w:tcW w:w="3498" w:type="dxa"/>
            <w:noWrap w:val="0"/>
            <w:vAlign w:val="top"/>
          </w:tcPr>
          <w:p w14:paraId="297BCD62">
            <w:pPr>
              <w:spacing w:before="223" w:line="219" w:lineRule="auto"/>
              <w:ind w:left="1023"/>
              <w:rPr>
                <w:rFonts w:ascii="宋体" w:hAnsi="宋体" w:eastAsia="宋体" w:cs="宋体"/>
                <w:b/>
                <w:bCs/>
                <w:sz w:val="24"/>
                <w:szCs w:val="24"/>
              </w:rPr>
            </w:pPr>
            <w:r>
              <w:rPr>
                <w:rFonts w:ascii="宋体" w:hAnsi="宋体" w:eastAsia="宋体" w:cs="宋体"/>
                <w:b/>
                <w:bCs/>
                <w:spacing w:val="2"/>
                <w:sz w:val="24"/>
                <w:szCs w:val="24"/>
              </w:rPr>
              <w:t>执法检查依据</w:t>
            </w:r>
          </w:p>
        </w:tc>
        <w:tc>
          <w:tcPr>
            <w:tcW w:w="2878" w:type="dxa"/>
            <w:noWrap w:val="0"/>
            <w:vAlign w:val="top"/>
          </w:tcPr>
          <w:p w14:paraId="443B5BD4">
            <w:pPr>
              <w:spacing w:before="85" w:line="220" w:lineRule="auto"/>
              <w:ind w:left="845"/>
              <w:rPr>
                <w:rFonts w:ascii="宋体" w:hAnsi="宋体" w:eastAsia="宋体" w:cs="宋体"/>
                <w:b/>
                <w:bCs/>
                <w:sz w:val="24"/>
                <w:szCs w:val="24"/>
              </w:rPr>
            </w:pPr>
            <w:r>
              <w:rPr>
                <w:rFonts w:ascii="宋体" w:hAnsi="宋体" w:eastAsia="宋体" w:cs="宋体"/>
                <w:b/>
                <w:bCs/>
                <w:spacing w:val="-2"/>
                <w:sz w:val="24"/>
                <w:szCs w:val="24"/>
              </w:rPr>
              <w:t>有关规范性</w:t>
            </w:r>
          </w:p>
          <w:p w14:paraId="2CF1E284">
            <w:pPr>
              <w:spacing w:before="22" w:line="215" w:lineRule="auto"/>
              <w:ind w:left="58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848" w:type="dxa"/>
            <w:noWrap w:val="0"/>
            <w:vAlign w:val="top"/>
          </w:tcPr>
          <w:p w14:paraId="25960C40">
            <w:pPr>
              <w:spacing w:before="223" w:line="219" w:lineRule="auto"/>
              <w:ind w:left="947"/>
              <w:rPr>
                <w:rFonts w:ascii="宋体" w:hAnsi="宋体" w:eastAsia="宋体" w:cs="宋体"/>
                <w:b/>
                <w:bCs/>
                <w:sz w:val="24"/>
                <w:szCs w:val="24"/>
              </w:rPr>
            </w:pPr>
            <w:r>
              <w:rPr>
                <w:rFonts w:ascii="宋体" w:hAnsi="宋体" w:eastAsia="宋体" w:cs="宋体"/>
                <w:b/>
                <w:bCs/>
                <w:spacing w:val="8"/>
                <w:sz w:val="24"/>
                <w:szCs w:val="24"/>
              </w:rPr>
              <w:t>处罚依据</w:t>
            </w:r>
          </w:p>
        </w:tc>
        <w:tc>
          <w:tcPr>
            <w:tcW w:w="1244" w:type="dxa"/>
            <w:noWrap w:val="0"/>
            <w:vAlign w:val="top"/>
          </w:tcPr>
          <w:p w14:paraId="2FA120FD">
            <w:pPr>
              <w:spacing w:before="222" w:line="221" w:lineRule="auto"/>
              <w:ind w:left="382"/>
              <w:rPr>
                <w:rFonts w:ascii="宋体" w:hAnsi="宋体" w:eastAsia="宋体" w:cs="宋体"/>
                <w:b/>
                <w:bCs/>
                <w:sz w:val="24"/>
                <w:szCs w:val="24"/>
              </w:rPr>
            </w:pPr>
            <w:r>
              <w:rPr>
                <w:rFonts w:ascii="宋体" w:hAnsi="宋体" w:eastAsia="宋体" w:cs="宋体"/>
                <w:b/>
                <w:bCs/>
                <w:spacing w:val="-6"/>
                <w:sz w:val="24"/>
                <w:szCs w:val="24"/>
              </w:rPr>
              <w:t>备注</w:t>
            </w:r>
          </w:p>
        </w:tc>
      </w:tr>
      <w:tr w14:paraId="3D6B4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6" w:hRule="atLeast"/>
          <w:jc w:val="center"/>
        </w:trPr>
        <w:tc>
          <w:tcPr>
            <w:tcW w:w="864" w:type="dxa"/>
            <w:noWrap w:val="0"/>
            <w:vAlign w:val="top"/>
          </w:tcPr>
          <w:p w14:paraId="680F5F81">
            <w:pPr>
              <w:rPr>
                <w:rFonts w:ascii="Arial"/>
                <w:sz w:val="21"/>
              </w:rPr>
            </w:pPr>
          </w:p>
        </w:tc>
        <w:tc>
          <w:tcPr>
            <w:tcW w:w="2228" w:type="dxa"/>
            <w:noWrap w:val="0"/>
            <w:vAlign w:val="top"/>
          </w:tcPr>
          <w:p w14:paraId="1532E562">
            <w:pPr>
              <w:spacing w:before="109" w:line="254" w:lineRule="auto"/>
              <w:ind w:left="136"/>
              <w:jc w:val="both"/>
              <w:rPr>
                <w:rFonts w:ascii="宋体" w:hAnsi="宋体" w:eastAsia="宋体" w:cs="宋体"/>
                <w:spacing w:val="10"/>
                <w:sz w:val="21"/>
                <w:szCs w:val="21"/>
              </w:rPr>
            </w:pPr>
          </w:p>
        </w:tc>
        <w:tc>
          <w:tcPr>
            <w:tcW w:w="3498" w:type="dxa"/>
            <w:noWrap w:val="0"/>
            <w:vAlign w:val="top"/>
          </w:tcPr>
          <w:p w14:paraId="007DA1F6">
            <w:pPr>
              <w:spacing w:before="109" w:line="254" w:lineRule="auto"/>
              <w:ind w:left="136"/>
              <w:jc w:val="both"/>
              <w:rPr>
                <w:rFonts w:ascii="宋体" w:hAnsi="宋体" w:eastAsia="宋体" w:cs="宋体"/>
                <w:spacing w:val="10"/>
                <w:sz w:val="21"/>
                <w:szCs w:val="21"/>
              </w:rPr>
            </w:pPr>
          </w:p>
        </w:tc>
        <w:tc>
          <w:tcPr>
            <w:tcW w:w="2878" w:type="dxa"/>
            <w:noWrap w:val="0"/>
            <w:vAlign w:val="top"/>
          </w:tcPr>
          <w:p w14:paraId="2B51AE4B">
            <w:pPr>
              <w:spacing w:before="109" w:line="254" w:lineRule="auto"/>
              <w:ind w:left="136"/>
              <w:jc w:val="both"/>
              <w:rPr>
                <w:rFonts w:ascii="宋体" w:hAnsi="宋体" w:eastAsia="宋体" w:cs="宋体"/>
                <w:spacing w:val="10"/>
                <w:sz w:val="21"/>
                <w:szCs w:val="21"/>
              </w:rPr>
            </w:pPr>
          </w:p>
        </w:tc>
        <w:tc>
          <w:tcPr>
            <w:tcW w:w="2848" w:type="dxa"/>
            <w:noWrap w:val="0"/>
            <w:vAlign w:val="top"/>
          </w:tcPr>
          <w:p w14:paraId="7BB2C0F1">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报废不符合国家标准或者行业标准的；</w:t>
            </w:r>
          </w:p>
          <w:p w14:paraId="6DDBAB99">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(四)关闭、破坏直接关系生产安全的监控、报警、防护、救生设备、设施，或者篡改、隐瞒、销毁其相关数据、信息的。</w:t>
            </w:r>
          </w:p>
        </w:tc>
        <w:tc>
          <w:tcPr>
            <w:tcW w:w="1244" w:type="dxa"/>
            <w:noWrap w:val="0"/>
            <w:vAlign w:val="top"/>
          </w:tcPr>
          <w:p w14:paraId="25BB6091">
            <w:pPr>
              <w:spacing w:before="109" w:line="254" w:lineRule="auto"/>
              <w:ind w:left="136"/>
              <w:jc w:val="both"/>
              <w:rPr>
                <w:rFonts w:ascii="宋体" w:hAnsi="宋体" w:eastAsia="宋体" w:cs="宋体"/>
                <w:spacing w:val="10"/>
                <w:sz w:val="21"/>
                <w:szCs w:val="21"/>
              </w:rPr>
            </w:pPr>
          </w:p>
        </w:tc>
      </w:tr>
      <w:tr w14:paraId="0B0F0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9" w:hRule="atLeast"/>
          <w:jc w:val="center"/>
        </w:trPr>
        <w:tc>
          <w:tcPr>
            <w:tcW w:w="864" w:type="dxa"/>
            <w:noWrap w:val="0"/>
            <w:vAlign w:val="top"/>
          </w:tcPr>
          <w:p w14:paraId="5C295E08">
            <w:pPr>
              <w:spacing w:line="252" w:lineRule="auto"/>
              <w:rPr>
                <w:rFonts w:ascii="Arial"/>
                <w:sz w:val="21"/>
              </w:rPr>
            </w:pPr>
          </w:p>
          <w:p w14:paraId="013936E7">
            <w:pPr>
              <w:spacing w:line="252" w:lineRule="auto"/>
              <w:rPr>
                <w:rFonts w:ascii="Arial"/>
                <w:sz w:val="21"/>
              </w:rPr>
            </w:pPr>
          </w:p>
          <w:p w14:paraId="49DAC707">
            <w:pPr>
              <w:spacing w:line="252" w:lineRule="auto"/>
              <w:rPr>
                <w:rFonts w:ascii="Arial"/>
                <w:sz w:val="21"/>
              </w:rPr>
            </w:pPr>
          </w:p>
          <w:p w14:paraId="2791156A">
            <w:pPr>
              <w:spacing w:line="253" w:lineRule="auto"/>
              <w:rPr>
                <w:rFonts w:ascii="Arial"/>
                <w:sz w:val="21"/>
              </w:rPr>
            </w:pPr>
          </w:p>
          <w:p w14:paraId="71E239AF">
            <w:pPr>
              <w:spacing w:line="253" w:lineRule="auto"/>
              <w:rPr>
                <w:rFonts w:ascii="Arial"/>
                <w:sz w:val="21"/>
              </w:rPr>
            </w:pPr>
          </w:p>
          <w:p w14:paraId="3198E621">
            <w:pPr>
              <w:spacing w:line="253" w:lineRule="auto"/>
              <w:rPr>
                <w:rFonts w:ascii="Arial"/>
                <w:sz w:val="21"/>
              </w:rPr>
            </w:pPr>
          </w:p>
          <w:p w14:paraId="41F5D04F">
            <w:pPr>
              <w:spacing w:line="253" w:lineRule="auto"/>
              <w:rPr>
                <w:rFonts w:ascii="Arial"/>
                <w:sz w:val="21"/>
              </w:rPr>
            </w:pPr>
          </w:p>
          <w:p w14:paraId="45C3323C">
            <w:pPr>
              <w:spacing w:line="253" w:lineRule="auto"/>
              <w:rPr>
                <w:rFonts w:ascii="Arial"/>
                <w:sz w:val="21"/>
              </w:rPr>
            </w:pPr>
          </w:p>
          <w:p w14:paraId="024AEE97">
            <w:pPr>
              <w:spacing w:line="253" w:lineRule="auto"/>
              <w:rPr>
                <w:rFonts w:ascii="Arial"/>
                <w:sz w:val="21"/>
              </w:rPr>
            </w:pPr>
          </w:p>
          <w:p w14:paraId="626ECB68">
            <w:pPr>
              <w:spacing w:before="78" w:line="183" w:lineRule="auto"/>
              <w:ind w:left="3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228" w:type="dxa"/>
            <w:noWrap w:val="0"/>
            <w:vAlign w:val="top"/>
          </w:tcPr>
          <w:p w14:paraId="79E32274">
            <w:pPr>
              <w:spacing w:before="109" w:line="254" w:lineRule="auto"/>
              <w:ind w:left="136"/>
              <w:jc w:val="both"/>
              <w:rPr>
                <w:rFonts w:ascii="宋体" w:hAnsi="宋体" w:eastAsia="宋体" w:cs="宋体"/>
                <w:spacing w:val="10"/>
                <w:sz w:val="21"/>
                <w:szCs w:val="21"/>
              </w:rPr>
            </w:pPr>
          </w:p>
          <w:p w14:paraId="47E67285">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变更管理制度未落实(包括涉及重大危险源、重点监管危险化工工艺的生产装置和储存设</w:t>
            </w:r>
          </w:p>
          <w:p w14:paraId="129B51F6">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施，主要负责人、原料、工艺路线、产品、关键设备方面发生的变化未纳入变更管理，或者在变更时未进行安全风险分析等相关情形)。</w:t>
            </w:r>
          </w:p>
        </w:tc>
        <w:tc>
          <w:tcPr>
            <w:tcW w:w="3498" w:type="dxa"/>
            <w:noWrap w:val="0"/>
            <w:vAlign w:val="top"/>
          </w:tcPr>
          <w:p w14:paraId="1DE20592">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1.《中华人民共和国安全生产法》第二十一条第二项生产经营单位的主要负责人对本单位安全生产工作负有下列职责：</w:t>
            </w:r>
          </w:p>
          <w:p w14:paraId="637CB067">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(二)组织制定并实施本单位安全生产规章制度和操作规程。</w:t>
            </w:r>
          </w:p>
          <w:p w14:paraId="594F396A">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2.《危险化学品生产企业安全生产许可证实施办法》(国家安全监管总局令第41号)第十四条第九项企业应当根据化工工艺、装置、设施等实际情况，制定完善下列主要安全生产规章制度：</w:t>
            </w:r>
          </w:p>
          <w:p w14:paraId="4A87575F">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(九)变更管理制度。</w:t>
            </w:r>
          </w:p>
        </w:tc>
        <w:tc>
          <w:tcPr>
            <w:tcW w:w="2878" w:type="dxa"/>
            <w:noWrap w:val="0"/>
            <w:vAlign w:val="top"/>
          </w:tcPr>
          <w:p w14:paraId="6B8FB42D">
            <w:pPr>
              <w:spacing w:before="109" w:line="254" w:lineRule="auto"/>
              <w:ind w:left="136"/>
              <w:jc w:val="both"/>
              <w:rPr>
                <w:rFonts w:ascii="宋体" w:hAnsi="宋体" w:eastAsia="宋体" w:cs="宋体"/>
                <w:spacing w:val="10"/>
                <w:sz w:val="21"/>
                <w:szCs w:val="21"/>
              </w:rPr>
            </w:pPr>
          </w:p>
          <w:p w14:paraId="72599860">
            <w:pPr>
              <w:spacing w:before="109" w:line="254" w:lineRule="auto"/>
              <w:ind w:left="136"/>
              <w:jc w:val="both"/>
              <w:rPr>
                <w:rFonts w:ascii="宋体" w:hAnsi="宋体" w:eastAsia="宋体" w:cs="宋体"/>
                <w:spacing w:val="10"/>
                <w:sz w:val="21"/>
                <w:szCs w:val="21"/>
              </w:rPr>
            </w:pPr>
          </w:p>
          <w:p w14:paraId="46D21084">
            <w:pPr>
              <w:spacing w:before="109" w:line="254" w:lineRule="auto"/>
              <w:ind w:left="136"/>
              <w:jc w:val="both"/>
              <w:rPr>
                <w:rFonts w:ascii="宋体" w:hAnsi="宋体" w:eastAsia="宋体" w:cs="宋体"/>
                <w:spacing w:val="10"/>
                <w:sz w:val="21"/>
                <w:szCs w:val="21"/>
              </w:rPr>
            </w:pPr>
          </w:p>
          <w:p w14:paraId="2A60A405">
            <w:pPr>
              <w:spacing w:before="109" w:line="254" w:lineRule="auto"/>
              <w:ind w:left="136"/>
              <w:jc w:val="both"/>
              <w:rPr>
                <w:rFonts w:ascii="宋体" w:hAnsi="宋体" w:eastAsia="宋体" w:cs="宋体"/>
                <w:spacing w:val="10"/>
                <w:sz w:val="21"/>
                <w:szCs w:val="21"/>
              </w:rPr>
            </w:pPr>
          </w:p>
          <w:p w14:paraId="513489F1">
            <w:pPr>
              <w:spacing w:before="109" w:line="254" w:lineRule="auto"/>
              <w:ind w:left="136"/>
              <w:jc w:val="both"/>
              <w:rPr>
                <w:rFonts w:ascii="宋体" w:hAnsi="宋体" w:eastAsia="宋体" w:cs="宋体"/>
                <w:spacing w:val="10"/>
                <w:sz w:val="21"/>
                <w:szCs w:val="21"/>
              </w:rPr>
            </w:pPr>
          </w:p>
          <w:p w14:paraId="33A36D21">
            <w:pPr>
              <w:spacing w:before="109" w:line="254" w:lineRule="auto"/>
              <w:ind w:left="136"/>
              <w:jc w:val="both"/>
              <w:rPr>
                <w:rFonts w:ascii="宋体" w:hAnsi="宋体" w:eastAsia="宋体" w:cs="宋体"/>
                <w:spacing w:val="10"/>
                <w:sz w:val="21"/>
                <w:szCs w:val="21"/>
              </w:rPr>
            </w:pPr>
          </w:p>
          <w:p w14:paraId="5248A268">
            <w:pPr>
              <w:spacing w:before="109" w:line="254" w:lineRule="auto"/>
              <w:ind w:left="136"/>
              <w:jc w:val="both"/>
              <w:rPr>
                <w:rFonts w:ascii="宋体" w:hAnsi="宋体" w:eastAsia="宋体" w:cs="宋体"/>
                <w:spacing w:val="10"/>
                <w:sz w:val="21"/>
                <w:szCs w:val="21"/>
              </w:rPr>
            </w:pPr>
          </w:p>
          <w:p w14:paraId="318AA276">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《关于加强化工过程安全管理的指导意见》(安监总管三〔2013〕88号)</w:t>
            </w:r>
          </w:p>
          <w:p w14:paraId="745BA912">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十、变更管理。</w:t>
            </w:r>
          </w:p>
        </w:tc>
        <w:tc>
          <w:tcPr>
            <w:tcW w:w="2848" w:type="dxa"/>
            <w:noWrap w:val="0"/>
            <w:vAlign w:val="top"/>
          </w:tcPr>
          <w:p w14:paraId="4FCBFB8B">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中华人民共和国安全生产法》第九十四条第一款、第二款生产经营单位的主要负责人未履行本法规定的安全生产管理职责的，责令限期改正，处二万元以上五万元以下的罚款；逾期未改正的，处五万元以上十万元以下的罚款，责令生产经营单位停产停业整顿。</w:t>
            </w:r>
          </w:p>
          <w:p w14:paraId="34862576">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生产经营单位的主要负责人有前款违法行为，导致发生生产安全事</w:t>
            </w:r>
          </w:p>
        </w:tc>
        <w:tc>
          <w:tcPr>
            <w:tcW w:w="1244" w:type="dxa"/>
            <w:noWrap w:val="0"/>
            <w:vAlign w:val="top"/>
          </w:tcPr>
          <w:p w14:paraId="22748C06">
            <w:pPr>
              <w:spacing w:before="109" w:line="254" w:lineRule="auto"/>
              <w:ind w:left="136"/>
              <w:jc w:val="both"/>
              <w:rPr>
                <w:rFonts w:ascii="宋体" w:hAnsi="宋体" w:eastAsia="宋体" w:cs="宋体"/>
                <w:spacing w:val="10"/>
                <w:sz w:val="21"/>
                <w:szCs w:val="21"/>
              </w:rPr>
            </w:pPr>
          </w:p>
          <w:p w14:paraId="726C22B9">
            <w:pPr>
              <w:spacing w:before="109" w:line="254" w:lineRule="auto"/>
              <w:ind w:left="136"/>
              <w:jc w:val="both"/>
              <w:rPr>
                <w:rFonts w:ascii="宋体" w:hAnsi="宋体" w:eastAsia="宋体" w:cs="宋体"/>
                <w:spacing w:val="10"/>
                <w:sz w:val="21"/>
                <w:szCs w:val="21"/>
              </w:rPr>
            </w:pPr>
          </w:p>
          <w:p w14:paraId="5B6E1DCF">
            <w:pPr>
              <w:spacing w:before="109" w:line="254" w:lineRule="auto"/>
              <w:ind w:left="136"/>
              <w:jc w:val="both"/>
              <w:rPr>
                <w:rFonts w:ascii="宋体" w:hAnsi="宋体" w:eastAsia="宋体" w:cs="宋体"/>
                <w:spacing w:val="10"/>
                <w:sz w:val="21"/>
                <w:szCs w:val="21"/>
              </w:rPr>
            </w:pPr>
          </w:p>
          <w:p w14:paraId="3942B0DE">
            <w:pPr>
              <w:spacing w:before="109" w:line="254" w:lineRule="auto"/>
              <w:ind w:left="136"/>
              <w:jc w:val="both"/>
              <w:rPr>
                <w:rFonts w:ascii="宋体" w:hAnsi="宋体" w:eastAsia="宋体" w:cs="宋体"/>
                <w:spacing w:val="10"/>
                <w:sz w:val="21"/>
                <w:szCs w:val="21"/>
              </w:rPr>
            </w:pPr>
          </w:p>
          <w:p w14:paraId="03E426E8">
            <w:pPr>
              <w:spacing w:before="109" w:line="254" w:lineRule="auto"/>
              <w:ind w:left="136"/>
              <w:jc w:val="both"/>
              <w:rPr>
                <w:rFonts w:ascii="宋体" w:hAnsi="宋体" w:eastAsia="宋体" w:cs="宋体"/>
                <w:spacing w:val="10"/>
                <w:sz w:val="21"/>
                <w:szCs w:val="21"/>
              </w:rPr>
            </w:pPr>
          </w:p>
          <w:p w14:paraId="4A2803DA">
            <w:pPr>
              <w:spacing w:before="109" w:line="254" w:lineRule="auto"/>
              <w:ind w:left="136"/>
              <w:jc w:val="both"/>
              <w:rPr>
                <w:rFonts w:ascii="宋体" w:hAnsi="宋体" w:eastAsia="宋体" w:cs="宋体"/>
                <w:spacing w:val="10"/>
                <w:sz w:val="21"/>
                <w:szCs w:val="21"/>
              </w:rPr>
            </w:pPr>
          </w:p>
          <w:p w14:paraId="4D3D8346">
            <w:pPr>
              <w:spacing w:before="109" w:line="254" w:lineRule="auto"/>
              <w:ind w:left="136"/>
              <w:jc w:val="both"/>
              <w:rPr>
                <w:rFonts w:ascii="宋体" w:hAnsi="宋体" w:eastAsia="宋体" w:cs="宋体"/>
                <w:spacing w:val="10"/>
                <w:sz w:val="21"/>
                <w:szCs w:val="21"/>
              </w:rPr>
            </w:pPr>
          </w:p>
          <w:p w14:paraId="2E9D51E6">
            <w:pPr>
              <w:spacing w:before="109" w:line="254" w:lineRule="auto"/>
              <w:ind w:left="136"/>
              <w:jc w:val="both"/>
              <w:rPr>
                <w:rFonts w:ascii="宋体" w:hAnsi="宋体" w:eastAsia="宋体" w:cs="宋体"/>
                <w:spacing w:val="10"/>
                <w:sz w:val="21"/>
                <w:szCs w:val="21"/>
              </w:rPr>
            </w:pPr>
          </w:p>
          <w:p w14:paraId="308194AC">
            <w:pPr>
              <w:spacing w:before="109" w:line="254" w:lineRule="auto"/>
              <w:ind w:left="136"/>
              <w:jc w:val="both"/>
              <w:rPr>
                <w:rFonts w:ascii="宋体" w:hAnsi="宋体" w:eastAsia="宋体" w:cs="宋体"/>
                <w:spacing w:val="10"/>
                <w:sz w:val="21"/>
                <w:szCs w:val="21"/>
              </w:rPr>
            </w:pPr>
          </w:p>
          <w:p w14:paraId="77B47C76">
            <w:pPr>
              <w:spacing w:before="109" w:line="254" w:lineRule="auto"/>
              <w:ind w:left="136"/>
              <w:jc w:val="both"/>
              <w:rPr>
                <w:rFonts w:ascii="宋体" w:hAnsi="宋体" w:eastAsia="宋体" w:cs="宋体"/>
                <w:spacing w:val="10"/>
                <w:sz w:val="21"/>
                <w:szCs w:val="21"/>
              </w:rPr>
            </w:pPr>
            <w:r>
              <w:rPr>
                <w:rFonts w:ascii="宋体" w:hAnsi="宋体" w:eastAsia="宋体" w:cs="宋体"/>
                <w:spacing w:val="10"/>
                <w:sz w:val="21"/>
                <w:szCs w:val="21"/>
              </w:rPr>
              <w:t>变更管理</w:t>
            </w:r>
          </w:p>
        </w:tc>
      </w:tr>
    </w:tbl>
    <w:p w14:paraId="4B76830D">
      <w:pPr>
        <w:rPr>
          <w:rFonts w:ascii="Arial"/>
          <w:sz w:val="21"/>
        </w:rPr>
      </w:pPr>
    </w:p>
    <w:p w14:paraId="169562B0">
      <w:pPr>
        <w:sectPr>
          <w:pgSz w:w="16840" w:h="11900"/>
          <w:pgMar w:top="1440" w:right="1080" w:bottom="1440" w:left="1080" w:header="0" w:footer="0" w:gutter="0"/>
          <w:pgNumType w:fmt="decimal"/>
          <w:cols w:space="720" w:num="1"/>
        </w:sectPr>
      </w:pPr>
    </w:p>
    <w:p w14:paraId="442F690F"/>
    <w:p w14:paraId="11E0830A"/>
    <w:p w14:paraId="3A4D2950">
      <w:pPr>
        <w:spacing w:line="10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38"/>
        <w:gridCol w:w="4031"/>
        <w:gridCol w:w="1882"/>
        <w:gridCol w:w="3681"/>
        <w:gridCol w:w="1129"/>
      </w:tblGrid>
      <w:tr w14:paraId="26FD5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74" w:type="dxa"/>
            <w:noWrap w:val="0"/>
            <w:vAlign w:val="top"/>
          </w:tcPr>
          <w:p w14:paraId="0420C35B">
            <w:pPr>
              <w:spacing w:before="22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38" w:type="dxa"/>
            <w:noWrap w:val="0"/>
            <w:vAlign w:val="top"/>
          </w:tcPr>
          <w:p w14:paraId="357F4F93">
            <w:pPr>
              <w:spacing w:before="85" w:line="219" w:lineRule="auto"/>
              <w:ind w:left="631"/>
              <w:rPr>
                <w:rFonts w:ascii="宋体" w:hAnsi="宋体" w:eastAsia="宋体" w:cs="宋体"/>
                <w:b/>
                <w:bCs/>
                <w:sz w:val="24"/>
                <w:szCs w:val="24"/>
              </w:rPr>
            </w:pPr>
            <w:r>
              <w:rPr>
                <w:rFonts w:ascii="宋体" w:hAnsi="宋体" w:eastAsia="宋体" w:cs="宋体"/>
                <w:b/>
                <w:bCs/>
                <w:spacing w:val="3"/>
                <w:sz w:val="24"/>
                <w:szCs w:val="24"/>
              </w:rPr>
              <w:t>执法检查</w:t>
            </w:r>
          </w:p>
          <w:p w14:paraId="6F50905B">
            <w:pPr>
              <w:spacing w:before="24" w:line="215" w:lineRule="auto"/>
              <w:ind w:left="391"/>
              <w:rPr>
                <w:rFonts w:ascii="宋体" w:hAnsi="宋体" w:eastAsia="宋体" w:cs="宋体"/>
                <w:b/>
                <w:bCs/>
                <w:sz w:val="24"/>
                <w:szCs w:val="24"/>
              </w:rPr>
            </w:pPr>
            <w:r>
              <w:rPr>
                <w:rFonts w:ascii="宋体" w:hAnsi="宋体" w:eastAsia="宋体" w:cs="宋体"/>
                <w:b/>
                <w:bCs/>
                <w:spacing w:val="2"/>
                <w:sz w:val="24"/>
                <w:szCs w:val="24"/>
              </w:rPr>
              <w:t>重点事项内容</w:t>
            </w:r>
          </w:p>
        </w:tc>
        <w:tc>
          <w:tcPr>
            <w:tcW w:w="4031" w:type="dxa"/>
            <w:noWrap w:val="0"/>
            <w:vAlign w:val="top"/>
          </w:tcPr>
          <w:p w14:paraId="5EE37A8B">
            <w:pPr>
              <w:spacing w:before="223" w:line="219" w:lineRule="auto"/>
              <w:ind w:left="1042"/>
              <w:rPr>
                <w:rFonts w:ascii="宋体" w:hAnsi="宋体" w:eastAsia="宋体" w:cs="宋体"/>
                <w:b/>
                <w:bCs/>
                <w:sz w:val="24"/>
                <w:szCs w:val="24"/>
              </w:rPr>
            </w:pPr>
            <w:r>
              <w:rPr>
                <w:rFonts w:ascii="宋体" w:hAnsi="宋体" w:eastAsia="宋体" w:cs="宋体"/>
                <w:b/>
                <w:bCs/>
                <w:spacing w:val="2"/>
                <w:sz w:val="24"/>
                <w:szCs w:val="24"/>
              </w:rPr>
              <w:t>执法检查依据</w:t>
            </w:r>
          </w:p>
        </w:tc>
        <w:tc>
          <w:tcPr>
            <w:tcW w:w="1882" w:type="dxa"/>
            <w:noWrap w:val="0"/>
            <w:vAlign w:val="top"/>
          </w:tcPr>
          <w:p w14:paraId="290E32B6">
            <w:pPr>
              <w:spacing w:before="85" w:line="220" w:lineRule="auto"/>
              <w:ind w:left="826"/>
              <w:rPr>
                <w:rFonts w:ascii="宋体" w:hAnsi="宋体" w:eastAsia="宋体" w:cs="宋体"/>
                <w:b/>
                <w:bCs/>
                <w:sz w:val="24"/>
                <w:szCs w:val="24"/>
              </w:rPr>
            </w:pPr>
            <w:r>
              <w:rPr>
                <w:rFonts w:ascii="宋体" w:hAnsi="宋体" w:eastAsia="宋体" w:cs="宋体"/>
                <w:b/>
                <w:bCs/>
                <w:spacing w:val="-2"/>
                <w:sz w:val="24"/>
                <w:szCs w:val="24"/>
              </w:rPr>
              <w:t>有关规范性</w:t>
            </w:r>
          </w:p>
          <w:p w14:paraId="6E1DEB73">
            <w:pPr>
              <w:spacing w:before="33" w:line="207" w:lineRule="auto"/>
              <w:ind w:left="586"/>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3681" w:type="dxa"/>
            <w:noWrap w:val="0"/>
            <w:vAlign w:val="top"/>
          </w:tcPr>
          <w:p w14:paraId="67CA6301">
            <w:pPr>
              <w:spacing w:before="223" w:line="219" w:lineRule="auto"/>
              <w:ind w:left="967"/>
              <w:rPr>
                <w:rFonts w:ascii="宋体" w:hAnsi="宋体" w:eastAsia="宋体" w:cs="宋体"/>
                <w:b/>
                <w:bCs/>
                <w:sz w:val="24"/>
                <w:szCs w:val="24"/>
              </w:rPr>
            </w:pPr>
            <w:r>
              <w:rPr>
                <w:rFonts w:ascii="宋体" w:hAnsi="宋体" w:eastAsia="宋体" w:cs="宋体"/>
                <w:b/>
                <w:bCs/>
                <w:spacing w:val="3"/>
                <w:sz w:val="24"/>
                <w:szCs w:val="24"/>
              </w:rPr>
              <w:t>处罚依据</w:t>
            </w:r>
          </w:p>
        </w:tc>
        <w:tc>
          <w:tcPr>
            <w:tcW w:w="1129" w:type="dxa"/>
            <w:noWrap w:val="0"/>
            <w:vAlign w:val="top"/>
          </w:tcPr>
          <w:p w14:paraId="6EDAF21B">
            <w:pPr>
              <w:spacing w:before="222" w:line="221" w:lineRule="auto"/>
              <w:ind w:left="403"/>
              <w:rPr>
                <w:rFonts w:ascii="宋体" w:hAnsi="宋体" w:eastAsia="宋体" w:cs="宋体"/>
                <w:b/>
                <w:bCs/>
                <w:sz w:val="24"/>
                <w:szCs w:val="24"/>
              </w:rPr>
            </w:pPr>
            <w:r>
              <w:rPr>
                <w:rFonts w:ascii="宋体" w:hAnsi="宋体" w:eastAsia="宋体" w:cs="宋体"/>
                <w:b/>
                <w:bCs/>
                <w:spacing w:val="-6"/>
                <w:sz w:val="24"/>
                <w:szCs w:val="24"/>
              </w:rPr>
              <w:t>备注</w:t>
            </w:r>
          </w:p>
        </w:tc>
      </w:tr>
      <w:tr w14:paraId="159D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874" w:type="dxa"/>
            <w:noWrap w:val="0"/>
            <w:vAlign w:val="top"/>
          </w:tcPr>
          <w:p w14:paraId="1CEBEB7C">
            <w:pPr>
              <w:rPr>
                <w:rFonts w:hint="eastAsia" w:asciiTheme="majorEastAsia" w:hAnsiTheme="majorEastAsia" w:eastAsiaTheme="majorEastAsia" w:cstheme="majorEastAsia"/>
                <w:sz w:val="21"/>
                <w:szCs w:val="21"/>
              </w:rPr>
            </w:pPr>
          </w:p>
        </w:tc>
        <w:tc>
          <w:tcPr>
            <w:tcW w:w="2238" w:type="dxa"/>
            <w:noWrap w:val="0"/>
            <w:vAlign w:val="top"/>
          </w:tcPr>
          <w:p w14:paraId="6D625F78">
            <w:pPr>
              <w:rPr>
                <w:rFonts w:hint="eastAsia" w:ascii="宋体" w:hAnsi="宋体" w:eastAsia="宋体" w:cs="宋体"/>
                <w:sz w:val="21"/>
                <w:szCs w:val="21"/>
              </w:rPr>
            </w:pPr>
          </w:p>
        </w:tc>
        <w:tc>
          <w:tcPr>
            <w:tcW w:w="4031" w:type="dxa"/>
            <w:noWrap w:val="0"/>
            <w:vAlign w:val="top"/>
          </w:tcPr>
          <w:p w14:paraId="24320320">
            <w:pPr>
              <w:rPr>
                <w:rFonts w:hint="eastAsia" w:ascii="宋体" w:hAnsi="宋体" w:eastAsia="宋体" w:cs="宋体"/>
                <w:sz w:val="21"/>
                <w:szCs w:val="21"/>
              </w:rPr>
            </w:pPr>
          </w:p>
        </w:tc>
        <w:tc>
          <w:tcPr>
            <w:tcW w:w="1882" w:type="dxa"/>
            <w:noWrap w:val="0"/>
            <w:vAlign w:val="top"/>
          </w:tcPr>
          <w:p w14:paraId="153178DC">
            <w:pPr>
              <w:rPr>
                <w:rFonts w:hint="eastAsia" w:ascii="宋体" w:hAnsi="宋体" w:eastAsia="宋体" w:cs="宋体"/>
                <w:sz w:val="21"/>
                <w:szCs w:val="21"/>
              </w:rPr>
            </w:pPr>
          </w:p>
        </w:tc>
        <w:tc>
          <w:tcPr>
            <w:tcW w:w="3681" w:type="dxa"/>
            <w:noWrap w:val="0"/>
            <w:vAlign w:val="top"/>
          </w:tcPr>
          <w:p w14:paraId="46791247">
            <w:pPr>
              <w:spacing w:before="78" w:line="227" w:lineRule="auto"/>
              <w:ind w:left="128" w:right="58"/>
              <w:rPr>
                <w:rFonts w:hint="eastAsia" w:ascii="宋体" w:hAnsi="宋体" w:eastAsia="宋体" w:cs="宋体"/>
                <w:sz w:val="21"/>
                <w:szCs w:val="21"/>
              </w:rPr>
            </w:pPr>
            <w:r>
              <w:rPr>
                <w:rFonts w:hint="eastAsia" w:ascii="宋体" w:hAnsi="宋体" w:eastAsia="宋体" w:cs="宋体"/>
                <w:spacing w:val="1"/>
                <w:sz w:val="21"/>
                <w:szCs w:val="21"/>
              </w:rPr>
              <w:t>成犯罪的，依照刑法有关</w:t>
            </w:r>
            <w:r>
              <w:rPr>
                <w:rFonts w:hint="eastAsia" w:ascii="宋体" w:hAnsi="宋体" w:eastAsia="宋体" w:cs="宋体"/>
                <w:spacing w:val="13"/>
                <w:sz w:val="21"/>
                <w:szCs w:val="21"/>
              </w:rPr>
              <w:t>规定追究刑事责任。</w:t>
            </w:r>
          </w:p>
        </w:tc>
        <w:tc>
          <w:tcPr>
            <w:tcW w:w="1129" w:type="dxa"/>
            <w:noWrap w:val="0"/>
            <w:vAlign w:val="top"/>
          </w:tcPr>
          <w:p w14:paraId="40E6FE30">
            <w:pPr>
              <w:rPr>
                <w:rFonts w:hint="eastAsia" w:ascii="宋体" w:hAnsi="宋体" w:eastAsia="宋体" w:cs="宋体"/>
                <w:sz w:val="21"/>
                <w:szCs w:val="21"/>
              </w:rPr>
            </w:pPr>
          </w:p>
        </w:tc>
      </w:tr>
      <w:tr w14:paraId="27225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2" w:hRule="atLeast"/>
          <w:jc w:val="center"/>
        </w:trPr>
        <w:tc>
          <w:tcPr>
            <w:tcW w:w="874" w:type="dxa"/>
            <w:noWrap w:val="0"/>
            <w:vAlign w:val="top"/>
          </w:tcPr>
          <w:p w14:paraId="7C83C713">
            <w:pPr>
              <w:spacing w:before="109" w:line="254" w:lineRule="auto"/>
              <w:ind w:left="136"/>
              <w:jc w:val="both"/>
              <w:rPr>
                <w:rFonts w:hint="eastAsia" w:asciiTheme="majorEastAsia" w:hAnsiTheme="majorEastAsia" w:eastAsiaTheme="majorEastAsia" w:cstheme="majorEastAsia"/>
                <w:spacing w:val="10"/>
                <w:sz w:val="21"/>
                <w:szCs w:val="21"/>
              </w:rPr>
            </w:pPr>
          </w:p>
          <w:p w14:paraId="149532B1">
            <w:pPr>
              <w:spacing w:before="109" w:line="254" w:lineRule="auto"/>
              <w:ind w:left="136"/>
              <w:jc w:val="both"/>
              <w:rPr>
                <w:rFonts w:hint="eastAsia" w:asciiTheme="majorEastAsia" w:hAnsiTheme="majorEastAsia" w:eastAsiaTheme="majorEastAsia" w:cstheme="majorEastAsia"/>
                <w:spacing w:val="10"/>
                <w:sz w:val="21"/>
                <w:szCs w:val="21"/>
              </w:rPr>
            </w:pPr>
          </w:p>
          <w:p w14:paraId="3B6D2676">
            <w:pPr>
              <w:spacing w:before="109" w:line="254" w:lineRule="auto"/>
              <w:ind w:left="136"/>
              <w:jc w:val="both"/>
              <w:rPr>
                <w:rFonts w:hint="eastAsia" w:asciiTheme="majorEastAsia" w:hAnsiTheme="majorEastAsia" w:eastAsiaTheme="majorEastAsia" w:cstheme="majorEastAsia"/>
                <w:spacing w:val="10"/>
                <w:sz w:val="21"/>
                <w:szCs w:val="21"/>
              </w:rPr>
            </w:pPr>
          </w:p>
          <w:p w14:paraId="463133F5">
            <w:pPr>
              <w:spacing w:before="109" w:line="254" w:lineRule="auto"/>
              <w:ind w:left="136"/>
              <w:jc w:val="both"/>
              <w:rPr>
                <w:rFonts w:hint="eastAsia" w:asciiTheme="majorEastAsia" w:hAnsiTheme="majorEastAsia" w:eastAsiaTheme="majorEastAsia" w:cstheme="majorEastAsia"/>
                <w:spacing w:val="10"/>
                <w:sz w:val="21"/>
                <w:szCs w:val="21"/>
              </w:rPr>
            </w:pPr>
          </w:p>
          <w:p w14:paraId="39E8B0B3">
            <w:pPr>
              <w:spacing w:before="109" w:line="254" w:lineRule="auto"/>
              <w:ind w:left="136"/>
              <w:jc w:val="both"/>
              <w:rPr>
                <w:rFonts w:hint="eastAsia" w:asciiTheme="majorEastAsia" w:hAnsiTheme="majorEastAsia" w:eastAsiaTheme="majorEastAsia" w:cstheme="majorEastAsia"/>
                <w:spacing w:val="10"/>
                <w:sz w:val="21"/>
                <w:szCs w:val="21"/>
              </w:rPr>
            </w:pPr>
          </w:p>
          <w:p w14:paraId="146071EA">
            <w:pPr>
              <w:spacing w:before="109" w:line="254" w:lineRule="auto"/>
              <w:ind w:left="136"/>
              <w:jc w:val="both"/>
              <w:rPr>
                <w:rFonts w:hint="eastAsia" w:asciiTheme="majorEastAsia" w:hAnsiTheme="majorEastAsia" w:eastAsiaTheme="majorEastAsia" w:cstheme="majorEastAsia"/>
                <w:spacing w:val="10"/>
                <w:sz w:val="21"/>
                <w:szCs w:val="21"/>
              </w:rPr>
            </w:pPr>
          </w:p>
          <w:p w14:paraId="4AD47E98">
            <w:pPr>
              <w:spacing w:before="109" w:line="254" w:lineRule="auto"/>
              <w:ind w:left="136"/>
              <w:jc w:val="both"/>
              <w:rPr>
                <w:rFonts w:hint="eastAsia" w:asciiTheme="majorEastAsia" w:hAnsiTheme="majorEastAsia" w:eastAsiaTheme="majorEastAsia" w:cstheme="majorEastAsia"/>
                <w:spacing w:val="10"/>
                <w:sz w:val="21"/>
                <w:szCs w:val="21"/>
              </w:rPr>
            </w:pPr>
          </w:p>
          <w:p w14:paraId="65BA429C">
            <w:pPr>
              <w:spacing w:before="109" w:line="254" w:lineRule="auto"/>
              <w:ind w:left="136"/>
              <w:jc w:val="both"/>
              <w:rPr>
                <w:rFonts w:hint="eastAsia" w:asciiTheme="majorEastAsia" w:hAnsiTheme="majorEastAsia" w:eastAsiaTheme="majorEastAsia" w:cstheme="majorEastAsia"/>
                <w:spacing w:val="10"/>
                <w:sz w:val="21"/>
                <w:szCs w:val="21"/>
              </w:rPr>
            </w:pPr>
          </w:p>
          <w:p w14:paraId="351ACA0F">
            <w:pPr>
              <w:spacing w:before="109" w:line="254" w:lineRule="auto"/>
              <w:ind w:left="136"/>
              <w:jc w:val="both"/>
              <w:rPr>
                <w:rFonts w:hint="eastAsia" w:asciiTheme="majorEastAsia" w:hAnsiTheme="majorEastAsia" w:eastAsiaTheme="majorEastAsia" w:cstheme="majorEastAsia"/>
                <w:spacing w:val="10"/>
                <w:sz w:val="21"/>
                <w:szCs w:val="21"/>
              </w:rPr>
            </w:pPr>
          </w:p>
          <w:p w14:paraId="58F55898">
            <w:pPr>
              <w:spacing w:before="109" w:line="254" w:lineRule="auto"/>
              <w:ind w:left="136"/>
              <w:jc w:val="both"/>
              <w:rPr>
                <w:rFonts w:hint="eastAsia" w:asciiTheme="majorEastAsia" w:hAnsiTheme="majorEastAsia" w:eastAsiaTheme="majorEastAsia" w:cstheme="majorEastAsia"/>
                <w:spacing w:val="10"/>
                <w:sz w:val="21"/>
                <w:szCs w:val="21"/>
              </w:rPr>
            </w:pPr>
          </w:p>
          <w:p w14:paraId="37F4D8DC">
            <w:pPr>
              <w:spacing w:before="109" w:line="254" w:lineRule="auto"/>
              <w:ind w:left="136"/>
              <w:jc w:val="both"/>
              <w:rPr>
                <w:rFonts w:hint="eastAsia" w:asciiTheme="majorEastAsia" w:hAnsiTheme="majorEastAsia" w:eastAsiaTheme="majorEastAsia" w:cstheme="majorEastAsia"/>
                <w:spacing w:val="10"/>
                <w:sz w:val="21"/>
                <w:szCs w:val="21"/>
              </w:rPr>
            </w:pPr>
          </w:p>
          <w:p w14:paraId="5E6F5FE8">
            <w:pPr>
              <w:spacing w:before="109" w:line="254" w:lineRule="auto"/>
              <w:ind w:left="136"/>
              <w:jc w:val="both"/>
              <w:rPr>
                <w:rFonts w:hint="eastAsia" w:asciiTheme="majorEastAsia" w:hAnsiTheme="majorEastAsia" w:eastAsiaTheme="majorEastAsia" w:cstheme="majorEastAsia"/>
                <w:spacing w:val="10"/>
                <w:sz w:val="21"/>
                <w:szCs w:val="21"/>
              </w:rPr>
            </w:pPr>
          </w:p>
          <w:p w14:paraId="6426DFF8">
            <w:pPr>
              <w:spacing w:before="109" w:line="254" w:lineRule="auto"/>
              <w:ind w:left="136"/>
              <w:jc w:val="both"/>
              <w:rPr>
                <w:rFonts w:hint="eastAsia" w:asciiTheme="majorEastAsia" w:hAnsiTheme="majorEastAsia" w:eastAsiaTheme="majorEastAsia" w:cstheme="majorEastAsia"/>
                <w:spacing w:val="10"/>
                <w:sz w:val="21"/>
                <w:szCs w:val="21"/>
                <w:lang w:val="en-US" w:eastAsia="zh-CN"/>
              </w:rPr>
            </w:pPr>
            <w:r>
              <w:rPr>
                <w:rFonts w:hint="eastAsia" w:asciiTheme="majorEastAsia" w:hAnsiTheme="majorEastAsia" w:eastAsiaTheme="majorEastAsia" w:cstheme="majorEastAsia"/>
                <w:spacing w:val="10"/>
                <w:sz w:val="21"/>
                <w:szCs w:val="21"/>
                <w:lang w:val="en-US" w:eastAsia="zh-CN"/>
              </w:rPr>
              <w:t>6</w:t>
            </w:r>
          </w:p>
        </w:tc>
        <w:tc>
          <w:tcPr>
            <w:tcW w:w="2238" w:type="dxa"/>
            <w:noWrap w:val="0"/>
            <w:vAlign w:val="top"/>
          </w:tcPr>
          <w:p w14:paraId="0C8663E1">
            <w:pPr>
              <w:spacing w:before="109" w:line="254" w:lineRule="auto"/>
              <w:ind w:left="136"/>
              <w:jc w:val="both"/>
              <w:rPr>
                <w:rFonts w:hint="eastAsia" w:ascii="宋体" w:hAnsi="宋体" w:eastAsia="宋体" w:cs="宋体"/>
                <w:spacing w:val="10"/>
                <w:sz w:val="21"/>
                <w:szCs w:val="21"/>
              </w:rPr>
            </w:pPr>
          </w:p>
          <w:p w14:paraId="2336E471">
            <w:pPr>
              <w:spacing w:before="109" w:line="254" w:lineRule="auto"/>
              <w:ind w:left="136"/>
              <w:jc w:val="both"/>
              <w:rPr>
                <w:rFonts w:hint="eastAsia" w:ascii="宋体" w:hAnsi="宋体" w:eastAsia="宋体" w:cs="宋体"/>
                <w:spacing w:val="10"/>
                <w:sz w:val="21"/>
                <w:szCs w:val="21"/>
              </w:rPr>
            </w:pPr>
          </w:p>
          <w:p w14:paraId="6FB26BA5">
            <w:pPr>
              <w:spacing w:before="109" w:line="254" w:lineRule="auto"/>
              <w:ind w:left="136"/>
              <w:jc w:val="both"/>
              <w:rPr>
                <w:rFonts w:hint="eastAsia" w:ascii="宋体" w:hAnsi="宋体" w:eastAsia="宋体" w:cs="宋体"/>
                <w:spacing w:val="10"/>
                <w:sz w:val="21"/>
                <w:szCs w:val="21"/>
              </w:rPr>
            </w:pPr>
          </w:p>
          <w:p w14:paraId="24FDB88F">
            <w:pPr>
              <w:spacing w:before="109" w:line="254" w:lineRule="auto"/>
              <w:ind w:left="136"/>
              <w:jc w:val="both"/>
              <w:rPr>
                <w:rFonts w:hint="eastAsia" w:ascii="宋体" w:hAnsi="宋体" w:eastAsia="宋体" w:cs="宋体"/>
                <w:spacing w:val="10"/>
                <w:sz w:val="21"/>
                <w:szCs w:val="21"/>
              </w:rPr>
            </w:pPr>
          </w:p>
          <w:p w14:paraId="14CF9FEE">
            <w:pPr>
              <w:spacing w:before="109" w:line="254" w:lineRule="auto"/>
              <w:ind w:left="136"/>
              <w:jc w:val="both"/>
              <w:rPr>
                <w:rFonts w:hint="eastAsia" w:ascii="宋体" w:hAnsi="宋体" w:eastAsia="宋体" w:cs="宋体"/>
                <w:spacing w:val="10"/>
                <w:sz w:val="21"/>
                <w:szCs w:val="21"/>
              </w:rPr>
            </w:pPr>
          </w:p>
          <w:p w14:paraId="4EE9E418">
            <w:pPr>
              <w:spacing w:before="109" w:line="254" w:lineRule="auto"/>
              <w:ind w:left="136"/>
              <w:jc w:val="both"/>
              <w:rPr>
                <w:rFonts w:hint="eastAsia" w:ascii="宋体" w:hAnsi="宋体" w:eastAsia="宋体" w:cs="宋体"/>
                <w:spacing w:val="10"/>
                <w:sz w:val="21"/>
                <w:szCs w:val="21"/>
              </w:rPr>
            </w:pPr>
          </w:p>
          <w:p w14:paraId="4198BE2D">
            <w:pPr>
              <w:spacing w:before="109" w:line="254" w:lineRule="auto"/>
              <w:ind w:left="136"/>
              <w:jc w:val="both"/>
              <w:rPr>
                <w:rFonts w:hint="eastAsia" w:ascii="宋体" w:hAnsi="宋体" w:eastAsia="宋体" w:cs="宋体"/>
                <w:spacing w:val="10"/>
                <w:sz w:val="21"/>
                <w:szCs w:val="21"/>
              </w:rPr>
            </w:pPr>
          </w:p>
          <w:p w14:paraId="5363FC84">
            <w:pPr>
              <w:spacing w:before="109" w:line="254" w:lineRule="auto"/>
              <w:ind w:left="136"/>
              <w:jc w:val="both"/>
              <w:rPr>
                <w:rFonts w:hint="eastAsia" w:ascii="宋体" w:hAnsi="宋体" w:eastAsia="宋体" w:cs="宋体"/>
                <w:spacing w:val="10"/>
                <w:sz w:val="21"/>
                <w:szCs w:val="21"/>
              </w:rPr>
            </w:pPr>
          </w:p>
          <w:p w14:paraId="427A3F32">
            <w:pPr>
              <w:spacing w:before="109" w:line="254" w:lineRule="auto"/>
              <w:ind w:left="136"/>
              <w:jc w:val="both"/>
              <w:rPr>
                <w:rFonts w:hint="eastAsia" w:ascii="宋体" w:hAnsi="宋体" w:eastAsia="宋体" w:cs="宋体"/>
                <w:spacing w:val="10"/>
                <w:sz w:val="21"/>
                <w:szCs w:val="21"/>
              </w:rPr>
            </w:pPr>
          </w:p>
          <w:p w14:paraId="1192F201">
            <w:pPr>
              <w:spacing w:before="109" w:line="254" w:lineRule="auto"/>
              <w:ind w:left="136"/>
              <w:jc w:val="both"/>
              <w:rPr>
                <w:rFonts w:hint="eastAsia" w:ascii="宋体" w:hAnsi="宋体" w:eastAsia="宋体" w:cs="宋体"/>
                <w:spacing w:val="10"/>
                <w:sz w:val="21"/>
                <w:szCs w:val="21"/>
              </w:rPr>
            </w:pPr>
          </w:p>
          <w:p w14:paraId="505F6B1B">
            <w:pPr>
              <w:spacing w:before="109" w:line="254" w:lineRule="auto"/>
              <w:ind w:left="136"/>
              <w:jc w:val="both"/>
              <w:rPr>
                <w:rFonts w:hint="eastAsia" w:ascii="宋体" w:hAnsi="宋体" w:eastAsia="宋体" w:cs="宋体"/>
                <w:spacing w:val="10"/>
                <w:sz w:val="21"/>
                <w:szCs w:val="21"/>
              </w:rPr>
            </w:pPr>
            <w:r>
              <w:rPr>
                <w:rFonts w:hint="eastAsia" w:ascii="宋体" w:hAnsi="宋体" w:eastAsia="宋体" w:cs="宋体"/>
                <w:spacing w:val="10"/>
                <w:sz w:val="21"/>
                <w:szCs w:val="21"/>
              </w:rPr>
              <w:t>油气储罐超温、超压、超液位操作和</w:t>
            </w:r>
          </w:p>
          <w:p w14:paraId="7064AF91">
            <w:pPr>
              <w:spacing w:before="109" w:line="254" w:lineRule="auto"/>
              <w:ind w:left="136"/>
              <w:jc w:val="both"/>
              <w:rPr>
                <w:rFonts w:hint="eastAsia" w:ascii="宋体" w:hAnsi="宋体" w:eastAsia="宋体" w:cs="宋体"/>
                <w:spacing w:val="10"/>
                <w:sz w:val="21"/>
                <w:szCs w:val="21"/>
              </w:rPr>
            </w:pPr>
            <w:r>
              <w:rPr>
                <w:rFonts w:hint="eastAsia" w:ascii="宋体" w:hAnsi="宋体" w:eastAsia="宋体" w:cs="宋体"/>
                <w:spacing w:val="10"/>
                <w:sz w:val="21"/>
                <w:szCs w:val="21"/>
              </w:rPr>
              <w:t>随意变更储存介质。</w:t>
            </w:r>
            <w:r>
              <w:rPr>
                <w:rFonts w:hint="eastAsia" w:ascii="宋体" w:hAnsi="宋体" w:eastAsia="宋体" w:cs="宋体"/>
                <w:spacing w:val="21"/>
                <w:sz w:val="21"/>
                <w:szCs w:val="21"/>
              </w:rPr>
              <w:t>油气内浮顶储罐运</w:t>
            </w:r>
          </w:p>
        </w:tc>
        <w:tc>
          <w:tcPr>
            <w:tcW w:w="4031" w:type="dxa"/>
            <w:noWrap w:val="0"/>
            <w:vAlign w:val="top"/>
          </w:tcPr>
          <w:p w14:paraId="03847986">
            <w:pPr>
              <w:spacing w:before="109" w:line="254" w:lineRule="auto"/>
              <w:ind w:left="136"/>
              <w:jc w:val="both"/>
              <w:rPr>
                <w:rFonts w:hint="eastAsia" w:ascii="宋体" w:hAnsi="宋体" w:eastAsia="宋体" w:cs="宋体"/>
                <w:spacing w:val="10"/>
                <w:sz w:val="21"/>
                <w:szCs w:val="21"/>
              </w:rPr>
            </w:pPr>
          </w:p>
          <w:p w14:paraId="0747B1C3">
            <w:pPr>
              <w:spacing w:before="109" w:line="254" w:lineRule="auto"/>
              <w:ind w:left="136"/>
              <w:jc w:val="both"/>
              <w:rPr>
                <w:rFonts w:hint="eastAsia" w:ascii="宋体" w:hAnsi="宋体" w:eastAsia="宋体" w:cs="宋体"/>
                <w:spacing w:val="10"/>
                <w:sz w:val="21"/>
                <w:szCs w:val="21"/>
              </w:rPr>
            </w:pPr>
          </w:p>
          <w:p w14:paraId="0A00159C">
            <w:pPr>
              <w:spacing w:before="109" w:line="254" w:lineRule="auto"/>
              <w:ind w:left="136"/>
              <w:jc w:val="both"/>
              <w:rPr>
                <w:rFonts w:hint="eastAsia" w:ascii="宋体" w:hAnsi="宋体" w:eastAsia="宋体" w:cs="宋体"/>
                <w:spacing w:val="10"/>
                <w:sz w:val="21"/>
                <w:szCs w:val="21"/>
              </w:rPr>
            </w:pPr>
          </w:p>
          <w:p w14:paraId="31C7FCEF">
            <w:pPr>
              <w:spacing w:before="109" w:line="254" w:lineRule="auto"/>
              <w:ind w:left="136"/>
              <w:jc w:val="both"/>
              <w:rPr>
                <w:rFonts w:hint="eastAsia" w:ascii="宋体" w:hAnsi="宋体" w:eastAsia="宋体" w:cs="宋体"/>
                <w:spacing w:val="10"/>
                <w:sz w:val="21"/>
                <w:szCs w:val="21"/>
              </w:rPr>
            </w:pPr>
          </w:p>
          <w:p w14:paraId="137A6A02">
            <w:pPr>
              <w:spacing w:before="109" w:line="254" w:lineRule="auto"/>
              <w:ind w:left="136"/>
              <w:jc w:val="both"/>
              <w:rPr>
                <w:rFonts w:hint="eastAsia" w:ascii="宋体" w:hAnsi="宋体" w:eastAsia="宋体" w:cs="宋体"/>
                <w:spacing w:val="10"/>
                <w:sz w:val="21"/>
                <w:szCs w:val="21"/>
              </w:rPr>
            </w:pPr>
          </w:p>
          <w:p w14:paraId="720B84AE">
            <w:pPr>
              <w:spacing w:before="109" w:line="254" w:lineRule="auto"/>
              <w:ind w:left="136"/>
              <w:jc w:val="both"/>
              <w:rPr>
                <w:rFonts w:hint="eastAsia" w:ascii="宋体" w:hAnsi="宋体" w:eastAsia="宋体" w:cs="宋体"/>
                <w:spacing w:val="10"/>
                <w:sz w:val="21"/>
                <w:szCs w:val="21"/>
              </w:rPr>
            </w:pPr>
          </w:p>
          <w:p w14:paraId="79EAF9CE">
            <w:pPr>
              <w:spacing w:before="109" w:line="254" w:lineRule="auto"/>
              <w:ind w:left="136"/>
              <w:jc w:val="both"/>
              <w:rPr>
                <w:rFonts w:hint="eastAsia" w:ascii="宋体" w:hAnsi="宋体" w:eastAsia="宋体" w:cs="宋体"/>
                <w:spacing w:val="10"/>
                <w:sz w:val="21"/>
                <w:szCs w:val="21"/>
              </w:rPr>
            </w:pPr>
            <w:r>
              <w:rPr>
                <w:rFonts w:hint="eastAsia" w:ascii="宋体" w:hAnsi="宋体" w:eastAsia="宋体" w:cs="宋体"/>
                <w:spacing w:val="10"/>
                <w:sz w:val="21"/>
                <w:szCs w:val="21"/>
              </w:rPr>
              <w:t>1.《危险化学品安全管理条例》第二十四条第二款危险化学品的储存方式、方法以及储存数量应当符合国家标准或者国家有关规定。</w:t>
            </w:r>
          </w:p>
          <w:p w14:paraId="77EB4B04">
            <w:pPr>
              <w:spacing w:before="109" w:line="254" w:lineRule="auto"/>
              <w:ind w:left="136"/>
              <w:jc w:val="both"/>
              <w:rPr>
                <w:rFonts w:hint="eastAsia" w:ascii="宋体" w:hAnsi="宋体" w:eastAsia="宋体" w:cs="宋体"/>
                <w:spacing w:val="10"/>
                <w:sz w:val="21"/>
                <w:szCs w:val="21"/>
              </w:rPr>
            </w:pPr>
            <w:r>
              <w:rPr>
                <w:rFonts w:hint="eastAsia" w:ascii="宋体" w:hAnsi="宋体" w:eastAsia="宋体" w:cs="宋体"/>
                <w:spacing w:val="10"/>
                <w:sz w:val="21"/>
                <w:szCs w:val="21"/>
              </w:rPr>
              <w:t>2.《油气罐区防火防爆十条规定》(安监总政法〔2017〕15号)第一条严禁油气储罐超温、超压、超液位操作和随意变更储存介质。</w:t>
            </w:r>
            <w:r>
              <w:rPr>
                <w:rFonts w:hint="eastAsia" w:ascii="宋体" w:hAnsi="宋体" w:eastAsia="宋体" w:cs="宋体"/>
                <w:spacing w:val="8"/>
                <w:sz w:val="21"/>
                <w:szCs w:val="21"/>
              </w:rPr>
              <w:t>1.《危险化学品安全管理条</w:t>
            </w:r>
          </w:p>
        </w:tc>
        <w:tc>
          <w:tcPr>
            <w:tcW w:w="1882" w:type="dxa"/>
            <w:noWrap w:val="0"/>
            <w:vAlign w:val="top"/>
          </w:tcPr>
          <w:p w14:paraId="5AFB9231">
            <w:pPr>
              <w:spacing w:before="109" w:line="254" w:lineRule="auto"/>
              <w:ind w:left="136"/>
              <w:jc w:val="both"/>
              <w:rPr>
                <w:rFonts w:hint="eastAsia" w:ascii="宋体" w:hAnsi="宋体" w:eastAsia="宋体" w:cs="宋体"/>
                <w:spacing w:val="10"/>
                <w:sz w:val="21"/>
                <w:szCs w:val="21"/>
              </w:rPr>
            </w:pPr>
          </w:p>
        </w:tc>
        <w:tc>
          <w:tcPr>
            <w:tcW w:w="3681" w:type="dxa"/>
            <w:noWrap w:val="0"/>
            <w:vAlign w:val="top"/>
          </w:tcPr>
          <w:p w14:paraId="4C53E593">
            <w:pPr>
              <w:spacing w:before="109" w:line="254" w:lineRule="auto"/>
              <w:ind w:left="136"/>
              <w:jc w:val="both"/>
              <w:rPr>
                <w:rFonts w:hint="eastAsia" w:ascii="宋体" w:hAnsi="宋体" w:eastAsia="宋体" w:cs="宋体"/>
                <w:spacing w:val="10"/>
                <w:sz w:val="21"/>
                <w:szCs w:val="21"/>
              </w:rPr>
            </w:pPr>
            <w:r>
              <w:rPr>
                <w:rFonts w:hint="eastAsia" w:ascii="宋体" w:hAnsi="宋体" w:eastAsia="宋体" w:cs="宋体"/>
                <w:spacing w:val="10"/>
                <w:sz w:val="21"/>
                <w:szCs w:val="21"/>
              </w:rPr>
              <w:t>《危险化学品安全管理条例》第八十条第五项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0F623499">
            <w:pPr>
              <w:spacing w:before="109" w:line="254" w:lineRule="auto"/>
              <w:ind w:left="136"/>
              <w:jc w:val="both"/>
              <w:rPr>
                <w:rFonts w:hint="eastAsia" w:ascii="宋体" w:hAnsi="宋体" w:eastAsia="宋体" w:cs="宋体"/>
                <w:spacing w:val="10"/>
                <w:sz w:val="21"/>
                <w:szCs w:val="21"/>
              </w:rPr>
            </w:pPr>
            <w:r>
              <w:rPr>
                <w:rFonts w:hint="eastAsia" w:ascii="宋体" w:hAnsi="宋体" w:eastAsia="宋体" w:cs="宋体"/>
                <w:spacing w:val="10"/>
                <w:sz w:val="21"/>
                <w:szCs w:val="21"/>
              </w:rPr>
              <w:t>(五)危险化学品的储存方式、方法或者储存数量不符合国家标准或者国家有关规定的。</w:t>
            </w:r>
            <w:r>
              <w:rPr>
                <w:rFonts w:hint="eastAsia" w:ascii="宋体" w:hAnsi="宋体" w:eastAsia="宋体" w:cs="宋体"/>
                <w:spacing w:val="27"/>
                <w:sz w:val="21"/>
                <w:szCs w:val="21"/>
              </w:rPr>
              <w:t>《危险化学品安全</w:t>
            </w:r>
          </w:p>
        </w:tc>
        <w:tc>
          <w:tcPr>
            <w:tcW w:w="1129" w:type="dxa"/>
            <w:noWrap w:val="0"/>
            <w:vAlign w:val="top"/>
          </w:tcPr>
          <w:p w14:paraId="156E9377">
            <w:pPr>
              <w:spacing w:before="109" w:line="254" w:lineRule="auto"/>
              <w:ind w:left="136"/>
              <w:jc w:val="both"/>
              <w:rPr>
                <w:rFonts w:hint="eastAsia" w:ascii="宋体" w:hAnsi="宋体" w:eastAsia="宋体" w:cs="宋体"/>
                <w:spacing w:val="10"/>
                <w:sz w:val="21"/>
                <w:szCs w:val="21"/>
              </w:rPr>
            </w:pPr>
          </w:p>
          <w:p w14:paraId="373F8869">
            <w:pPr>
              <w:spacing w:before="109" w:line="254" w:lineRule="auto"/>
              <w:ind w:left="136"/>
              <w:jc w:val="both"/>
              <w:rPr>
                <w:rFonts w:hint="eastAsia" w:ascii="宋体" w:hAnsi="宋体" w:eastAsia="宋体" w:cs="宋体"/>
                <w:spacing w:val="10"/>
                <w:sz w:val="21"/>
                <w:szCs w:val="21"/>
              </w:rPr>
            </w:pPr>
          </w:p>
          <w:p w14:paraId="2B20B18A">
            <w:pPr>
              <w:spacing w:before="109" w:line="254" w:lineRule="auto"/>
              <w:ind w:left="136"/>
              <w:jc w:val="both"/>
              <w:rPr>
                <w:rFonts w:hint="eastAsia" w:ascii="宋体" w:hAnsi="宋体" w:eastAsia="宋体" w:cs="宋体"/>
                <w:spacing w:val="10"/>
                <w:sz w:val="21"/>
                <w:szCs w:val="21"/>
              </w:rPr>
            </w:pPr>
          </w:p>
          <w:p w14:paraId="287DDD3A">
            <w:pPr>
              <w:spacing w:before="109" w:line="254" w:lineRule="auto"/>
              <w:ind w:left="136"/>
              <w:jc w:val="both"/>
              <w:rPr>
                <w:rFonts w:hint="eastAsia" w:ascii="宋体" w:hAnsi="宋体" w:eastAsia="宋体" w:cs="宋体"/>
                <w:spacing w:val="10"/>
                <w:sz w:val="21"/>
                <w:szCs w:val="21"/>
              </w:rPr>
            </w:pPr>
          </w:p>
          <w:p w14:paraId="7FC24553">
            <w:pPr>
              <w:spacing w:before="109" w:line="254" w:lineRule="auto"/>
              <w:ind w:left="136"/>
              <w:jc w:val="both"/>
              <w:rPr>
                <w:rFonts w:hint="eastAsia" w:ascii="宋体" w:hAnsi="宋体" w:eastAsia="宋体" w:cs="宋体"/>
                <w:spacing w:val="10"/>
                <w:sz w:val="21"/>
                <w:szCs w:val="21"/>
              </w:rPr>
            </w:pPr>
          </w:p>
          <w:p w14:paraId="629F161C">
            <w:pPr>
              <w:spacing w:before="109" w:line="254" w:lineRule="auto"/>
              <w:ind w:left="136"/>
              <w:jc w:val="both"/>
              <w:rPr>
                <w:rFonts w:hint="eastAsia" w:ascii="宋体" w:hAnsi="宋体" w:eastAsia="宋体" w:cs="宋体"/>
                <w:spacing w:val="10"/>
                <w:sz w:val="21"/>
                <w:szCs w:val="21"/>
              </w:rPr>
            </w:pPr>
          </w:p>
          <w:p w14:paraId="15D80A9D">
            <w:pPr>
              <w:spacing w:before="109" w:line="254" w:lineRule="auto"/>
              <w:ind w:left="136"/>
              <w:jc w:val="both"/>
              <w:rPr>
                <w:rFonts w:hint="eastAsia" w:ascii="宋体" w:hAnsi="宋体" w:eastAsia="宋体" w:cs="宋体"/>
                <w:spacing w:val="10"/>
                <w:sz w:val="21"/>
                <w:szCs w:val="21"/>
              </w:rPr>
            </w:pPr>
          </w:p>
          <w:p w14:paraId="07039C04">
            <w:pPr>
              <w:spacing w:before="109" w:line="254" w:lineRule="auto"/>
              <w:ind w:left="136"/>
              <w:jc w:val="both"/>
              <w:rPr>
                <w:rFonts w:hint="eastAsia" w:ascii="宋体" w:hAnsi="宋体" w:eastAsia="宋体" w:cs="宋体"/>
                <w:spacing w:val="10"/>
                <w:sz w:val="21"/>
                <w:szCs w:val="21"/>
              </w:rPr>
            </w:pPr>
          </w:p>
          <w:p w14:paraId="21E45383">
            <w:pPr>
              <w:spacing w:before="109" w:line="254" w:lineRule="auto"/>
              <w:ind w:left="136"/>
              <w:jc w:val="both"/>
              <w:rPr>
                <w:rFonts w:hint="eastAsia" w:ascii="宋体" w:hAnsi="宋体" w:eastAsia="宋体" w:cs="宋体"/>
                <w:spacing w:val="10"/>
                <w:sz w:val="21"/>
                <w:szCs w:val="21"/>
              </w:rPr>
            </w:pPr>
          </w:p>
          <w:p w14:paraId="4632F949">
            <w:pPr>
              <w:spacing w:before="109" w:line="254" w:lineRule="auto"/>
              <w:ind w:left="136"/>
              <w:jc w:val="both"/>
              <w:rPr>
                <w:rFonts w:hint="eastAsia" w:ascii="宋体" w:hAnsi="宋体" w:eastAsia="宋体" w:cs="宋体"/>
                <w:spacing w:val="10"/>
                <w:sz w:val="21"/>
                <w:szCs w:val="21"/>
              </w:rPr>
            </w:pPr>
          </w:p>
          <w:p w14:paraId="66407094">
            <w:pPr>
              <w:spacing w:before="109" w:line="254" w:lineRule="auto"/>
              <w:ind w:left="136"/>
              <w:jc w:val="both"/>
              <w:rPr>
                <w:rFonts w:hint="eastAsia" w:ascii="宋体" w:hAnsi="宋体" w:eastAsia="宋体" w:cs="宋体"/>
                <w:spacing w:val="10"/>
                <w:sz w:val="21"/>
                <w:szCs w:val="21"/>
              </w:rPr>
            </w:pPr>
            <w:r>
              <w:rPr>
                <w:rFonts w:hint="eastAsia" w:ascii="宋体" w:hAnsi="宋体" w:eastAsia="宋体" w:cs="宋体"/>
                <w:spacing w:val="10"/>
                <w:sz w:val="21"/>
                <w:szCs w:val="21"/>
              </w:rPr>
              <w:t>储存设施异常运行和变更管理</w:t>
            </w:r>
            <w:r>
              <w:rPr>
                <w:rFonts w:hint="eastAsia" w:ascii="宋体" w:hAnsi="宋体" w:eastAsia="宋体" w:cs="宋体"/>
                <w:spacing w:val="-2"/>
                <w:sz w:val="21"/>
                <w:szCs w:val="21"/>
              </w:rPr>
              <w:t>储存设施</w:t>
            </w:r>
          </w:p>
        </w:tc>
      </w:tr>
    </w:tbl>
    <w:p w14:paraId="702E8CC5">
      <w:pPr>
        <w:sectPr>
          <w:pgSz w:w="16840" w:h="11900"/>
          <w:pgMar w:top="1440" w:right="1080" w:bottom="1440" w:left="1080" w:header="0" w:footer="0" w:gutter="0"/>
          <w:pgNumType w:fmt="decimal"/>
          <w:cols w:space="720" w:num="1"/>
        </w:sectPr>
      </w:pPr>
    </w:p>
    <w:p w14:paraId="3A4480DA"/>
    <w:p w14:paraId="72A61223">
      <w:pPr>
        <w:spacing w:line="23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18"/>
        <w:gridCol w:w="3497"/>
        <w:gridCol w:w="2868"/>
        <w:gridCol w:w="3511"/>
        <w:gridCol w:w="1160"/>
      </w:tblGrid>
      <w:tr w14:paraId="35635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74" w:type="dxa"/>
            <w:noWrap w:val="0"/>
            <w:vAlign w:val="top"/>
          </w:tcPr>
          <w:p w14:paraId="0655DC63">
            <w:pPr>
              <w:spacing w:before="22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18" w:type="dxa"/>
            <w:noWrap w:val="0"/>
            <w:vAlign w:val="top"/>
          </w:tcPr>
          <w:p w14:paraId="042EF211">
            <w:pPr>
              <w:spacing w:before="85" w:line="219" w:lineRule="auto"/>
              <w:ind w:left="611"/>
              <w:rPr>
                <w:rFonts w:ascii="宋体" w:hAnsi="宋体" w:eastAsia="宋体" w:cs="宋体"/>
                <w:b/>
                <w:bCs/>
                <w:sz w:val="24"/>
                <w:szCs w:val="24"/>
              </w:rPr>
            </w:pPr>
            <w:r>
              <w:rPr>
                <w:rFonts w:ascii="宋体" w:hAnsi="宋体" w:eastAsia="宋体" w:cs="宋体"/>
                <w:b/>
                <w:bCs/>
                <w:spacing w:val="3"/>
                <w:sz w:val="24"/>
                <w:szCs w:val="24"/>
              </w:rPr>
              <w:t>执法检查</w:t>
            </w:r>
          </w:p>
          <w:p w14:paraId="1F50F8D8">
            <w:pPr>
              <w:spacing w:before="44" w:line="200" w:lineRule="auto"/>
              <w:ind w:left="401"/>
              <w:rPr>
                <w:rFonts w:ascii="宋体" w:hAnsi="宋体" w:eastAsia="宋体" w:cs="宋体"/>
                <w:b/>
                <w:bCs/>
                <w:sz w:val="24"/>
                <w:szCs w:val="24"/>
              </w:rPr>
            </w:pPr>
            <w:r>
              <w:rPr>
                <w:rFonts w:ascii="宋体" w:hAnsi="宋体" w:eastAsia="宋体" w:cs="宋体"/>
                <w:b/>
                <w:bCs/>
                <w:spacing w:val="2"/>
                <w:sz w:val="24"/>
                <w:szCs w:val="24"/>
              </w:rPr>
              <w:t>重点事项内容</w:t>
            </w:r>
          </w:p>
        </w:tc>
        <w:tc>
          <w:tcPr>
            <w:tcW w:w="3497" w:type="dxa"/>
            <w:noWrap w:val="0"/>
            <w:vAlign w:val="top"/>
          </w:tcPr>
          <w:p w14:paraId="5BC59B1A">
            <w:pPr>
              <w:spacing w:before="219" w:line="219" w:lineRule="auto"/>
              <w:ind w:left="1036"/>
              <w:rPr>
                <w:rFonts w:ascii="宋体" w:hAnsi="宋体" w:eastAsia="宋体" w:cs="宋体"/>
                <w:b/>
                <w:bCs/>
                <w:sz w:val="24"/>
                <w:szCs w:val="24"/>
              </w:rPr>
            </w:pPr>
            <w:r>
              <w:rPr>
                <w:rFonts w:ascii="宋体" w:hAnsi="宋体" w:eastAsia="宋体" w:cs="宋体"/>
                <w:b/>
                <w:bCs/>
                <w:spacing w:val="-4"/>
                <w:sz w:val="24"/>
                <w:szCs w:val="24"/>
              </w:rPr>
              <w:t>执法检查依据</w:t>
            </w:r>
          </w:p>
        </w:tc>
        <w:tc>
          <w:tcPr>
            <w:tcW w:w="2868" w:type="dxa"/>
            <w:noWrap w:val="0"/>
            <w:vAlign w:val="top"/>
          </w:tcPr>
          <w:p w14:paraId="6592F6EB">
            <w:pPr>
              <w:spacing w:before="95" w:line="220" w:lineRule="auto"/>
              <w:ind w:left="825"/>
              <w:rPr>
                <w:rFonts w:ascii="宋体" w:hAnsi="宋体" w:eastAsia="宋体" w:cs="宋体"/>
                <w:b/>
                <w:bCs/>
                <w:sz w:val="24"/>
                <w:szCs w:val="24"/>
              </w:rPr>
            </w:pPr>
            <w:r>
              <w:rPr>
                <w:rFonts w:ascii="宋体" w:hAnsi="宋体" w:eastAsia="宋体" w:cs="宋体"/>
                <w:b/>
                <w:bCs/>
                <w:spacing w:val="-2"/>
                <w:sz w:val="24"/>
                <w:szCs w:val="24"/>
              </w:rPr>
              <w:t>有关规范性</w:t>
            </w:r>
          </w:p>
          <w:p w14:paraId="4CD1A511">
            <w:pPr>
              <w:spacing w:before="29" w:line="202" w:lineRule="auto"/>
              <w:ind w:left="589"/>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3511" w:type="dxa"/>
            <w:noWrap w:val="0"/>
            <w:vAlign w:val="top"/>
          </w:tcPr>
          <w:p w14:paraId="17F91FC4">
            <w:pPr>
              <w:spacing w:before="223" w:line="219" w:lineRule="auto"/>
              <w:ind w:left="957"/>
              <w:rPr>
                <w:rFonts w:ascii="宋体" w:hAnsi="宋体" w:eastAsia="宋体" w:cs="宋体"/>
                <w:b/>
                <w:bCs/>
                <w:sz w:val="24"/>
                <w:szCs w:val="24"/>
              </w:rPr>
            </w:pPr>
            <w:r>
              <w:rPr>
                <w:rFonts w:ascii="宋体" w:hAnsi="宋体" w:eastAsia="宋体" w:cs="宋体"/>
                <w:b/>
                <w:bCs/>
                <w:spacing w:val="3"/>
                <w:sz w:val="24"/>
                <w:szCs w:val="24"/>
              </w:rPr>
              <w:t>处罚依据</w:t>
            </w:r>
          </w:p>
        </w:tc>
        <w:tc>
          <w:tcPr>
            <w:tcW w:w="1160" w:type="dxa"/>
            <w:noWrap w:val="0"/>
            <w:vAlign w:val="top"/>
          </w:tcPr>
          <w:p w14:paraId="6F7CF172">
            <w:pPr>
              <w:spacing w:before="222" w:line="221" w:lineRule="auto"/>
              <w:ind w:left="403"/>
              <w:rPr>
                <w:rFonts w:ascii="宋体" w:hAnsi="宋体" w:eastAsia="宋体" w:cs="宋体"/>
                <w:b/>
                <w:bCs/>
                <w:sz w:val="24"/>
                <w:szCs w:val="24"/>
              </w:rPr>
            </w:pPr>
            <w:r>
              <w:rPr>
                <w:rFonts w:ascii="宋体" w:hAnsi="宋体" w:eastAsia="宋体" w:cs="宋体"/>
                <w:b/>
                <w:bCs/>
                <w:spacing w:val="-6"/>
                <w:sz w:val="24"/>
                <w:szCs w:val="24"/>
              </w:rPr>
              <w:t>备注</w:t>
            </w:r>
          </w:p>
        </w:tc>
      </w:tr>
      <w:tr w14:paraId="1B130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4" w:hRule="atLeast"/>
          <w:jc w:val="center"/>
        </w:trPr>
        <w:tc>
          <w:tcPr>
            <w:tcW w:w="874" w:type="dxa"/>
            <w:noWrap w:val="0"/>
            <w:vAlign w:val="center"/>
          </w:tcPr>
          <w:p w14:paraId="7CFC6C8D">
            <w:pPr>
              <w:jc w:val="center"/>
              <w:rPr>
                <w:rFonts w:hint="eastAsia" w:ascii="Arial" w:eastAsia="宋体"/>
                <w:sz w:val="21"/>
                <w:lang w:val="en-US" w:eastAsia="zh-CN"/>
              </w:rPr>
            </w:pPr>
            <w:r>
              <w:rPr>
                <w:rFonts w:hint="eastAsia" w:ascii="宋体" w:hAnsi="宋体" w:eastAsia="宋体" w:cs="宋体"/>
                <w:sz w:val="24"/>
                <w:szCs w:val="24"/>
                <w:lang w:val="en-US" w:eastAsia="zh-CN"/>
              </w:rPr>
              <w:t>7</w:t>
            </w:r>
          </w:p>
        </w:tc>
        <w:tc>
          <w:tcPr>
            <w:tcW w:w="2218" w:type="dxa"/>
            <w:noWrap w:val="0"/>
            <w:vAlign w:val="top"/>
          </w:tcPr>
          <w:p w14:paraId="2C88CD35">
            <w:pPr>
              <w:spacing w:before="71" w:line="220" w:lineRule="auto"/>
              <w:ind w:left="111"/>
              <w:rPr>
                <w:rFonts w:ascii="宋体" w:hAnsi="宋体" w:eastAsia="宋体" w:cs="宋体"/>
                <w:sz w:val="21"/>
                <w:szCs w:val="21"/>
              </w:rPr>
            </w:pPr>
            <w:r>
              <w:rPr>
                <w:rFonts w:ascii="宋体" w:hAnsi="宋体" w:eastAsia="宋体" w:cs="宋体"/>
                <w:spacing w:val="17"/>
                <w:sz w:val="21"/>
                <w:szCs w:val="21"/>
              </w:rPr>
              <w:t>行中浮盘落底。</w:t>
            </w:r>
          </w:p>
        </w:tc>
        <w:tc>
          <w:tcPr>
            <w:tcW w:w="3497" w:type="dxa"/>
            <w:noWrap w:val="0"/>
            <w:vAlign w:val="top"/>
          </w:tcPr>
          <w:p w14:paraId="639DB46E">
            <w:pPr>
              <w:spacing w:before="89" w:line="250" w:lineRule="auto"/>
              <w:ind w:left="122"/>
              <w:jc w:val="both"/>
              <w:rPr>
                <w:rFonts w:ascii="宋体" w:hAnsi="宋体" w:eastAsia="宋体" w:cs="宋体"/>
                <w:sz w:val="21"/>
                <w:szCs w:val="21"/>
              </w:rPr>
            </w:pPr>
            <w:r>
              <w:rPr>
                <w:rFonts w:ascii="宋体" w:hAnsi="宋体" w:eastAsia="宋体" w:cs="宋体"/>
                <w:spacing w:val="7"/>
                <w:sz w:val="21"/>
                <w:szCs w:val="21"/>
              </w:rPr>
              <w:t>例》第二十四条第二款危险化</w:t>
            </w:r>
            <w:r>
              <w:rPr>
                <w:rFonts w:ascii="宋体" w:hAnsi="宋体" w:eastAsia="宋体" w:cs="宋体"/>
                <w:spacing w:val="10"/>
                <w:sz w:val="21"/>
                <w:szCs w:val="21"/>
              </w:rPr>
              <w:t>学品的储存方式、方法以及储存</w:t>
            </w:r>
            <w:r>
              <w:rPr>
                <w:rFonts w:ascii="宋体" w:hAnsi="宋体" w:eastAsia="宋体" w:cs="宋体"/>
                <w:spacing w:val="20"/>
                <w:sz w:val="21"/>
                <w:szCs w:val="21"/>
              </w:rPr>
              <w:t>数量应当符合国家标准或者国</w:t>
            </w:r>
            <w:r>
              <w:rPr>
                <w:rFonts w:ascii="宋体" w:hAnsi="宋体" w:eastAsia="宋体" w:cs="宋体"/>
                <w:spacing w:val="28"/>
                <w:sz w:val="21"/>
                <w:szCs w:val="21"/>
              </w:rPr>
              <w:t>家有关规定。</w:t>
            </w:r>
          </w:p>
          <w:p w14:paraId="7120F459">
            <w:pPr>
              <w:spacing w:before="33" w:line="244" w:lineRule="auto"/>
              <w:ind w:left="112" w:right="23" w:firstLine="470"/>
              <w:jc w:val="both"/>
              <w:rPr>
                <w:rFonts w:ascii="宋体" w:hAnsi="宋体" w:eastAsia="宋体" w:cs="宋体"/>
                <w:sz w:val="21"/>
                <w:szCs w:val="21"/>
              </w:rPr>
            </w:pPr>
            <w:r>
              <w:rPr>
                <w:rFonts w:ascii="宋体" w:hAnsi="宋体" w:eastAsia="宋体" w:cs="宋体"/>
                <w:spacing w:val="-11"/>
                <w:sz w:val="21"/>
                <w:szCs w:val="21"/>
              </w:rPr>
              <w:t>2.《油气罐区防火防爆十条</w:t>
            </w:r>
            <w:r>
              <w:rPr>
                <w:rFonts w:ascii="宋体" w:hAnsi="宋体" w:eastAsia="宋体" w:cs="宋体"/>
                <w:spacing w:val="2"/>
                <w:sz w:val="21"/>
                <w:szCs w:val="21"/>
              </w:rPr>
              <w:t>规定》(安监总政法〔2017〕15</w:t>
            </w:r>
            <w:r>
              <w:rPr>
                <w:rFonts w:ascii="宋体" w:hAnsi="宋体" w:eastAsia="宋体" w:cs="宋体"/>
                <w:sz w:val="21"/>
                <w:szCs w:val="21"/>
              </w:rPr>
              <w:t>号)第六条严禁内浮顶储罐运</w:t>
            </w:r>
            <w:r>
              <w:rPr>
                <w:rFonts w:ascii="宋体" w:hAnsi="宋体" w:eastAsia="宋体" w:cs="宋体"/>
                <w:spacing w:val="18"/>
                <w:sz w:val="21"/>
                <w:szCs w:val="21"/>
              </w:rPr>
              <w:t>行中浮盘落底。</w:t>
            </w:r>
          </w:p>
        </w:tc>
        <w:tc>
          <w:tcPr>
            <w:tcW w:w="2868" w:type="dxa"/>
            <w:noWrap w:val="0"/>
            <w:vAlign w:val="top"/>
          </w:tcPr>
          <w:p w14:paraId="75B93965">
            <w:pPr>
              <w:rPr>
                <w:rFonts w:ascii="Arial"/>
                <w:sz w:val="21"/>
                <w:szCs w:val="21"/>
              </w:rPr>
            </w:pPr>
          </w:p>
        </w:tc>
        <w:tc>
          <w:tcPr>
            <w:tcW w:w="3511" w:type="dxa"/>
            <w:noWrap w:val="0"/>
            <w:vAlign w:val="top"/>
          </w:tcPr>
          <w:p w14:paraId="0860649A">
            <w:pPr>
              <w:spacing w:before="96" w:line="255" w:lineRule="auto"/>
              <w:ind w:left="147"/>
              <w:jc w:val="both"/>
              <w:rPr>
                <w:rFonts w:ascii="宋体" w:hAnsi="宋体" w:eastAsia="宋体" w:cs="宋体"/>
                <w:sz w:val="21"/>
                <w:szCs w:val="21"/>
              </w:rPr>
            </w:pPr>
            <w:r>
              <w:rPr>
                <w:rFonts w:ascii="宋体" w:hAnsi="宋体" w:eastAsia="宋体" w:cs="宋体"/>
                <w:spacing w:val="4"/>
                <w:sz w:val="21"/>
                <w:szCs w:val="21"/>
              </w:rPr>
              <w:t>管理条例》第八十条第五</w:t>
            </w:r>
            <w:r>
              <w:rPr>
                <w:rFonts w:ascii="宋体" w:hAnsi="宋体" w:eastAsia="宋体" w:cs="宋体"/>
                <w:spacing w:val="3"/>
                <w:sz w:val="21"/>
                <w:szCs w:val="21"/>
              </w:rPr>
              <w:t>项生产、储存、使用危</w:t>
            </w:r>
            <w:r>
              <w:rPr>
                <w:rFonts w:ascii="宋体" w:hAnsi="宋体" w:eastAsia="宋体" w:cs="宋体"/>
                <w:spacing w:val="25"/>
                <w:sz w:val="21"/>
                <w:szCs w:val="21"/>
              </w:rPr>
              <w:t>险化学品的单位有下列</w:t>
            </w:r>
            <w:r>
              <w:rPr>
                <w:rFonts w:ascii="宋体" w:hAnsi="宋体" w:eastAsia="宋体" w:cs="宋体"/>
                <w:spacing w:val="5"/>
                <w:sz w:val="21"/>
                <w:szCs w:val="21"/>
              </w:rPr>
              <w:t>情形之一的，由安全生产</w:t>
            </w:r>
            <w:r>
              <w:rPr>
                <w:rFonts w:ascii="宋体" w:hAnsi="宋体" w:eastAsia="宋体" w:cs="宋体"/>
                <w:spacing w:val="14"/>
                <w:sz w:val="21"/>
                <w:szCs w:val="21"/>
              </w:rPr>
              <w:t>监督管理部门责令改正，</w:t>
            </w:r>
            <w:r>
              <w:rPr>
                <w:rFonts w:ascii="宋体" w:hAnsi="宋体" w:eastAsia="宋体" w:cs="宋体"/>
                <w:spacing w:val="33"/>
                <w:sz w:val="21"/>
                <w:szCs w:val="21"/>
              </w:rPr>
              <w:t>处5万元以上10万元以</w:t>
            </w:r>
            <w:r>
              <w:rPr>
                <w:rFonts w:ascii="宋体" w:hAnsi="宋体" w:eastAsia="宋体" w:cs="宋体"/>
                <w:spacing w:val="14"/>
                <w:sz w:val="21"/>
                <w:szCs w:val="21"/>
              </w:rPr>
              <w:t>下的罚款；拒不改正的，</w:t>
            </w:r>
            <w:r>
              <w:rPr>
                <w:rFonts w:ascii="宋体" w:hAnsi="宋体" w:eastAsia="宋体" w:cs="宋体"/>
                <w:spacing w:val="24"/>
                <w:sz w:val="21"/>
                <w:szCs w:val="21"/>
              </w:rPr>
              <w:t>责令停产停业整顿直至</w:t>
            </w:r>
            <w:r>
              <w:rPr>
                <w:rFonts w:ascii="宋体" w:hAnsi="宋体" w:eastAsia="宋体" w:cs="宋体"/>
                <w:spacing w:val="23"/>
                <w:sz w:val="21"/>
                <w:szCs w:val="21"/>
              </w:rPr>
              <w:t>由原发证机关吊销其相</w:t>
            </w:r>
            <w:r>
              <w:rPr>
                <w:rFonts w:ascii="宋体" w:hAnsi="宋体" w:eastAsia="宋体" w:cs="宋体"/>
                <w:spacing w:val="4"/>
                <w:sz w:val="21"/>
                <w:szCs w:val="21"/>
              </w:rPr>
              <w:t>关许可证件，并由工商行</w:t>
            </w:r>
            <w:r>
              <w:rPr>
                <w:rFonts w:ascii="宋体" w:hAnsi="宋体" w:eastAsia="宋体" w:cs="宋体"/>
                <w:spacing w:val="26"/>
                <w:sz w:val="21"/>
                <w:szCs w:val="21"/>
              </w:rPr>
              <w:t>政管理部门责令其办理</w:t>
            </w:r>
            <w:r>
              <w:rPr>
                <w:rFonts w:ascii="宋体" w:hAnsi="宋体" w:eastAsia="宋体" w:cs="宋体"/>
                <w:spacing w:val="24"/>
                <w:sz w:val="21"/>
                <w:szCs w:val="21"/>
              </w:rPr>
              <w:t>经营范围变更登记或者</w:t>
            </w:r>
            <w:r>
              <w:rPr>
                <w:rFonts w:ascii="宋体" w:hAnsi="宋体" w:eastAsia="宋体" w:cs="宋体"/>
                <w:spacing w:val="5"/>
                <w:sz w:val="21"/>
                <w:szCs w:val="21"/>
              </w:rPr>
              <w:t>吊销其营业执照；有关责</w:t>
            </w:r>
            <w:r>
              <w:rPr>
                <w:rFonts w:ascii="宋体" w:hAnsi="宋体" w:eastAsia="宋体" w:cs="宋体"/>
                <w:spacing w:val="3"/>
                <w:sz w:val="21"/>
                <w:szCs w:val="21"/>
              </w:rPr>
              <w:t>任人员构成犯罪的，依法</w:t>
            </w:r>
            <w:r>
              <w:rPr>
                <w:rFonts w:ascii="宋体" w:hAnsi="宋体" w:eastAsia="宋体" w:cs="宋体"/>
                <w:spacing w:val="20"/>
                <w:sz w:val="21"/>
                <w:szCs w:val="21"/>
              </w:rPr>
              <w:t>追究刑事责任：</w:t>
            </w:r>
          </w:p>
          <w:p w14:paraId="55B5CC7A">
            <w:pPr>
              <w:spacing w:before="48" w:line="231" w:lineRule="auto"/>
              <w:ind w:left="147" w:right="58" w:firstLine="560"/>
              <w:jc w:val="both"/>
              <w:rPr>
                <w:rFonts w:ascii="宋体" w:hAnsi="宋体" w:eastAsia="宋体" w:cs="宋体"/>
                <w:sz w:val="21"/>
                <w:szCs w:val="21"/>
              </w:rPr>
            </w:pPr>
            <w:r>
              <w:rPr>
                <w:rFonts w:ascii="宋体" w:hAnsi="宋体" w:eastAsia="宋体" w:cs="宋体"/>
                <w:spacing w:val="15"/>
                <w:sz w:val="21"/>
                <w:szCs w:val="21"/>
              </w:rPr>
              <w:t>(五)危险化学品的</w:t>
            </w:r>
            <w:r>
              <w:rPr>
                <w:rFonts w:ascii="宋体" w:hAnsi="宋体" w:eastAsia="宋体" w:cs="宋体"/>
                <w:spacing w:val="-1"/>
                <w:sz w:val="21"/>
                <w:szCs w:val="21"/>
              </w:rPr>
              <w:t>储存方式、方法或者储存</w:t>
            </w:r>
            <w:r>
              <w:rPr>
                <w:rFonts w:ascii="宋体" w:hAnsi="宋体" w:eastAsia="宋体" w:cs="宋体"/>
                <w:spacing w:val="21"/>
                <w:sz w:val="21"/>
                <w:szCs w:val="21"/>
              </w:rPr>
              <w:t>数量不符合国家标准或</w:t>
            </w:r>
            <w:r>
              <w:rPr>
                <w:rFonts w:ascii="宋体" w:hAnsi="宋体" w:eastAsia="宋体" w:cs="宋体"/>
                <w:spacing w:val="13"/>
                <w:sz w:val="21"/>
                <w:szCs w:val="21"/>
              </w:rPr>
              <w:t>者国家有关规定的。</w:t>
            </w:r>
          </w:p>
        </w:tc>
        <w:tc>
          <w:tcPr>
            <w:tcW w:w="1160" w:type="dxa"/>
            <w:noWrap w:val="0"/>
            <w:vAlign w:val="top"/>
          </w:tcPr>
          <w:p w14:paraId="6E7B69DE">
            <w:pPr>
              <w:spacing w:before="69" w:line="237" w:lineRule="auto"/>
              <w:ind w:left="139" w:right="121"/>
              <w:rPr>
                <w:rFonts w:ascii="宋体" w:hAnsi="宋体" w:eastAsia="宋体" w:cs="宋体"/>
                <w:sz w:val="21"/>
                <w:szCs w:val="21"/>
              </w:rPr>
            </w:pPr>
            <w:r>
              <w:rPr>
                <w:rFonts w:ascii="宋体" w:hAnsi="宋体" w:eastAsia="宋体" w:cs="宋体"/>
                <w:spacing w:val="3"/>
                <w:sz w:val="21"/>
                <w:szCs w:val="21"/>
              </w:rPr>
              <w:t>异常运行</w:t>
            </w:r>
            <w:r>
              <w:rPr>
                <w:rFonts w:ascii="宋体" w:hAnsi="宋体" w:eastAsia="宋体" w:cs="宋体"/>
                <w:spacing w:val="4"/>
                <w:sz w:val="21"/>
                <w:szCs w:val="21"/>
              </w:rPr>
              <w:t>管理</w:t>
            </w:r>
          </w:p>
        </w:tc>
      </w:tr>
      <w:tr w14:paraId="5517D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jc w:val="center"/>
        </w:trPr>
        <w:tc>
          <w:tcPr>
            <w:tcW w:w="874" w:type="dxa"/>
            <w:noWrap w:val="0"/>
            <w:vAlign w:val="top"/>
          </w:tcPr>
          <w:p w14:paraId="2C8B0E76">
            <w:pPr>
              <w:spacing w:line="259" w:lineRule="auto"/>
              <w:rPr>
                <w:rFonts w:ascii="Arial"/>
                <w:sz w:val="21"/>
              </w:rPr>
            </w:pPr>
          </w:p>
          <w:p w14:paraId="54B72A22">
            <w:pPr>
              <w:spacing w:line="260" w:lineRule="auto"/>
              <w:rPr>
                <w:rFonts w:ascii="Arial"/>
                <w:sz w:val="21"/>
              </w:rPr>
            </w:pPr>
          </w:p>
          <w:p w14:paraId="1A5C5F9D">
            <w:pPr>
              <w:spacing w:before="78" w:line="183" w:lineRule="auto"/>
              <w:ind w:left="3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218" w:type="dxa"/>
            <w:noWrap w:val="0"/>
            <w:vAlign w:val="top"/>
          </w:tcPr>
          <w:p w14:paraId="4E7C49B1">
            <w:pPr>
              <w:spacing w:before="108" w:line="241" w:lineRule="auto"/>
              <w:ind w:left="111" w:right="163"/>
              <w:jc w:val="both"/>
              <w:rPr>
                <w:rFonts w:ascii="宋体" w:hAnsi="宋体" w:eastAsia="宋体" w:cs="宋体"/>
                <w:sz w:val="21"/>
                <w:szCs w:val="21"/>
              </w:rPr>
            </w:pPr>
            <w:r>
              <w:rPr>
                <w:rFonts w:ascii="宋体" w:hAnsi="宋体" w:eastAsia="宋体" w:cs="宋体"/>
                <w:spacing w:val="11"/>
                <w:sz w:val="21"/>
                <w:szCs w:val="21"/>
              </w:rPr>
              <w:t>危险化学品重大危险源企业双重预防机制未构建或者未</w:t>
            </w:r>
            <w:r>
              <w:rPr>
                <w:rFonts w:ascii="宋体" w:hAnsi="宋体" w:eastAsia="宋体" w:cs="宋体"/>
                <w:spacing w:val="29"/>
                <w:sz w:val="21"/>
                <w:szCs w:val="21"/>
              </w:rPr>
              <w:t>有效运行的。</w:t>
            </w:r>
          </w:p>
        </w:tc>
        <w:tc>
          <w:tcPr>
            <w:tcW w:w="3497" w:type="dxa"/>
            <w:noWrap w:val="0"/>
            <w:vAlign w:val="top"/>
          </w:tcPr>
          <w:p w14:paraId="771D98BA">
            <w:pPr>
              <w:spacing w:before="117" w:line="239" w:lineRule="auto"/>
              <w:ind w:left="122" w:firstLine="458"/>
              <w:jc w:val="both"/>
              <w:rPr>
                <w:rFonts w:ascii="宋体" w:hAnsi="宋体" w:eastAsia="宋体" w:cs="宋体"/>
                <w:sz w:val="21"/>
                <w:szCs w:val="21"/>
              </w:rPr>
            </w:pPr>
            <w:r>
              <w:rPr>
                <w:rFonts w:ascii="宋体" w:hAnsi="宋体" w:eastAsia="宋体" w:cs="宋体"/>
                <w:spacing w:val="23"/>
                <w:sz w:val="21"/>
                <w:szCs w:val="21"/>
              </w:rPr>
              <w:t>《中华人民共和国安全生</w:t>
            </w:r>
            <w:r>
              <w:rPr>
                <w:rFonts w:ascii="宋体" w:hAnsi="宋体" w:eastAsia="宋体" w:cs="宋体"/>
                <w:spacing w:val="10"/>
                <w:sz w:val="21"/>
                <w:szCs w:val="21"/>
              </w:rPr>
              <w:t>产法》第四十一条第一款、第二</w:t>
            </w:r>
            <w:r>
              <w:rPr>
                <w:rFonts w:ascii="宋体" w:hAnsi="宋体" w:eastAsia="宋体" w:cs="宋体"/>
                <w:spacing w:val="18"/>
                <w:sz w:val="21"/>
                <w:szCs w:val="21"/>
              </w:rPr>
              <w:t>款生产经营单位应当建立安</w:t>
            </w:r>
            <w:r>
              <w:rPr>
                <w:rFonts w:ascii="宋体" w:hAnsi="宋体" w:eastAsia="宋体" w:cs="宋体"/>
                <w:spacing w:val="10"/>
                <w:sz w:val="21"/>
                <w:szCs w:val="21"/>
              </w:rPr>
              <w:t>全风险分级管控制度，按照安全</w:t>
            </w:r>
          </w:p>
        </w:tc>
        <w:tc>
          <w:tcPr>
            <w:tcW w:w="2868" w:type="dxa"/>
            <w:noWrap w:val="0"/>
            <w:vAlign w:val="top"/>
          </w:tcPr>
          <w:p w14:paraId="7D667CE7">
            <w:pPr>
              <w:rPr>
                <w:rFonts w:ascii="Arial"/>
                <w:sz w:val="21"/>
                <w:szCs w:val="21"/>
              </w:rPr>
            </w:pPr>
          </w:p>
        </w:tc>
        <w:tc>
          <w:tcPr>
            <w:tcW w:w="3511" w:type="dxa"/>
            <w:noWrap w:val="0"/>
            <w:vAlign w:val="top"/>
          </w:tcPr>
          <w:p w14:paraId="0DA73151">
            <w:pPr>
              <w:spacing w:before="107" w:line="231" w:lineRule="auto"/>
              <w:ind w:left="147" w:right="35" w:firstLine="459"/>
              <w:jc w:val="both"/>
              <w:rPr>
                <w:rFonts w:ascii="宋体" w:hAnsi="宋体" w:eastAsia="宋体" w:cs="宋体"/>
                <w:sz w:val="21"/>
                <w:szCs w:val="21"/>
              </w:rPr>
            </w:pPr>
            <w:r>
              <w:rPr>
                <w:rFonts w:ascii="宋体" w:hAnsi="宋体" w:eastAsia="宋体" w:cs="宋体"/>
                <w:spacing w:val="27"/>
                <w:sz w:val="21"/>
                <w:szCs w:val="21"/>
              </w:rPr>
              <w:t>《中华人民共和国</w:t>
            </w:r>
            <w:r>
              <w:rPr>
                <w:rFonts w:ascii="宋体" w:hAnsi="宋体" w:eastAsia="宋体" w:cs="宋体"/>
                <w:spacing w:val="1"/>
                <w:sz w:val="21"/>
                <w:szCs w:val="21"/>
              </w:rPr>
              <w:t>安全生产法》第一百零一</w:t>
            </w:r>
            <w:r>
              <w:rPr>
                <w:rFonts w:ascii="宋体" w:hAnsi="宋体" w:eastAsia="宋体" w:cs="宋体"/>
                <w:spacing w:val="-1"/>
                <w:sz w:val="21"/>
                <w:szCs w:val="21"/>
              </w:rPr>
              <w:t>条第四项、第五项生产</w:t>
            </w:r>
            <w:r>
              <w:rPr>
                <w:rFonts w:ascii="宋体" w:hAnsi="宋体" w:eastAsia="宋体" w:cs="宋体"/>
                <w:spacing w:val="20"/>
                <w:sz w:val="21"/>
                <w:szCs w:val="21"/>
              </w:rPr>
              <w:t>经营单位有下列行为之</w:t>
            </w:r>
          </w:p>
        </w:tc>
        <w:tc>
          <w:tcPr>
            <w:tcW w:w="1160" w:type="dxa"/>
            <w:noWrap w:val="0"/>
            <w:vAlign w:val="top"/>
          </w:tcPr>
          <w:p w14:paraId="3A15CB3D">
            <w:pPr>
              <w:spacing w:line="330" w:lineRule="auto"/>
              <w:rPr>
                <w:rFonts w:ascii="Arial"/>
                <w:sz w:val="21"/>
                <w:szCs w:val="21"/>
              </w:rPr>
            </w:pPr>
          </w:p>
          <w:p w14:paraId="00236C2F">
            <w:pPr>
              <w:spacing w:before="78" w:line="236" w:lineRule="auto"/>
              <w:ind w:left="139" w:right="123"/>
              <w:rPr>
                <w:rFonts w:ascii="宋体" w:hAnsi="宋体" w:eastAsia="宋体" w:cs="宋体"/>
                <w:sz w:val="21"/>
                <w:szCs w:val="21"/>
              </w:rPr>
            </w:pPr>
            <w:r>
              <w:rPr>
                <w:rFonts w:ascii="宋体" w:hAnsi="宋体" w:eastAsia="宋体" w:cs="宋体"/>
                <w:spacing w:val="2"/>
                <w:sz w:val="21"/>
                <w:szCs w:val="21"/>
              </w:rPr>
              <w:t>重大危险</w:t>
            </w:r>
            <w:r>
              <w:rPr>
                <w:rFonts w:ascii="宋体" w:hAnsi="宋体" w:eastAsia="宋体" w:cs="宋体"/>
                <w:spacing w:val="-2"/>
                <w:sz w:val="21"/>
                <w:szCs w:val="21"/>
              </w:rPr>
              <w:t>源管理</w:t>
            </w:r>
          </w:p>
        </w:tc>
      </w:tr>
    </w:tbl>
    <w:p w14:paraId="1DD705FE">
      <w:pPr>
        <w:rPr>
          <w:rFonts w:ascii="Arial"/>
          <w:sz w:val="21"/>
        </w:rPr>
      </w:pPr>
    </w:p>
    <w:p w14:paraId="113E551E">
      <w:pPr>
        <w:sectPr>
          <w:pgSz w:w="16840" w:h="11900"/>
          <w:pgMar w:top="1440" w:right="1080" w:bottom="1440" w:left="1080" w:header="0" w:footer="0" w:gutter="0"/>
          <w:pgNumType w:fmt="decimal"/>
          <w:cols w:space="720" w:num="1"/>
        </w:sectPr>
      </w:pPr>
    </w:p>
    <w:p w14:paraId="7FA0B812"/>
    <w:p w14:paraId="6869822B">
      <w:pPr>
        <w:spacing w:line="14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39"/>
        <w:gridCol w:w="3507"/>
        <w:gridCol w:w="2868"/>
        <w:gridCol w:w="2838"/>
        <w:gridCol w:w="1244"/>
      </w:tblGrid>
      <w:tr w14:paraId="0E6E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64" w:type="dxa"/>
            <w:noWrap w:val="0"/>
            <w:vAlign w:val="top"/>
          </w:tcPr>
          <w:p w14:paraId="461C37FA">
            <w:pPr>
              <w:spacing w:before="21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39" w:type="dxa"/>
            <w:noWrap w:val="0"/>
            <w:vAlign w:val="top"/>
          </w:tcPr>
          <w:p w14:paraId="5742E303">
            <w:pPr>
              <w:spacing w:before="71" w:line="219" w:lineRule="auto"/>
              <w:ind w:left="634"/>
              <w:rPr>
                <w:rFonts w:ascii="宋体" w:hAnsi="宋体" w:eastAsia="宋体" w:cs="宋体"/>
                <w:b/>
                <w:bCs/>
                <w:sz w:val="24"/>
                <w:szCs w:val="24"/>
              </w:rPr>
            </w:pPr>
            <w:r>
              <w:rPr>
                <w:rFonts w:ascii="宋体" w:hAnsi="宋体" w:eastAsia="宋体" w:cs="宋体"/>
                <w:b/>
                <w:bCs/>
                <w:spacing w:val="-5"/>
                <w:sz w:val="24"/>
                <w:szCs w:val="24"/>
              </w:rPr>
              <w:t>执法检查</w:t>
            </w:r>
          </w:p>
          <w:p w14:paraId="476DE277">
            <w:pPr>
              <w:spacing w:before="38" w:line="207" w:lineRule="auto"/>
              <w:ind w:left="390"/>
              <w:rPr>
                <w:rFonts w:ascii="宋体" w:hAnsi="宋体" w:eastAsia="宋体" w:cs="宋体"/>
                <w:b/>
                <w:bCs/>
                <w:sz w:val="24"/>
                <w:szCs w:val="24"/>
              </w:rPr>
            </w:pPr>
            <w:r>
              <w:rPr>
                <w:rFonts w:ascii="宋体" w:hAnsi="宋体" w:eastAsia="宋体" w:cs="宋体"/>
                <w:b/>
                <w:bCs/>
                <w:spacing w:val="2"/>
                <w:sz w:val="24"/>
                <w:szCs w:val="24"/>
              </w:rPr>
              <w:t>重点事项内容</w:t>
            </w:r>
          </w:p>
        </w:tc>
        <w:tc>
          <w:tcPr>
            <w:tcW w:w="3507" w:type="dxa"/>
            <w:noWrap w:val="0"/>
            <w:vAlign w:val="top"/>
          </w:tcPr>
          <w:p w14:paraId="29FDD008">
            <w:pPr>
              <w:spacing w:before="213" w:line="219" w:lineRule="auto"/>
              <w:ind w:left="1031"/>
              <w:rPr>
                <w:rFonts w:ascii="宋体" w:hAnsi="宋体" w:eastAsia="宋体" w:cs="宋体"/>
                <w:b/>
                <w:bCs/>
                <w:sz w:val="24"/>
                <w:szCs w:val="24"/>
              </w:rPr>
            </w:pPr>
            <w:r>
              <w:rPr>
                <w:rFonts w:ascii="宋体" w:hAnsi="宋体" w:eastAsia="宋体" w:cs="宋体"/>
                <w:b/>
                <w:bCs/>
                <w:spacing w:val="2"/>
                <w:sz w:val="24"/>
                <w:szCs w:val="24"/>
              </w:rPr>
              <w:t>执法检查依据</w:t>
            </w:r>
          </w:p>
        </w:tc>
        <w:tc>
          <w:tcPr>
            <w:tcW w:w="2868" w:type="dxa"/>
            <w:noWrap w:val="0"/>
            <w:vAlign w:val="top"/>
          </w:tcPr>
          <w:p w14:paraId="11B89A3F">
            <w:pPr>
              <w:spacing w:before="65" w:line="220" w:lineRule="auto"/>
              <w:ind w:left="825"/>
              <w:rPr>
                <w:rFonts w:ascii="宋体" w:hAnsi="宋体" w:eastAsia="宋体" w:cs="宋体"/>
                <w:b/>
                <w:bCs/>
                <w:sz w:val="24"/>
                <w:szCs w:val="24"/>
              </w:rPr>
            </w:pPr>
            <w:r>
              <w:rPr>
                <w:rFonts w:ascii="宋体" w:hAnsi="宋体" w:eastAsia="宋体" w:cs="宋体"/>
                <w:b/>
                <w:bCs/>
                <w:spacing w:val="-2"/>
                <w:sz w:val="24"/>
                <w:szCs w:val="24"/>
              </w:rPr>
              <w:t>有关规范性</w:t>
            </w:r>
          </w:p>
          <w:p w14:paraId="20B9E053">
            <w:pPr>
              <w:spacing w:before="43" w:line="207" w:lineRule="auto"/>
              <w:ind w:left="584"/>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838" w:type="dxa"/>
            <w:noWrap w:val="0"/>
            <w:vAlign w:val="top"/>
          </w:tcPr>
          <w:p w14:paraId="541643E7">
            <w:pPr>
              <w:spacing w:before="213" w:line="219" w:lineRule="auto"/>
              <w:ind w:left="956"/>
              <w:rPr>
                <w:rFonts w:ascii="宋体" w:hAnsi="宋体" w:eastAsia="宋体" w:cs="宋体"/>
                <w:b/>
                <w:bCs/>
                <w:sz w:val="24"/>
                <w:szCs w:val="24"/>
              </w:rPr>
            </w:pPr>
            <w:r>
              <w:rPr>
                <w:rFonts w:ascii="宋体" w:hAnsi="宋体" w:eastAsia="宋体" w:cs="宋体"/>
                <w:b/>
                <w:bCs/>
                <w:spacing w:val="8"/>
                <w:sz w:val="24"/>
                <w:szCs w:val="24"/>
              </w:rPr>
              <w:t>处罚依据</w:t>
            </w:r>
          </w:p>
        </w:tc>
        <w:tc>
          <w:tcPr>
            <w:tcW w:w="1244" w:type="dxa"/>
            <w:noWrap w:val="0"/>
            <w:vAlign w:val="top"/>
          </w:tcPr>
          <w:p w14:paraId="73D5BA9E">
            <w:pPr>
              <w:spacing w:before="212" w:line="221" w:lineRule="auto"/>
              <w:ind w:left="392"/>
              <w:rPr>
                <w:rFonts w:ascii="宋体" w:hAnsi="宋体" w:eastAsia="宋体" w:cs="宋体"/>
                <w:b/>
                <w:bCs/>
                <w:sz w:val="24"/>
                <w:szCs w:val="24"/>
              </w:rPr>
            </w:pPr>
            <w:r>
              <w:rPr>
                <w:rFonts w:ascii="宋体" w:hAnsi="宋体" w:eastAsia="宋体" w:cs="宋体"/>
                <w:b/>
                <w:bCs/>
                <w:spacing w:val="-6"/>
                <w:sz w:val="24"/>
                <w:szCs w:val="24"/>
              </w:rPr>
              <w:t>备注</w:t>
            </w:r>
          </w:p>
        </w:tc>
      </w:tr>
      <w:tr w14:paraId="564C7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2" w:hRule="atLeast"/>
          <w:jc w:val="center"/>
        </w:trPr>
        <w:tc>
          <w:tcPr>
            <w:tcW w:w="864" w:type="dxa"/>
            <w:noWrap w:val="0"/>
            <w:vAlign w:val="top"/>
          </w:tcPr>
          <w:p w14:paraId="43C536E2">
            <w:pPr>
              <w:rPr>
                <w:rFonts w:ascii="Arial"/>
                <w:sz w:val="21"/>
              </w:rPr>
            </w:pPr>
          </w:p>
        </w:tc>
        <w:tc>
          <w:tcPr>
            <w:tcW w:w="2239" w:type="dxa"/>
            <w:noWrap w:val="0"/>
            <w:vAlign w:val="top"/>
          </w:tcPr>
          <w:p w14:paraId="70D87827">
            <w:pPr>
              <w:rPr>
                <w:rFonts w:ascii="Arial"/>
                <w:sz w:val="21"/>
              </w:rPr>
            </w:pPr>
          </w:p>
        </w:tc>
        <w:tc>
          <w:tcPr>
            <w:tcW w:w="3507" w:type="dxa"/>
            <w:noWrap w:val="0"/>
            <w:vAlign w:val="top"/>
          </w:tcPr>
          <w:p w14:paraId="7A0E37C9">
            <w:pPr>
              <w:spacing w:before="79" w:line="227" w:lineRule="auto"/>
              <w:ind w:left="132"/>
              <w:rPr>
                <w:rFonts w:ascii="宋体" w:hAnsi="宋体" w:eastAsia="宋体" w:cs="宋体"/>
                <w:sz w:val="21"/>
                <w:szCs w:val="21"/>
              </w:rPr>
            </w:pPr>
            <w:r>
              <w:rPr>
                <w:rFonts w:ascii="宋体" w:hAnsi="宋体" w:eastAsia="宋体" w:cs="宋体"/>
                <w:spacing w:val="10"/>
                <w:sz w:val="21"/>
                <w:szCs w:val="21"/>
              </w:rPr>
              <w:t>风险分级采取相应的管控措施。</w:t>
            </w:r>
          </w:p>
          <w:p w14:paraId="15BCA51C">
            <w:pPr>
              <w:spacing w:before="50" w:line="254" w:lineRule="auto"/>
              <w:ind w:left="132" w:firstLine="454"/>
              <w:jc w:val="both"/>
              <w:rPr>
                <w:rFonts w:ascii="宋体" w:hAnsi="宋体" w:eastAsia="宋体" w:cs="宋体"/>
                <w:sz w:val="21"/>
                <w:szCs w:val="21"/>
              </w:rPr>
            </w:pPr>
            <w:r>
              <w:rPr>
                <w:rFonts w:ascii="宋体" w:hAnsi="宋体" w:eastAsia="宋体" w:cs="宋体"/>
                <w:spacing w:val="16"/>
                <w:sz w:val="21"/>
                <w:szCs w:val="21"/>
              </w:rPr>
              <w:t>生产经营单位应当建立健</w:t>
            </w:r>
            <w:r>
              <w:rPr>
                <w:rFonts w:ascii="宋体" w:hAnsi="宋体" w:eastAsia="宋体" w:cs="宋体"/>
                <w:spacing w:val="13"/>
                <w:sz w:val="21"/>
                <w:szCs w:val="21"/>
              </w:rPr>
              <w:t>全并落实生产安全事故隐患排</w:t>
            </w:r>
            <w:r>
              <w:rPr>
                <w:rFonts w:ascii="宋体" w:hAnsi="宋体" w:eastAsia="宋体" w:cs="宋体"/>
                <w:spacing w:val="2"/>
                <w:sz w:val="21"/>
                <w:szCs w:val="21"/>
              </w:rPr>
              <w:t>查治理制度，采取技术、管理措</w:t>
            </w:r>
            <w:r>
              <w:rPr>
                <w:rFonts w:ascii="宋体" w:hAnsi="宋体" w:eastAsia="宋体" w:cs="宋体"/>
                <w:spacing w:val="10"/>
                <w:sz w:val="21"/>
                <w:szCs w:val="21"/>
              </w:rPr>
              <w:t>施，及时发现并消除事故隐患。</w:t>
            </w:r>
            <w:r>
              <w:rPr>
                <w:rFonts w:ascii="宋体" w:hAnsi="宋体" w:eastAsia="宋体" w:cs="宋体"/>
                <w:spacing w:val="13"/>
                <w:sz w:val="21"/>
                <w:szCs w:val="21"/>
              </w:rPr>
              <w:t>事故隐患排查治理情况应当如</w:t>
            </w:r>
            <w:r>
              <w:rPr>
                <w:rFonts w:ascii="宋体" w:hAnsi="宋体" w:eastAsia="宋体" w:cs="宋体"/>
                <w:spacing w:val="2"/>
                <w:sz w:val="21"/>
                <w:szCs w:val="21"/>
              </w:rPr>
              <w:t>实记录，并通过职工大会或者职工代表大会、信息公示栏等方式向从业人员通报。其中，重大事</w:t>
            </w:r>
            <w:r>
              <w:rPr>
                <w:rFonts w:ascii="宋体" w:hAnsi="宋体" w:eastAsia="宋体" w:cs="宋体"/>
                <w:spacing w:val="15"/>
                <w:sz w:val="21"/>
                <w:szCs w:val="21"/>
              </w:rPr>
              <w:t>故隐患排查治理情况应当及时</w:t>
            </w:r>
            <w:r>
              <w:rPr>
                <w:rFonts w:ascii="宋体" w:hAnsi="宋体" w:eastAsia="宋体" w:cs="宋体"/>
                <w:spacing w:val="13"/>
                <w:sz w:val="21"/>
                <w:szCs w:val="21"/>
              </w:rPr>
              <w:t>向负有安全生产监督管理职责</w:t>
            </w:r>
            <w:r>
              <w:rPr>
                <w:rFonts w:ascii="宋体" w:hAnsi="宋体" w:eastAsia="宋体" w:cs="宋体"/>
                <w:spacing w:val="14"/>
                <w:sz w:val="21"/>
                <w:szCs w:val="21"/>
              </w:rPr>
              <w:t>的部门和职工大会或者职工代</w:t>
            </w:r>
            <w:r>
              <w:rPr>
                <w:rFonts w:ascii="宋体" w:hAnsi="宋体" w:eastAsia="宋体" w:cs="宋体"/>
                <w:spacing w:val="21"/>
                <w:sz w:val="21"/>
                <w:szCs w:val="21"/>
              </w:rPr>
              <w:t>表大会报告。</w:t>
            </w:r>
          </w:p>
        </w:tc>
        <w:tc>
          <w:tcPr>
            <w:tcW w:w="2868" w:type="dxa"/>
            <w:noWrap w:val="0"/>
            <w:vAlign w:val="top"/>
          </w:tcPr>
          <w:p w14:paraId="07E07C17">
            <w:pPr>
              <w:rPr>
                <w:rFonts w:ascii="Arial"/>
                <w:sz w:val="21"/>
                <w:szCs w:val="21"/>
              </w:rPr>
            </w:pPr>
          </w:p>
        </w:tc>
        <w:tc>
          <w:tcPr>
            <w:tcW w:w="2838" w:type="dxa"/>
            <w:noWrap w:val="0"/>
            <w:vAlign w:val="top"/>
          </w:tcPr>
          <w:p w14:paraId="5E59AFD4">
            <w:pPr>
              <w:spacing w:before="80" w:line="243" w:lineRule="auto"/>
              <w:ind w:left="146" w:right="21"/>
              <w:jc w:val="both"/>
              <w:rPr>
                <w:rFonts w:ascii="宋体" w:hAnsi="宋体" w:eastAsia="宋体" w:cs="宋体"/>
                <w:sz w:val="21"/>
                <w:szCs w:val="21"/>
              </w:rPr>
            </w:pPr>
            <w:r>
              <w:rPr>
                <w:rFonts w:ascii="宋体" w:hAnsi="宋体" w:eastAsia="宋体" w:cs="宋体"/>
                <w:sz w:val="21"/>
                <w:szCs w:val="21"/>
              </w:rPr>
              <w:t>一的，责令限期改正，处</w:t>
            </w:r>
            <w:r>
              <w:rPr>
                <w:rFonts w:ascii="宋体" w:hAnsi="宋体" w:eastAsia="宋体" w:cs="宋体"/>
                <w:spacing w:val="1"/>
                <w:sz w:val="21"/>
                <w:szCs w:val="21"/>
              </w:rPr>
              <w:t>十万元以下的罚款；逾期</w:t>
            </w:r>
            <w:r>
              <w:rPr>
                <w:rFonts w:ascii="宋体" w:hAnsi="宋体" w:eastAsia="宋体" w:cs="宋体"/>
                <w:sz w:val="21"/>
                <w:szCs w:val="21"/>
              </w:rPr>
              <w:t>未改正的，责令停产停业</w:t>
            </w:r>
            <w:r>
              <w:rPr>
                <w:rFonts w:ascii="宋体" w:hAnsi="宋体" w:eastAsia="宋体" w:cs="宋体"/>
                <w:spacing w:val="1"/>
                <w:sz w:val="21"/>
                <w:szCs w:val="21"/>
              </w:rPr>
              <w:t>整顿，并处十万元以上二</w:t>
            </w:r>
            <w:r>
              <w:rPr>
                <w:rFonts w:ascii="宋体" w:hAnsi="宋体" w:eastAsia="宋体" w:cs="宋体"/>
                <w:sz w:val="21"/>
                <w:szCs w:val="21"/>
              </w:rPr>
              <w:t>十万元以下的罚款，对其</w:t>
            </w:r>
            <w:r>
              <w:rPr>
                <w:rFonts w:ascii="宋体" w:hAnsi="宋体" w:eastAsia="宋体" w:cs="宋体"/>
                <w:spacing w:val="21"/>
                <w:sz w:val="21"/>
                <w:szCs w:val="21"/>
              </w:rPr>
              <w:t>直接负责的主管人员和其他直接责任人员处二万元以上五万元以下的</w:t>
            </w:r>
            <w:r>
              <w:rPr>
                <w:rFonts w:ascii="宋体" w:hAnsi="宋体" w:eastAsia="宋体" w:cs="宋体"/>
                <w:spacing w:val="1"/>
                <w:sz w:val="21"/>
                <w:szCs w:val="21"/>
              </w:rPr>
              <w:t>罚款；构成犯罪的，依照</w:t>
            </w:r>
            <w:r>
              <w:rPr>
                <w:rFonts w:ascii="宋体" w:hAnsi="宋体" w:eastAsia="宋体" w:cs="宋体"/>
                <w:spacing w:val="21"/>
                <w:sz w:val="21"/>
                <w:szCs w:val="21"/>
              </w:rPr>
              <w:t>刑法有关规定追究刑事</w:t>
            </w:r>
            <w:r>
              <w:rPr>
                <w:rFonts w:ascii="宋体" w:hAnsi="宋体" w:eastAsia="宋体" w:cs="宋体"/>
                <w:spacing w:val="-9"/>
                <w:sz w:val="21"/>
                <w:szCs w:val="21"/>
              </w:rPr>
              <w:t>责任：</w:t>
            </w:r>
          </w:p>
          <w:p w14:paraId="1D9F2330">
            <w:pPr>
              <w:spacing w:before="26" w:line="245" w:lineRule="auto"/>
              <w:ind w:left="146" w:right="49" w:firstLine="540"/>
              <w:jc w:val="both"/>
              <w:rPr>
                <w:rFonts w:ascii="宋体" w:hAnsi="宋体" w:eastAsia="宋体" w:cs="宋体"/>
                <w:sz w:val="21"/>
                <w:szCs w:val="21"/>
              </w:rPr>
            </w:pPr>
            <w:r>
              <w:rPr>
                <w:rFonts w:ascii="宋体" w:hAnsi="宋体" w:eastAsia="宋体" w:cs="宋体"/>
                <w:spacing w:val="14"/>
                <w:sz w:val="21"/>
                <w:szCs w:val="21"/>
              </w:rPr>
              <w:t>(四)未建立安全风</w:t>
            </w:r>
            <w:r>
              <w:rPr>
                <w:rFonts w:ascii="宋体" w:hAnsi="宋体" w:eastAsia="宋体" w:cs="宋体"/>
                <w:spacing w:val="21"/>
                <w:sz w:val="21"/>
                <w:szCs w:val="21"/>
              </w:rPr>
              <w:t>险分级管控制度或者未</w:t>
            </w:r>
            <w:r>
              <w:rPr>
                <w:rFonts w:ascii="宋体" w:hAnsi="宋体" w:eastAsia="宋体" w:cs="宋体"/>
                <w:spacing w:val="23"/>
                <w:sz w:val="21"/>
                <w:szCs w:val="21"/>
              </w:rPr>
              <w:t>按照安全风险分级采取</w:t>
            </w:r>
            <w:r>
              <w:rPr>
                <w:rFonts w:ascii="宋体" w:hAnsi="宋体" w:eastAsia="宋体" w:cs="宋体"/>
                <w:spacing w:val="15"/>
                <w:sz w:val="21"/>
                <w:szCs w:val="21"/>
              </w:rPr>
              <w:t>相应管控措施的；</w:t>
            </w:r>
          </w:p>
          <w:p w14:paraId="379CCB5F">
            <w:pPr>
              <w:spacing w:before="23" w:line="237" w:lineRule="auto"/>
              <w:ind w:left="146" w:right="29" w:firstLine="560"/>
              <w:jc w:val="both"/>
              <w:rPr>
                <w:rFonts w:ascii="宋体" w:hAnsi="宋体" w:eastAsia="宋体" w:cs="宋体"/>
                <w:sz w:val="21"/>
                <w:szCs w:val="21"/>
              </w:rPr>
            </w:pPr>
            <w:r>
              <w:rPr>
                <w:rFonts w:ascii="宋体" w:hAnsi="宋体" w:eastAsia="宋体" w:cs="宋体"/>
                <w:spacing w:val="14"/>
                <w:sz w:val="21"/>
                <w:szCs w:val="21"/>
              </w:rPr>
              <w:t>(五)未建立事故隐</w:t>
            </w:r>
            <w:r>
              <w:rPr>
                <w:rFonts w:ascii="宋体" w:hAnsi="宋体" w:eastAsia="宋体" w:cs="宋体"/>
                <w:spacing w:val="1"/>
                <w:sz w:val="21"/>
                <w:szCs w:val="21"/>
              </w:rPr>
              <w:t>患排查治理制度，或者重</w:t>
            </w:r>
            <w:r>
              <w:rPr>
                <w:rFonts w:ascii="宋体" w:hAnsi="宋体" w:eastAsia="宋体" w:cs="宋体"/>
                <w:spacing w:val="21"/>
                <w:sz w:val="21"/>
                <w:szCs w:val="21"/>
              </w:rPr>
              <w:t>大事故隐患排查治理情</w:t>
            </w:r>
            <w:r>
              <w:rPr>
                <w:rFonts w:ascii="宋体" w:hAnsi="宋体" w:eastAsia="宋体" w:cs="宋体"/>
                <w:spacing w:val="12"/>
                <w:sz w:val="21"/>
                <w:szCs w:val="21"/>
              </w:rPr>
              <w:t>况未按照规定报告的。</w:t>
            </w:r>
          </w:p>
        </w:tc>
        <w:tc>
          <w:tcPr>
            <w:tcW w:w="1244" w:type="dxa"/>
            <w:noWrap w:val="0"/>
            <w:vAlign w:val="top"/>
          </w:tcPr>
          <w:p w14:paraId="466F1289">
            <w:pPr>
              <w:rPr>
                <w:rFonts w:ascii="Arial"/>
                <w:sz w:val="21"/>
                <w:szCs w:val="21"/>
              </w:rPr>
            </w:pPr>
          </w:p>
        </w:tc>
      </w:tr>
      <w:tr w14:paraId="36EB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864" w:type="dxa"/>
            <w:noWrap w:val="0"/>
            <w:vAlign w:val="top"/>
          </w:tcPr>
          <w:p w14:paraId="27928A63">
            <w:pPr>
              <w:spacing w:line="259" w:lineRule="auto"/>
              <w:rPr>
                <w:rFonts w:ascii="Arial"/>
                <w:sz w:val="21"/>
              </w:rPr>
            </w:pPr>
          </w:p>
          <w:p w14:paraId="38E11951">
            <w:pPr>
              <w:spacing w:line="259" w:lineRule="auto"/>
              <w:rPr>
                <w:rFonts w:ascii="Arial"/>
                <w:sz w:val="21"/>
              </w:rPr>
            </w:pPr>
          </w:p>
          <w:p w14:paraId="5C07BF78">
            <w:pPr>
              <w:spacing w:before="78" w:line="184" w:lineRule="auto"/>
              <w:ind w:left="30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239" w:type="dxa"/>
            <w:noWrap w:val="0"/>
            <w:vAlign w:val="top"/>
          </w:tcPr>
          <w:p w14:paraId="0C01CFE7">
            <w:pPr>
              <w:spacing w:before="108" w:line="230" w:lineRule="auto"/>
              <w:ind w:left="150" w:right="146"/>
              <w:jc w:val="both"/>
              <w:rPr>
                <w:rFonts w:ascii="宋体" w:hAnsi="宋体" w:eastAsia="宋体" w:cs="宋体"/>
                <w:sz w:val="21"/>
                <w:szCs w:val="21"/>
              </w:rPr>
            </w:pPr>
            <w:r>
              <w:rPr>
                <w:rFonts w:ascii="宋体" w:hAnsi="宋体" w:eastAsia="宋体" w:cs="宋体"/>
                <w:spacing w:val="1"/>
                <w:sz w:val="21"/>
                <w:szCs w:val="21"/>
              </w:rPr>
              <w:t>未建立并落实安全</w:t>
            </w:r>
            <w:r>
              <w:rPr>
                <w:rFonts w:ascii="宋体" w:hAnsi="宋体" w:eastAsia="宋体" w:cs="宋体"/>
                <w:spacing w:val="8"/>
                <w:sz w:val="21"/>
                <w:szCs w:val="21"/>
              </w:rPr>
              <w:t>生产责任制(包括</w:t>
            </w:r>
            <w:r>
              <w:rPr>
                <w:rFonts w:ascii="宋体" w:hAnsi="宋体" w:eastAsia="宋体" w:cs="宋体"/>
                <w:spacing w:val="1"/>
                <w:sz w:val="21"/>
                <w:szCs w:val="21"/>
              </w:rPr>
              <w:t>未建立重大危险源主要负责人、技术</w:t>
            </w:r>
          </w:p>
        </w:tc>
        <w:tc>
          <w:tcPr>
            <w:tcW w:w="3507" w:type="dxa"/>
            <w:noWrap w:val="0"/>
            <w:vAlign w:val="top"/>
          </w:tcPr>
          <w:p w14:paraId="5578D7E5">
            <w:pPr>
              <w:spacing w:before="118" w:line="244" w:lineRule="auto"/>
              <w:ind w:left="132" w:firstLine="468"/>
              <w:rPr>
                <w:rFonts w:ascii="宋体" w:hAnsi="宋体" w:eastAsia="宋体" w:cs="宋体"/>
                <w:sz w:val="21"/>
                <w:szCs w:val="21"/>
              </w:rPr>
            </w:pPr>
            <w:r>
              <w:rPr>
                <w:rFonts w:ascii="宋体" w:hAnsi="宋体" w:eastAsia="宋体" w:cs="宋体"/>
                <w:spacing w:val="-2"/>
                <w:sz w:val="21"/>
                <w:szCs w:val="21"/>
              </w:rPr>
              <w:t>1.《中华人民共和国安全生</w:t>
            </w:r>
            <w:r>
              <w:rPr>
                <w:rFonts w:ascii="宋体" w:hAnsi="宋体" w:eastAsia="宋体" w:cs="宋体"/>
                <w:spacing w:val="9"/>
                <w:sz w:val="21"/>
                <w:szCs w:val="21"/>
              </w:rPr>
              <w:t>产法》第二十一条第一项生产</w:t>
            </w:r>
            <w:r>
              <w:rPr>
                <w:rFonts w:ascii="宋体" w:hAnsi="宋体" w:eastAsia="宋体" w:cs="宋体"/>
                <w:spacing w:val="10"/>
                <w:sz w:val="21"/>
                <w:szCs w:val="21"/>
              </w:rPr>
              <w:t>经营单位的主要负责人对本单</w:t>
            </w:r>
          </w:p>
          <w:p w14:paraId="038ACA00">
            <w:pPr>
              <w:spacing w:before="38" w:line="189" w:lineRule="auto"/>
              <w:ind w:left="132"/>
              <w:rPr>
                <w:rFonts w:ascii="宋体" w:hAnsi="宋体" w:eastAsia="宋体" w:cs="宋体"/>
                <w:sz w:val="21"/>
                <w:szCs w:val="21"/>
              </w:rPr>
            </w:pPr>
            <w:r>
              <w:rPr>
                <w:rFonts w:ascii="宋体" w:hAnsi="宋体" w:eastAsia="宋体" w:cs="宋体"/>
                <w:spacing w:val="10"/>
                <w:sz w:val="21"/>
                <w:szCs w:val="21"/>
              </w:rPr>
              <w:t>位安全生产工作负有下列职责：</w:t>
            </w:r>
          </w:p>
        </w:tc>
        <w:tc>
          <w:tcPr>
            <w:tcW w:w="2868" w:type="dxa"/>
            <w:noWrap w:val="0"/>
            <w:vAlign w:val="top"/>
          </w:tcPr>
          <w:p w14:paraId="040922DF">
            <w:pPr>
              <w:spacing w:before="108" w:line="230" w:lineRule="auto"/>
              <w:ind w:left="105" w:right="3" w:firstLine="470"/>
              <w:rPr>
                <w:rFonts w:ascii="宋体" w:hAnsi="宋体" w:eastAsia="宋体" w:cs="宋体"/>
                <w:sz w:val="21"/>
                <w:szCs w:val="21"/>
              </w:rPr>
            </w:pPr>
            <w:r>
              <w:rPr>
                <w:rFonts w:ascii="宋体" w:hAnsi="宋体" w:eastAsia="宋体" w:cs="宋体"/>
                <w:spacing w:val="13"/>
                <w:sz w:val="21"/>
                <w:szCs w:val="21"/>
              </w:rPr>
              <w:t>《关于印发危险化学</w:t>
            </w:r>
            <w:r>
              <w:rPr>
                <w:rFonts w:ascii="宋体" w:hAnsi="宋体" w:eastAsia="宋体" w:cs="宋体"/>
                <w:spacing w:val="1"/>
                <w:sz w:val="21"/>
                <w:szCs w:val="21"/>
              </w:rPr>
              <w:t>品企业重大危险源安全包</w:t>
            </w:r>
            <w:r>
              <w:rPr>
                <w:rFonts w:ascii="宋体" w:hAnsi="宋体" w:eastAsia="宋体" w:cs="宋体"/>
                <w:spacing w:val="12"/>
                <w:sz w:val="21"/>
                <w:szCs w:val="21"/>
              </w:rPr>
              <w:t>保责任制办法(试行)的</w:t>
            </w:r>
            <w:r>
              <w:rPr>
                <w:rFonts w:ascii="宋体" w:hAnsi="宋体" w:eastAsia="宋体" w:cs="宋体"/>
                <w:spacing w:val="13"/>
                <w:sz w:val="21"/>
                <w:szCs w:val="21"/>
              </w:rPr>
              <w:t>通知》(应急厅〔2021〕</w:t>
            </w:r>
          </w:p>
        </w:tc>
        <w:tc>
          <w:tcPr>
            <w:tcW w:w="2838" w:type="dxa"/>
            <w:noWrap w:val="0"/>
            <w:vAlign w:val="top"/>
          </w:tcPr>
          <w:p w14:paraId="0526DD30">
            <w:pPr>
              <w:spacing w:before="97" w:line="232" w:lineRule="auto"/>
              <w:ind w:left="146" w:right="30" w:firstLine="470"/>
              <w:jc w:val="both"/>
              <w:rPr>
                <w:rFonts w:ascii="宋体" w:hAnsi="宋体" w:eastAsia="宋体" w:cs="宋体"/>
                <w:sz w:val="21"/>
                <w:szCs w:val="21"/>
              </w:rPr>
            </w:pPr>
            <w:r>
              <w:rPr>
                <w:rFonts w:ascii="宋体" w:hAnsi="宋体" w:eastAsia="宋体" w:cs="宋体"/>
                <w:spacing w:val="-14"/>
                <w:sz w:val="21"/>
                <w:szCs w:val="21"/>
              </w:rPr>
              <w:t>1.《中华人民共和国</w:t>
            </w:r>
            <w:r>
              <w:rPr>
                <w:rFonts w:ascii="宋体" w:hAnsi="宋体" w:eastAsia="宋体" w:cs="宋体"/>
                <w:sz w:val="21"/>
                <w:szCs w:val="21"/>
              </w:rPr>
              <w:t>安全生产法》第九十四条</w:t>
            </w:r>
            <w:r>
              <w:rPr>
                <w:rFonts w:ascii="宋体" w:hAnsi="宋体" w:eastAsia="宋体" w:cs="宋体"/>
                <w:spacing w:val="-3"/>
                <w:sz w:val="21"/>
                <w:szCs w:val="21"/>
              </w:rPr>
              <w:t>第一款、第二款生产经</w:t>
            </w:r>
            <w:r>
              <w:rPr>
                <w:rFonts w:ascii="宋体" w:hAnsi="宋体" w:eastAsia="宋体" w:cs="宋体"/>
                <w:spacing w:val="21"/>
                <w:sz w:val="21"/>
                <w:szCs w:val="21"/>
              </w:rPr>
              <w:t>营单位的主要负责人未</w:t>
            </w:r>
          </w:p>
        </w:tc>
        <w:tc>
          <w:tcPr>
            <w:tcW w:w="1244" w:type="dxa"/>
            <w:noWrap w:val="0"/>
            <w:vAlign w:val="top"/>
          </w:tcPr>
          <w:p w14:paraId="7B1A3060">
            <w:pPr>
              <w:spacing w:line="338" w:lineRule="auto"/>
              <w:rPr>
                <w:rFonts w:ascii="Arial"/>
                <w:sz w:val="21"/>
                <w:szCs w:val="21"/>
              </w:rPr>
            </w:pPr>
          </w:p>
          <w:p w14:paraId="33A9ECA4">
            <w:pPr>
              <w:spacing w:before="78" w:line="229" w:lineRule="auto"/>
              <w:ind w:left="108" w:right="154"/>
              <w:rPr>
                <w:rFonts w:ascii="宋体" w:hAnsi="宋体" w:eastAsia="宋体" w:cs="宋体"/>
                <w:sz w:val="21"/>
                <w:szCs w:val="21"/>
              </w:rPr>
            </w:pPr>
            <w:r>
              <w:rPr>
                <w:rFonts w:ascii="宋体" w:hAnsi="宋体" w:eastAsia="宋体" w:cs="宋体"/>
                <w:spacing w:val="2"/>
                <w:sz w:val="21"/>
                <w:szCs w:val="21"/>
              </w:rPr>
              <w:t>重大危险</w:t>
            </w:r>
            <w:r>
              <w:rPr>
                <w:rFonts w:ascii="宋体" w:hAnsi="宋体" w:eastAsia="宋体" w:cs="宋体"/>
                <w:spacing w:val="-2"/>
                <w:sz w:val="21"/>
                <w:szCs w:val="21"/>
              </w:rPr>
              <w:t>源管理</w:t>
            </w:r>
          </w:p>
        </w:tc>
      </w:tr>
    </w:tbl>
    <w:p w14:paraId="5F789C95">
      <w:pPr>
        <w:rPr>
          <w:rFonts w:ascii="Arial"/>
          <w:sz w:val="21"/>
        </w:rPr>
      </w:pPr>
    </w:p>
    <w:p w14:paraId="4E8D3DFC">
      <w:pPr>
        <w:sectPr>
          <w:pgSz w:w="16840" w:h="11900"/>
          <w:pgMar w:top="1440" w:right="1080" w:bottom="1440" w:left="1080" w:header="0" w:footer="0" w:gutter="0"/>
          <w:pgNumType w:fmt="decimal"/>
          <w:cols w:space="720" w:num="1"/>
        </w:sectPr>
      </w:pPr>
    </w:p>
    <w:p w14:paraId="655711CF"/>
    <w:p w14:paraId="29C0E7A0">
      <w:pPr>
        <w:spacing w:line="20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498"/>
        <w:gridCol w:w="2878"/>
        <w:gridCol w:w="3649"/>
        <w:gridCol w:w="696"/>
      </w:tblGrid>
      <w:tr w14:paraId="4E817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5E5B1355">
            <w:pPr>
              <w:spacing w:before="22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28" w:type="dxa"/>
            <w:noWrap w:val="0"/>
            <w:vAlign w:val="top"/>
          </w:tcPr>
          <w:p w14:paraId="11FCA0A2">
            <w:pPr>
              <w:spacing w:before="75" w:line="219" w:lineRule="auto"/>
              <w:ind w:left="650"/>
              <w:rPr>
                <w:rFonts w:ascii="宋体" w:hAnsi="宋体" w:eastAsia="宋体" w:cs="宋体"/>
                <w:b/>
                <w:bCs/>
                <w:sz w:val="24"/>
                <w:szCs w:val="24"/>
              </w:rPr>
            </w:pPr>
            <w:r>
              <w:rPr>
                <w:rFonts w:ascii="宋体" w:hAnsi="宋体" w:eastAsia="宋体" w:cs="宋体"/>
                <w:b/>
                <w:bCs/>
                <w:spacing w:val="3"/>
                <w:sz w:val="24"/>
                <w:szCs w:val="24"/>
              </w:rPr>
              <w:t>执法检查</w:t>
            </w:r>
          </w:p>
          <w:p w14:paraId="52B3CA67">
            <w:pPr>
              <w:spacing w:before="54" w:line="200" w:lineRule="auto"/>
              <w:ind w:left="431"/>
              <w:rPr>
                <w:rFonts w:ascii="宋体" w:hAnsi="宋体" w:eastAsia="宋体" w:cs="宋体"/>
                <w:b/>
                <w:bCs/>
                <w:sz w:val="24"/>
                <w:szCs w:val="24"/>
              </w:rPr>
            </w:pPr>
            <w:r>
              <w:rPr>
                <w:rFonts w:ascii="宋体" w:hAnsi="宋体" w:eastAsia="宋体" w:cs="宋体"/>
                <w:b/>
                <w:bCs/>
                <w:spacing w:val="2"/>
                <w:sz w:val="24"/>
                <w:szCs w:val="24"/>
              </w:rPr>
              <w:t>重点事项内容</w:t>
            </w:r>
          </w:p>
        </w:tc>
        <w:tc>
          <w:tcPr>
            <w:tcW w:w="3498" w:type="dxa"/>
            <w:noWrap w:val="0"/>
            <w:vAlign w:val="top"/>
          </w:tcPr>
          <w:p w14:paraId="20096CC7">
            <w:pPr>
              <w:spacing w:before="219" w:line="219" w:lineRule="auto"/>
              <w:ind w:left="1036"/>
              <w:rPr>
                <w:rFonts w:ascii="宋体" w:hAnsi="宋体" w:eastAsia="宋体" w:cs="宋体"/>
                <w:b/>
                <w:bCs/>
                <w:sz w:val="24"/>
                <w:szCs w:val="24"/>
              </w:rPr>
            </w:pPr>
            <w:r>
              <w:rPr>
                <w:rFonts w:ascii="宋体" w:hAnsi="宋体" w:eastAsia="宋体" w:cs="宋体"/>
                <w:b/>
                <w:bCs/>
                <w:spacing w:val="-4"/>
                <w:sz w:val="24"/>
                <w:szCs w:val="24"/>
              </w:rPr>
              <w:t>执法检查依据</w:t>
            </w:r>
          </w:p>
        </w:tc>
        <w:tc>
          <w:tcPr>
            <w:tcW w:w="2878" w:type="dxa"/>
            <w:noWrap w:val="0"/>
            <w:vAlign w:val="top"/>
          </w:tcPr>
          <w:p w14:paraId="3FAE663E">
            <w:pPr>
              <w:spacing w:before="75" w:line="220" w:lineRule="auto"/>
              <w:ind w:left="864"/>
              <w:rPr>
                <w:rFonts w:ascii="宋体" w:hAnsi="宋体" w:eastAsia="宋体" w:cs="宋体"/>
                <w:b/>
                <w:bCs/>
                <w:sz w:val="24"/>
                <w:szCs w:val="24"/>
              </w:rPr>
            </w:pPr>
            <w:r>
              <w:rPr>
                <w:rFonts w:ascii="宋体" w:hAnsi="宋体" w:eastAsia="宋体" w:cs="宋体"/>
                <w:b/>
                <w:bCs/>
                <w:spacing w:val="-2"/>
                <w:sz w:val="24"/>
                <w:szCs w:val="24"/>
              </w:rPr>
              <w:t>有关规范性</w:t>
            </w:r>
          </w:p>
          <w:p w14:paraId="651636C2">
            <w:pPr>
              <w:spacing w:before="49" w:line="202" w:lineRule="auto"/>
              <w:ind w:left="628"/>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3649" w:type="dxa"/>
            <w:noWrap w:val="0"/>
            <w:vAlign w:val="top"/>
          </w:tcPr>
          <w:p w14:paraId="1FE0F1F0">
            <w:pPr>
              <w:spacing w:before="223" w:line="219" w:lineRule="auto"/>
              <w:ind w:left="946"/>
              <w:rPr>
                <w:rFonts w:ascii="宋体" w:hAnsi="宋体" w:eastAsia="宋体" w:cs="宋体"/>
                <w:b/>
                <w:bCs/>
                <w:sz w:val="24"/>
                <w:szCs w:val="24"/>
              </w:rPr>
            </w:pPr>
            <w:r>
              <w:rPr>
                <w:rFonts w:ascii="宋体" w:hAnsi="宋体" w:eastAsia="宋体" w:cs="宋体"/>
                <w:b/>
                <w:bCs/>
                <w:spacing w:val="8"/>
                <w:sz w:val="24"/>
                <w:szCs w:val="24"/>
              </w:rPr>
              <w:t>处罚依据</w:t>
            </w:r>
          </w:p>
        </w:tc>
        <w:tc>
          <w:tcPr>
            <w:tcW w:w="696" w:type="dxa"/>
            <w:noWrap w:val="0"/>
            <w:vAlign w:val="top"/>
          </w:tcPr>
          <w:p w14:paraId="4FE2A60D">
            <w:pPr>
              <w:spacing w:before="222" w:line="221" w:lineRule="auto"/>
              <w:ind w:left="382"/>
              <w:rPr>
                <w:rFonts w:ascii="宋体" w:hAnsi="宋体" w:eastAsia="宋体" w:cs="宋体"/>
                <w:b/>
                <w:bCs/>
                <w:sz w:val="24"/>
                <w:szCs w:val="24"/>
              </w:rPr>
            </w:pPr>
            <w:r>
              <w:rPr>
                <w:rFonts w:ascii="宋体" w:hAnsi="宋体" w:eastAsia="宋体" w:cs="宋体"/>
                <w:b/>
                <w:bCs/>
                <w:spacing w:val="-6"/>
                <w:sz w:val="24"/>
                <w:szCs w:val="24"/>
              </w:rPr>
              <w:t>备注</w:t>
            </w:r>
          </w:p>
        </w:tc>
      </w:tr>
      <w:tr w14:paraId="463C8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0" w:hRule="atLeast"/>
          <w:jc w:val="center"/>
        </w:trPr>
        <w:tc>
          <w:tcPr>
            <w:tcW w:w="864" w:type="dxa"/>
            <w:noWrap w:val="0"/>
            <w:vAlign w:val="top"/>
          </w:tcPr>
          <w:p w14:paraId="74400C2E">
            <w:pPr>
              <w:rPr>
                <w:rFonts w:ascii="Arial"/>
                <w:sz w:val="21"/>
              </w:rPr>
            </w:pPr>
          </w:p>
        </w:tc>
        <w:tc>
          <w:tcPr>
            <w:tcW w:w="2228" w:type="dxa"/>
            <w:noWrap w:val="0"/>
            <w:vAlign w:val="top"/>
          </w:tcPr>
          <w:p w14:paraId="3A26E390">
            <w:pPr>
              <w:spacing w:before="79"/>
              <w:ind w:left="130" w:right="77" w:firstLine="70"/>
              <w:jc w:val="both"/>
              <w:rPr>
                <w:rFonts w:ascii="宋体" w:hAnsi="宋体" w:eastAsia="宋体" w:cs="宋体"/>
                <w:sz w:val="21"/>
                <w:szCs w:val="21"/>
              </w:rPr>
            </w:pPr>
            <w:r>
              <w:rPr>
                <w:rFonts w:ascii="宋体" w:hAnsi="宋体" w:eastAsia="宋体" w:cs="宋体"/>
                <w:spacing w:val="1"/>
                <w:sz w:val="21"/>
                <w:szCs w:val="21"/>
              </w:rPr>
              <w:t>负责人、操作负责</w:t>
            </w:r>
            <w:r>
              <w:rPr>
                <w:rFonts w:ascii="宋体" w:hAnsi="宋体" w:eastAsia="宋体" w:cs="宋体"/>
                <w:spacing w:val="10"/>
                <w:sz w:val="21"/>
                <w:szCs w:val="21"/>
              </w:rPr>
              <w:t>人的安全包保责任</w:t>
            </w:r>
            <w:r>
              <w:rPr>
                <w:rFonts w:ascii="宋体" w:hAnsi="宋体" w:eastAsia="宋体" w:cs="宋体"/>
                <w:spacing w:val="11"/>
                <w:sz w:val="21"/>
                <w:szCs w:val="21"/>
              </w:rPr>
              <w:t>制并如实履职等相</w:t>
            </w:r>
            <w:r>
              <w:rPr>
                <w:rFonts w:ascii="宋体" w:hAnsi="宋体" w:eastAsia="宋体" w:cs="宋体"/>
                <w:spacing w:val="23"/>
                <w:sz w:val="21"/>
                <w:szCs w:val="21"/>
              </w:rPr>
              <w:t>关情形)。</w:t>
            </w:r>
          </w:p>
        </w:tc>
        <w:tc>
          <w:tcPr>
            <w:tcW w:w="3498" w:type="dxa"/>
            <w:noWrap w:val="0"/>
            <w:vAlign w:val="top"/>
          </w:tcPr>
          <w:p w14:paraId="7883B189">
            <w:pPr>
              <w:spacing w:before="80" w:line="255" w:lineRule="auto"/>
              <w:ind w:left="132" w:firstLine="566"/>
              <w:jc w:val="both"/>
              <w:rPr>
                <w:rFonts w:ascii="宋体" w:hAnsi="宋体" w:eastAsia="宋体" w:cs="宋体"/>
                <w:sz w:val="21"/>
                <w:szCs w:val="21"/>
              </w:rPr>
            </w:pPr>
            <w:r>
              <w:rPr>
                <w:rFonts w:ascii="宋体" w:hAnsi="宋体" w:eastAsia="宋体" w:cs="宋体"/>
                <w:spacing w:val="12"/>
                <w:sz w:val="21"/>
                <w:szCs w:val="21"/>
              </w:rPr>
              <w:t>(一)建立健全并落实本单</w:t>
            </w:r>
            <w:r>
              <w:rPr>
                <w:rFonts w:ascii="宋体" w:hAnsi="宋体" w:eastAsia="宋体" w:cs="宋体"/>
                <w:spacing w:val="9"/>
                <w:sz w:val="21"/>
                <w:szCs w:val="21"/>
              </w:rPr>
              <w:t>位全员安全生产责任制，加强安</w:t>
            </w:r>
            <w:r>
              <w:rPr>
                <w:rFonts w:ascii="宋体" w:hAnsi="宋体" w:eastAsia="宋体" w:cs="宋体"/>
                <w:spacing w:val="21"/>
                <w:sz w:val="21"/>
                <w:szCs w:val="21"/>
              </w:rPr>
              <w:t>全生产标准化建设。</w:t>
            </w:r>
          </w:p>
          <w:p w14:paraId="6290EE58">
            <w:pPr>
              <w:spacing w:before="29" w:line="249" w:lineRule="auto"/>
              <w:ind w:left="132" w:firstLine="462"/>
              <w:jc w:val="both"/>
              <w:rPr>
                <w:rFonts w:ascii="宋体" w:hAnsi="宋体" w:eastAsia="宋体" w:cs="宋体"/>
                <w:sz w:val="21"/>
                <w:szCs w:val="21"/>
              </w:rPr>
            </w:pPr>
            <w:r>
              <w:rPr>
                <w:rFonts w:ascii="宋体" w:hAnsi="宋体" w:eastAsia="宋体" w:cs="宋体"/>
                <w:spacing w:val="12"/>
                <w:sz w:val="21"/>
                <w:szCs w:val="21"/>
              </w:rPr>
              <w:t>第二十二条第一款生产</w:t>
            </w:r>
            <w:r>
              <w:rPr>
                <w:rFonts w:ascii="宋体" w:hAnsi="宋体" w:eastAsia="宋体" w:cs="宋体"/>
                <w:spacing w:val="14"/>
                <w:sz w:val="21"/>
                <w:szCs w:val="21"/>
              </w:rPr>
              <w:t>经营单位的全员安全生产责任</w:t>
            </w:r>
            <w:r>
              <w:rPr>
                <w:rFonts w:ascii="宋体" w:hAnsi="宋体" w:eastAsia="宋体" w:cs="宋体"/>
                <w:spacing w:val="9"/>
                <w:sz w:val="21"/>
                <w:szCs w:val="21"/>
              </w:rPr>
              <w:t>制应当明确各岗位的责任人员、</w:t>
            </w:r>
            <w:r>
              <w:rPr>
                <w:rFonts w:ascii="宋体" w:hAnsi="宋体" w:eastAsia="宋体" w:cs="宋体"/>
                <w:spacing w:val="10"/>
                <w:sz w:val="21"/>
                <w:szCs w:val="21"/>
              </w:rPr>
              <w:t>责任范围和考核标准等内容。</w:t>
            </w:r>
          </w:p>
          <w:p w14:paraId="139D0774">
            <w:pPr>
              <w:spacing w:before="41" w:line="254" w:lineRule="auto"/>
              <w:ind w:left="132" w:firstLine="456"/>
              <w:jc w:val="both"/>
              <w:rPr>
                <w:rFonts w:ascii="宋体" w:hAnsi="宋体" w:eastAsia="宋体" w:cs="宋体"/>
                <w:sz w:val="21"/>
                <w:szCs w:val="21"/>
              </w:rPr>
            </w:pPr>
            <w:r>
              <w:rPr>
                <w:rFonts w:ascii="宋体" w:hAnsi="宋体" w:eastAsia="宋体" w:cs="宋体"/>
                <w:spacing w:val="-3"/>
                <w:sz w:val="21"/>
                <w:szCs w:val="21"/>
              </w:rPr>
              <w:t>2.《危险化学品重大危险源</w:t>
            </w:r>
            <w:r>
              <w:rPr>
                <w:rFonts w:ascii="宋体" w:hAnsi="宋体" w:eastAsia="宋体" w:cs="宋体"/>
                <w:spacing w:val="10"/>
                <w:sz w:val="21"/>
                <w:szCs w:val="21"/>
              </w:rPr>
              <w:t>监督管理暂行规定》(国家安全</w:t>
            </w:r>
            <w:r>
              <w:rPr>
                <w:rFonts w:ascii="宋体" w:hAnsi="宋体" w:eastAsia="宋体" w:cs="宋体"/>
                <w:spacing w:val="26"/>
                <w:sz w:val="21"/>
                <w:szCs w:val="21"/>
              </w:rPr>
              <w:t>监管总局令第40号)第十六条</w:t>
            </w:r>
            <w:r>
              <w:rPr>
                <w:rFonts w:ascii="宋体" w:hAnsi="宋体" w:eastAsia="宋体" w:cs="宋体"/>
                <w:spacing w:val="21"/>
                <w:sz w:val="21"/>
                <w:szCs w:val="21"/>
              </w:rPr>
              <w:t>危险化学品单位应当明确重大</w:t>
            </w:r>
            <w:r>
              <w:rPr>
                <w:rFonts w:ascii="宋体" w:hAnsi="宋体" w:eastAsia="宋体" w:cs="宋体"/>
                <w:spacing w:val="9"/>
                <w:sz w:val="21"/>
                <w:szCs w:val="21"/>
              </w:rPr>
              <w:t>危险源中关键装置、重点部位的责任人或者责任机构，并对重大</w:t>
            </w:r>
            <w:r>
              <w:rPr>
                <w:rFonts w:ascii="宋体" w:hAnsi="宋体" w:eastAsia="宋体" w:cs="宋体"/>
                <w:spacing w:val="21"/>
                <w:sz w:val="21"/>
                <w:szCs w:val="21"/>
              </w:rPr>
              <w:t>危险源的安全生产状况进行定</w:t>
            </w:r>
            <w:r>
              <w:rPr>
                <w:rFonts w:ascii="宋体" w:hAnsi="宋体" w:eastAsia="宋体" w:cs="宋体"/>
                <w:spacing w:val="9"/>
                <w:sz w:val="21"/>
                <w:szCs w:val="21"/>
              </w:rPr>
              <w:t>期检查，及时采取措施消除事故</w:t>
            </w:r>
            <w:r>
              <w:rPr>
                <w:rFonts w:ascii="宋体" w:hAnsi="宋体" w:eastAsia="宋体" w:cs="宋体"/>
                <w:spacing w:val="-10"/>
                <w:sz w:val="21"/>
                <w:szCs w:val="21"/>
              </w:rPr>
              <w:t>隐患。</w:t>
            </w:r>
          </w:p>
        </w:tc>
        <w:tc>
          <w:tcPr>
            <w:tcW w:w="2878" w:type="dxa"/>
            <w:noWrap w:val="0"/>
            <w:vAlign w:val="top"/>
          </w:tcPr>
          <w:p w14:paraId="700157CD">
            <w:pPr>
              <w:spacing w:before="79" w:line="219" w:lineRule="auto"/>
              <w:ind w:left="145"/>
              <w:rPr>
                <w:rFonts w:ascii="宋体" w:hAnsi="宋体" w:eastAsia="宋体" w:cs="宋体"/>
                <w:sz w:val="21"/>
                <w:szCs w:val="21"/>
              </w:rPr>
            </w:pPr>
            <w:r>
              <w:rPr>
                <w:rFonts w:ascii="宋体" w:hAnsi="宋体" w:eastAsia="宋体" w:cs="宋体"/>
                <w:spacing w:val="-1"/>
                <w:sz w:val="21"/>
                <w:szCs w:val="21"/>
              </w:rPr>
              <w:t>12号)第二章包保责</w:t>
            </w:r>
          </w:p>
          <w:p w14:paraId="115270C9">
            <w:pPr>
              <w:spacing w:before="26" w:line="219" w:lineRule="auto"/>
              <w:ind w:left="145"/>
              <w:rPr>
                <w:rFonts w:ascii="宋体" w:hAnsi="宋体" w:eastAsia="宋体" w:cs="宋体"/>
                <w:sz w:val="21"/>
                <w:szCs w:val="21"/>
              </w:rPr>
            </w:pPr>
            <w:r>
              <w:rPr>
                <w:rFonts w:ascii="宋体" w:hAnsi="宋体" w:eastAsia="宋体" w:cs="宋体"/>
                <w:spacing w:val="-5"/>
                <w:sz w:val="21"/>
                <w:szCs w:val="21"/>
              </w:rPr>
              <w:t>任。</w:t>
            </w:r>
          </w:p>
        </w:tc>
        <w:tc>
          <w:tcPr>
            <w:tcW w:w="3649" w:type="dxa"/>
            <w:noWrap w:val="0"/>
            <w:vAlign w:val="top"/>
          </w:tcPr>
          <w:p w14:paraId="500D5E5B">
            <w:pPr>
              <w:spacing w:before="80" w:line="255" w:lineRule="auto"/>
              <w:ind w:left="156"/>
              <w:jc w:val="both"/>
              <w:rPr>
                <w:rFonts w:ascii="宋体" w:hAnsi="宋体" w:eastAsia="宋体" w:cs="宋体"/>
                <w:sz w:val="21"/>
                <w:szCs w:val="21"/>
              </w:rPr>
            </w:pPr>
            <w:r>
              <w:rPr>
                <w:rFonts w:ascii="宋体" w:hAnsi="宋体" w:eastAsia="宋体" w:cs="宋体"/>
                <w:spacing w:val="23"/>
                <w:sz w:val="21"/>
                <w:szCs w:val="21"/>
              </w:rPr>
              <w:t>履行本法规定的安全生</w:t>
            </w:r>
            <w:r>
              <w:rPr>
                <w:rFonts w:ascii="宋体" w:hAnsi="宋体" w:eastAsia="宋体" w:cs="宋体"/>
                <w:spacing w:val="4"/>
                <w:sz w:val="21"/>
                <w:szCs w:val="21"/>
              </w:rPr>
              <w:t>产管理职责的，责令限期改正，处二万元以上五万元以下的罚款；逾期未改正的，处五万元以上十万元以下的罚款，责令生产</w:t>
            </w:r>
            <w:r>
              <w:rPr>
                <w:rFonts w:ascii="宋体" w:hAnsi="宋体" w:eastAsia="宋体" w:cs="宋体"/>
                <w:spacing w:val="13"/>
                <w:sz w:val="21"/>
                <w:szCs w:val="21"/>
              </w:rPr>
              <w:t>经营单位停产停业整顿。</w:t>
            </w:r>
          </w:p>
          <w:p w14:paraId="3D29ADCF">
            <w:pPr>
              <w:spacing w:before="40" w:line="241" w:lineRule="auto"/>
              <w:ind w:left="156" w:right="25" w:firstLine="460"/>
              <w:jc w:val="both"/>
              <w:rPr>
                <w:rFonts w:ascii="宋体" w:hAnsi="宋体" w:eastAsia="宋体" w:cs="宋体"/>
                <w:sz w:val="21"/>
                <w:szCs w:val="21"/>
              </w:rPr>
            </w:pPr>
            <w:r>
              <w:rPr>
                <w:rFonts w:ascii="宋体" w:hAnsi="宋体" w:eastAsia="宋体" w:cs="宋体"/>
                <w:spacing w:val="26"/>
                <w:sz w:val="21"/>
                <w:szCs w:val="21"/>
              </w:rPr>
              <w:t>生产经营单位的主</w:t>
            </w:r>
            <w:r>
              <w:rPr>
                <w:rFonts w:ascii="宋体" w:hAnsi="宋体" w:eastAsia="宋体" w:cs="宋体"/>
                <w:spacing w:val="19"/>
                <w:sz w:val="21"/>
                <w:szCs w:val="21"/>
              </w:rPr>
              <w:t>要负责人有前款违法行</w:t>
            </w:r>
            <w:r>
              <w:rPr>
                <w:rFonts w:ascii="宋体" w:hAnsi="宋体" w:eastAsia="宋体" w:cs="宋体"/>
                <w:spacing w:val="1"/>
                <w:sz w:val="21"/>
                <w:szCs w:val="21"/>
              </w:rPr>
              <w:t>为，导致发生生产安全事故的，给予撤职处分；构成犯罪的，依照刑法有关</w:t>
            </w:r>
            <w:r>
              <w:rPr>
                <w:rFonts w:ascii="宋体" w:hAnsi="宋体" w:eastAsia="宋体" w:cs="宋体"/>
                <w:spacing w:val="13"/>
                <w:sz w:val="21"/>
                <w:szCs w:val="21"/>
              </w:rPr>
              <w:t>规定追究刑事责任。</w:t>
            </w:r>
          </w:p>
          <w:p w14:paraId="23161F77">
            <w:pPr>
              <w:spacing w:before="26" w:line="252" w:lineRule="auto"/>
              <w:ind w:left="156" w:right="25" w:firstLine="480"/>
              <w:jc w:val="both"/>
              <w:rPr>
                <w:rFonts w:ascii="宋体" w:hAnsi="宋体" w:eastAsia="宋体" w:cs="宋体"/>
                <w:sz w:val="21"/>
                <w:szCs w:val="21"/>
              </w:rPr>
            </w:pPr>
            <w:r>
              <w:rPr>
                <w:rFonts w:ascii="宋体" w:hAnsi="宋体" w:eastAsia="宋体" w:cs="宋体"/>
                <w:spacing w:val="27"/>
                <w:sz w:val="21"/>
                <w:szCs w:val="21"/>
              </w:rPr>
              <w:t>第九十六条生产</w:t>
            </w:r>
            <w:r>
              <w:rPr>
                <w:rFonts w:ascii="宋体" w:hAnsi="宋体" w:eastAsia="宋体" w:cs="宋体"/>
                <w:spacing w:val="31"/>
                <w:sz w:val="21"/>
                <w:szCs w:val="21"/>
              </w:rPr>
              <w:t>经营单位的其他负责人</w:t>
            </w:r>
            <w:r>
              <w:rPr>
                <w:rFonts w:ascii="宋体" w:hAnsi="宋体" w:eastAsia="宋体" w:cs="宋体"/>
                <w:spacing w:val="33"/>
                <w:sz w:val="21"/>
                <w:szCs w:val="21"/>
              </w:rPr>
              <w:t>和安全生产管理人员未履行本法规定的安全生</w:t>
            </w:r>
            <w:r>
              <w:rPr>
                <w:rFonts w:ascii="宋体" w:hAnsi="宋体" w:eastAsia="宋体" w:cs="宋体"/>
                <w:spacing w:val="11"/>
                <w:sz w:val="21"/>
                <w:szCs w:val="21"/>
              </w:rPr>
              <w:t>产管理职责的，责令限期改正，处一万元以上三万元以下的罚款；导致发生生产安全事故的，暂停或</w:t>
            </w:r>
            <w:r>
              <w:rPr>
                <w:rFonts w:ascii="宋体" w:hAnsi="宋体" w:eastAsia="宋体" w:cs="宋体"/>
                <w:spacing w:val="31"/>
                <w:sz w:val="21"/>
                <w:szCs w:val="21"/>
              </w:rPr>
              <w:t>者吊销其与安全生产有</w:t>
            </w:r>
            <w:r>
              <w:rPr>
                <w:rFonts w:ascii="宋体" w:hAnsi="宋体" w:eastAsia="宋体" w:cs="宋体"/>
                <w:spacing w:val="10"/>
                <w:sz w:val="21"/>
                <w:szCs w:val="21"/>
              </w:rPr>
              <w:t>关的资格，并处上一年年</w:t>
            </w:r>
          </w:p>
        </w:tc>
        <w:tc>
          <w:tcPr>
            <w:tcW w:w="696" w:type="dxa"/>
            <w:noWrap w:val="0"/>
            <w:vAlign w:val="top"/>
          </w:tcPr>
          <w:p w14:paraId="5D143404">
            <w:pPr>
              <w:rPr>
                <w:rFonts w:ascii="Arial"/>
                <w:sz w:val="21"/>
              </w:rPr>
            </w:pPr>
          </w:p>
        </w:tc>
      </w:tr>
    </w:tbl>
    <w:p w14:paraId="79AEE712">
      <w:pPr>
        <w:rPr>
          <w:rFonts w:ascii="Arial"/>
          <w:sz w:val="21"/>
        </w:rPr>
      </w:pPr>
    </w:p>
    <w:p w14:paraId="5B31DC0A">
      <w:pPr>
        <w:sectPr>
          <w:pgSz w:w="16840" w:h="11900"/>
          <w:pgMar w:top="1440" w:right="1080" w:bottom="1440" w:left="1080" w:header="0" w:footer="0" w:gutter="0"/>
          <w:pgNumType w:fmt="decimal"/>
          <w:cols w:space="720" w:num="1"/>
        </w:sectPr>
      </w:pPr>
    </w:p>
    <w:p w14:paraId="6878A202"/>
    <w:p w14:paraId="4895357E"/>
    <w:p w14:paraId="721797E2">
      <w:pPr>
        <w:spacing w:line="11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38"/>
        <w:gridCol w:w="3508"/>
        <w:gridCol w:w="2868"/>
        <w:gridCol w:w="3073"/>
        <w:gridCol w:w="1330"/>
      </w:tblGrid>
      <w:tr w14:paraId="419CE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74" w:type="dxa"/>
            <w:noWrap w:val="0"/>
            <w:vAlign w:val="top"/>
          </w:tcPr>
          <w:p w14:paraId="0C465F5D">
            <w:pPr>
              <w:spacing w:before="21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38" w:type="dxa"/>
            <w:noWrap w:val="0"/>
            <w:vAlign w:val="top"/>
          </w:tcPr>
          <w:p w14:paraId="734E0822">
            <w:pPr>
              <w:spacing w:before="75" w:line="219" w:lineRule="auto"/>
              <w:ind w:left="631"/>
              <w:rPr>
                <w:rFonts w:ascii="宋体" w:hAnsi="宋体" w:eastAsia="宋体" w:cs="宋体"/>
                <w:b/>
                <w:bCs/>
                <w:sz w:val="24"/>
                <w:szCs w:val="24"/>
              </w:rPr>
            </w:pPr>
            <w:r>
              <w:rPr>
                <w:rFonts w:ascii="宋体" w:hAnsi="宋体" w:eastAsia="宋体" w:cs="宋体"/>
                <w:b/>
                <w:bCs/>
                <w:spacing w:val="3"/>
                <w:sz w:val="24"/>
                <w:szCs w:val="24"/>
              </w:rPr>
              <w:t>执法检查</w:t>
            </w:r>
          </w:p>
          <w:p w14:paraId="2B3C37E8">
            <w:pPr>
              <w:spacing w:before="44" w:line="200" w:lineRule="auto"/>
              <w:ind w:left="391"/>
              <w:rPr>
                <w:rFonts w:ascii="宋体" w:hAnsi="宋体" w:eastAsia="宋体" w:cs="宋体"/>
                <w:b/>
                <w:bCs/>
                <w:sz w:val="24"/>
                <w:szCs w:val="24"/>
              </w:rPr>
            </w:pPr>
            <w:r>
              <w:rPr>
                <w:rFonts w:ascii="宋体" w:hAnsi="宋体" w:eastAsia="宋体" w:cs="宋体"/>
                <w:b/>
                <w:bCs/>
                <w:spacing w:val="2"/>
                <w:sz w:val="24"/>
                <w:szCs w:val="24"/>
              </w:rPr>
              <w:t>重点事项内容</w:t>
            </w:r>
          </w:p>
        </w:tc>
        <w:tc>
          <w:tcPr>
            <w:tcW w:w="3508" w:type="dxa"/>
            <w:noWrap w:val="0"/>
            <w:vAlign w:val="top"/>
          </w:tcPr>
          <w:p w14:paraId="3254F401">
            <w:pPr>
              <w:spacing w:before="213" w:line="219" w:lineRule="auto"/>
              <w:ind w:left="1023"/>
              <w:rPr>
                <w:rFonts w:ascii="宋体" w:hAnsi="宋体" w:eastAsia="宋体" w:cs="宋体"/>
                <w:b/>
                <w:bCs/>
                <w:sz w:val="24"/>
                <w:szCs w:val="24"/>
              </w:rPr>
            </w:pPr>
            <w:r>
              <w:rPr>
                <w:rFonts w:ascii="宋体" w:hAnsi="宋体" w:eastAsia="宋体" w:cs="宋体"/>
                <w:b/>
                <w:bCs/>
                <w:spacing w:val="9"/>
                <w:sz w:val="24"/>
                <w:szCs w:val="24"/>
              </w:rPr>
              <w:t>执法检查依据</w:t>
            </w:r>
          </w:p>
        </w:tc>
        <w:tc>
          <w:tcPr>
            <w:tcW w:w="2868" w:type="dxa"/>
            <w:noWrap w:val="0"/>
            <w:vAlign w:val="top"/>
          </w:tcPr>
          <w:p w14:paraId="7B6541F4">
            <w:pPr>
              <w:spacing w:before="75" w:line="220" w:lineRule="auto"/>
              <w:ind w:left="825"/>
              <w:rPr>
                <w:rFonts w:ascii="宋体" w:hAnsi="宋体" w:eastAsia="宋体" w:cs="宋体"/>
                <w:b/>
                <w:bCs/>
                <w:sz w:val="24"/>
                <w:szCs w:val="24"/>
              </w:rPr>
            </w:pPr>
            <w:r>
              <w:rPr>
                <w:rFonts w:ascii="宋体" w:hAnsi="宋体" w:eastAsia="宋体" w:cs="宋体"/>
                <w:b/>
                <w:bCs/>
                <w:spacing w:val="-2"/>
                <w:sz w:val="24"/>
                <w:szCs w:val="24"/>
              </w:rPr>
              <w:t>有关规范性</w:t>
            </w:r>
          </w:p>
          <w:p w14:paraId="65C49602">
            <w:pPr>
              <w:spacing w:before="33" w:line="207" w:lineRule="auto"/>
              <w:ind w:left="58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3073" w:type="dxa"/>
            <w:noWrap w:val="0"/>
            <w:vAlign w:val="top"/>
          </w:tcPr>
          <w:p w14:paraId="58E43458">
            <w:pPr>
              <w:spacing w:before="213" w:line="219" w:lineRule="auto"/>
              <w:ind w:left="966"/>
              <w:rPr>
                <w:rFonts w:ascii="宋体" w:hAnsi="宋体" w:eastAsia="宋体" w:cs="宋体"/>
                <w:b/>
                <w:bCs/>
                <w:sz w:val="24"/>
                <w:szCs w:val="24"/>
              </w:rPr>
            </w:pPr>
            <w:r>
              <w:rPr>
                <w:rFonts w:ascii="宋体" w:hAnsi="宋体" w:eastAsia="宋体" w:cs="宋体"/>
                <w:b/>
                <w:bCs/>
                <w:spacing w:val="3"/>
                <w:sz w:val="24"/>
                <w:szCs w:val="24"/>
              </w:rPr>
              <w:t>处罚依据</w:t>
            </w:r>
          </w:p>
        </w:tc>
        <w:tc>
          <w:tcPr>
            <w:tcW w:w="1330" w:type="dxa"/>
            <w:noWrap w:val="0"/>
            <w:vAlign w:val="top"/>
          </w:tcPr>
          <w:p w14:paraId="745A89D4">
            <w:pPr>
              <w:spacing w:before="212" w:line="221" w:lineRule="auto"/>
              <w:ind w:left="432"/>
              <w:rPr>
                <w:rFonts w:ascii="宋体" w:hAnsi="宋体" w:eastAsia="宋体" w:cs="宋体"/>
                <w:b/>
                <w:bCs/>
                <w:sz w:val="24"/>
                <w:szCs w:val="24"/>
              </w:rPr>
            </w:pPr>
            <w:r>
              <w:rPr>
                <w:rFonts w:ascii="宋体" w:hAnsi="宋体" w:eastAsia="宋体" w:cs="宋体"/>
                <w:b/>
                <w:bCs/>
                <w:spacing w:val="-6"/>
                <w:sz w:val="24"/>
                <w:szCs w:val="24"/>
              </w:rPr>
              <w:t>备注</w:t>
            </w:r>
          </w:p>
        </w:tc>
      </w:tr>
      <w:tr w14:paraId="0E88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3" w:hRule="atLeast"/>
          <w:jc w:val="center"/>
        </w:trPr>
        <w:tc>
          <w:tcPr>
            <w:tcW w:w="874" w:type="dxa"/>
            <w:noWrap w:val="0"/>
            <w:vAlign w:val="top"/>
          </w:tcPr>
          <w:p w14:paraId="00C779B5">
            <w:pPr>
              <w:rPr>
                <w:rFonts w:ascii="Arial"/>
                <w:sz w:val="21"/>
                <w:szCs w:val="21"/>
              </w:rPr>
            </w:pPr>
          </w:p>
        </w:tc>
        <w:tc>
          <w:tcPr>
            <w:tcW w:w="2238" w:type="dxa"/>
            <w:noWrap w:val="0"/>
            <w:vAlign w:val="top"/>
          </w:tcPr>
          <w:p w14:paraId="5855A2C9">
            <w:pPr>
              <w:rPr>
                <w:rFonts w:ascii="Arial"/>
                <w:sz w:val="21"/>
                <w:szCs w:val="21"/>
              </w:rPr>
            </w:pPr>
          </w:p>
        </w:tc>
        <w:tc>
          <w:tcPr>
            <w:tcW w:w="3508" w:type="dxa"/>
            <w:noWrap w:val="0"/>
            <w:vAlign w:val="top"/>
          </w:tcPr>
          <w:p w14:paraId="16588A0D">
            <w:pPr>
              <w:rPr>
                <w:rFonts w:ascii="Arial"/>
                <w:sz w:val="21"/>
                <w:szCs w:val="21"/>
              </w:rPr>
            </w:pPr>
          </w:p>
        </w:tc>
        <w:tc>
          <w:tcPr>
            <w:tcW w:w="2868" w:type="dxa"/>
            <w:noWrap w:val="0"/>
            <w:vAlign w:val="top"/>
          </w:tcPr>
          <w:p w14:paraId="1A55B32B">
            <w:pPr>
              <w:rPr>
                <w:rFonts w:ascii="Arial"/>
                <w:sz w:val="21"/>
                <w:szCs w:val="21"/>
              </w:rPr>
            </w:pPr>
          </w:p>
        </w:tc>
        <w:tc>
          <w:tcPr>
            <w:tcW w:w="3073" w:type="dxa"/>
            <w:noWrap w:val="0"/>
            <w:vAlign w:val="top"/>
          </w:tcPr>
          <w:p w14:paraId="1C6410C2">
            <w:pPr>
              <w:spacing w:before="90" w:line="241" w:lineRule="auto"/>
              <w:ind w:left="117" w:right="55"/>
              <w:jc w:val="both"/>
              <w:rPr>
                <w:rFonts w:ascii="宋体" w:hAnsi="宋体" w:eastAsia="宋体" w:cs="宋体"/>
                <w:sz w:val="21"/>
                <w:szCs w:val="21"/>
              </w:rPr>
            </w:pPr>
            <w:r>
              <w:rPr>
                <w:rFonts w:ascii="宋体" w:hAnsi="宋体" w:eastAsia="宋体" w:cs="宋体"/>
                <w:spacing w:val="21"/>
                <w:sz w:val="21"/>
                <w:szCs w:val="21"/>
              </w:rPr>
              <w:t>收入百分之二十以上百</w:t>
            </w:r>
            <w:r>
              <w:rPr>
                <w:rFonts w:ascii="宋体" w:hAnsi="宋体" w:eastAsia="宋体" w:cs="宋体"/>
                <w:spacing w:val="1"/>
                <w:sz w:val="21"/>
                <w:szCs w:val="21"/>
              </w:rPr>
              <w:t>分之五十以下的罚款；构成犯罪的，依照刑法有关</w:t>
            </w:r>
            <w:r>
              <w:rPr>
                <w:rFonts w:ascii="宋体" w:hAnsi="宋体" w:eastAsia="宋体" w:cs="宋体"/>
                <w:spacing w:val="13"/>
                <w:sz w:val="21"/>
                <w:szCs w:val="21"/>
              </w:rPr>
              <w:t>规定追究刑事责任。</w:t>
            </w:r>
          </w:p>
          <w:p w14:paraId="4CAF7B52">
            <w:pPr>
              <w:spacing w:before="31" w:line="244" w:lineRule="auto"/>
              <w:ind w:left="117" w:right="42" w:firstLine="459"/>
              <w:jc w:val="both"/>
              <w:rPr>
                <w:rFonts w:ascii="宋体" w:hAnsi="宋体" w:eastAsia="宋体" w:cs="宋体"/>
                <w:sz w:val="21"/>
                <w:szCs w:val="21"/>
              </w:rPr>
            </w:pPr>
            <w:r>
              <w:rPr>
                <w:rFonts w:ascii="宋体" w:hAnsi="宋体" w:eastAsia="宋体" w:cs="宋体"/>
                <w:spacing w:val="-14"/>
                <w:sz w:val="21"/>
                <w:szCs w:val="21"/>
              </w:rPr>
              <w:t>2.《危险化学品重大</w:t>
            </w:r>
            <w:r>
              <w:rPr>
                <w:rFonts w:ascii="宋体" w:hAnsi="宋体" w:eastAsia="宋体" w:cs="宋体"/>
                <w:spacing w:val="23"/>
                <w:sz w:val="21"/>
                <w:szCs w:val="21"/>
              </w:rPr>
              <w:t>危险源监督管理暂行规</w:t>
            </w:r>
            <w:r>
              <w:rPr>
                <w:rFonts w:ascii="宋体" w:hAnsi="宋体" w:eastAsia="宋体" w:cs="宋体"/>
                <w:spacing w:val="9"/>
                <w:sz w:val="21"/>
                <w:szCs w:val="21"/>
              </w:rPr>
              <w:t>定》(国家安全监管总局</w:t>
            </w:r>
            <w:r>
              <w:rPr>
                <w:rFonts w:ascii="宋体" w:hAnsi="宋体" w:eastAsia="宋体" w:cs="宋体"/>
                <w:spacing w:val="30"/>
                <w:sz w:val="21"/>
                <w:szCs w:val="21"/>
              </w:rPr>
              <w:t>令第40号)第三十四条</w:t>
            </w:r>
            <w:r>
              <w:rPr>
                <w:rFonts w:ascii="宋体" w:hAnsi="宋体" w:eastAsia="宋体" w:cs="宋体"/>
                <w:spacing w:val="14"/>
                <w:sz w:val="21"/>
                <w:szCs w:val="21"/>
              </w:rPr>
              <w:t>第二项危险化学品单</w:t>
            </w:r>
            <w:r>
              <w:rPr>
                <w:rFonts w:ascii="宋体" w:hAnsi="宋体" w:eastAsia="宋体" w:cs="宋体"/>
                <w:spacing w:val="2"/>
                <w:sz w:val="21"/>
                <w:szCs w:val="21"/>
              </w:rPr>
              <w:t>位有下列情形之一的，由</w:t>
            </w:r>
            <w:r>
              <w:rPr>
                <w:rFonts w:ascii="宋体" w:hAnsi="宋体" w:eastAsia="宋体" w:cs="宋体"/>
                <w:spacing w:val="21"/>
                <w:sz w:val="21"/>
                <w:szCs w:val="21"/>
              </w:rPr>
              <w:t>县级以上人民政府安全生产监督管理部门给予</w:t>
            </w:r>
            <w:r>
              <w:rPr>
                <w:rFonts w:ascii="宋体" w:hAnsi="宋体" w:eastAsia="宋体" w:cs="宋体"/>
                <w:spacing w:val="17"/>
                <w:sz w:val="21"/>
                <w:szCs w:val="21"/>
              </w:rPr>
              <w:t>警告，可以并处5000元</w:t>
            </w:r>
            <w:r>
              <w:rPr>
                <w:rFonts w:ascii="宋体" w:hAnsi="宋体" w:eastAsia="宋体" w:cs="宋体"/>
                <w:spacing w:val="10"/>
                <w:sz w:val="21"/>
                <w:szCs w:val="21"/>
              </w:rPr>
              <w:t>以上3万元以下的罚款：</w:t>
            </w:r>
          </w:p>
          <w:p w14:paraId="149BF8D6">
            <w:pPr>
              <w:spacing w:before="23" w:line="235" w:lineRule="auto"/>
              <w:ind w:left="117" w:right="75" w:firstLine="579"/>
              <w:jc w:val="both"/>
              <w:rPr>
                <w:rFonts w:ascii="宋体" w:hAnsi="宋体" w:eastAsia="宋体" w:cs="宋体"/>
                <w:sz w:val="21"/>
                <w:szCs w:val="21"/>
              </w:rPr>
            </w:pPr>
            <w:r>
              <w:rPr>
                <w:rFonts w:ascii="宋体" w:hAnsi="宋体" w:eastAsia="宋体" w:cs="宋体"/>
                <w:spacing w:val="15"/>
                <w:sz w:val="21"/>
                <w:szCs w:val="21"/>
              </w:rPr>
              <w:t>(二)未按照本规定</w:t>
            </w:r>
            <w:r>
              <w:rPr>
                <w:rFonts w:ascii="宋体" w:hAnsi="宋体" w:eastAsia="宋体" w:cs="宋体"/>
                <w:spacing w:val="20"/>
                <w:sz w:val="21"/>
                <w:szCs w:val="21"/>
              </w:rPr>
              <w:t>明确重大危险源中关键</w:t>
            </w:r>
            <w:r>
              <w:rPr>
                <w:rFonts w:ascii="宋体" w:hAnsi="宋体" w:eastAsia="宋体" w:cs="宋体"/>
                <w:spacing w:val="-1"/>
                <w:sz w:val="21"/>
                <w:szCs w:val="21"/>
              </w:rPr>
              <w:t>装置、重点部位的责任人</w:t>
            </w:r>
            <w:r>
              <w:rPr>
                <w:rFonts w:ascii="宋体" w:hAnsi="宋体" w:eastAsia="宋体" w:cs="宋体"/>
                <w:spacing w:val="14"/>
                <w:sz w:val="21"/>
                <w:szCs w:val="21"/>
              </w:rPr>
              <w:t>或者责任机构的。</w:t>
            </w:r>
          </w:p>
        </w:tc>
        <w:tc>
          <w:tcPr>
            <w:tcW w:w="1330" w:type="dxa"/>
            <w:noWrap w:val="0"/>
            <w:vAlign w:val="top"/>
          </w:tcPr>
          <w:p w14:paraId="6C5E3735">
            <w:pPr>
              <w:rPr>
                <w:rFonts w:ascii="Arial"/>
                <w:sz w:val="21"/>
                <w:szCs w:val="21"/>
              </w:rPr>
            </w:pPr>
          </w:p>
        </w:tc>
      </w:tr>
      <w:tr w14:paraId="6B91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jc w:val="center"/>
        </w:trPr>
        <w:tc>
          <w:tcPr>
            <w:tcW w:w="874" w:type="dxa"/>
            <w:noWrap w:val="0"/>
            <w:vAlign w:val="top"/>
          </w:tcPr>
          <w:p w14:paraId="24E39795">
            <w:pPr>
              <w:spacing w:line="338" w:lineRule="auto"/>
              <w:rPr>
                <w:rFonts w:ascii="Arial"/>
                <w:sz w:val="21"/>
                <w:szCs w:val="21"/>
              </w:rPr>
            </w:pPr>
          </w:p>
          <w:p w14:paraId="69B768B2">
            <w:pPr>
              <w:spacing w:line="338" w:lineRule="auto"/>
              <w:rPr>
                <w:rFonts w:ascii="Arial"/>
                <w:sz w:val="21"/>
                <w:szCs w:val="21"/>
              </w:rPr>
            </w:pPr>
          </w:p>
          <w:p w14:paraId="0582A10B">
            <w:pPr>
              <w:spacing w:before="78" w:line="184" w:lineRule="auto"/>
              <w:ind w:left="305"/>
              <w:rPr>
                <w:rFonts w:ascii="宋体" w:hAnsi="宋体" w:eastAsia="宋体" w:cs="宋体"/>
                <w:sz w:val="21"/>
                <w:szCs w:val="21"/>
              </w:rPr>
            </w:pPr>
          </w:p>
        </w:tc>
        <w:tc>
          <w:tcPr>
            <w:tcW w:w="2238" w:type="dxa"/>
            <w:noWrap w:val="0"/>
            <w:vAlign w:val="top"/>
          </w:tcPr>
          <w:p w14:paraId="1928B088">
            <w:pPr>
              <w:spacing w:before="96" w:line="245" w:lineRule="auto"/>
              <w:ind w:left="151" w:right="141"/>
              <w:jc w:val="both"/>
              <w:rPr>
                <w:rFonts w:ascii="宋体" w:hAnsi="宋体" w:eastAsia="宋体" w:cs="宋体"/>
                <w:sz w:val="21"/>
                <w:szCs w:val="21"/>
              </w:rPr>
            </w:pPr>
            <w:r>
              <w:rPr>
                <w:rFonts w:ascii="宋体" w:hAnsi="宋体" w:eastAsia="宋体" w:cs="宋体"/>
                <w:spacing w:val="11"/>
                <w:sz w:val="21"/>
                <w:szCs w:val="21"/>
              </w:rPr>
              <w:t>构成一级、二级重大危险源的危险化学品罐区未实现紧急切断功能；涉及毒性气体、液化气</w:t>
            </w:r>
          </w:p>
        </w:tc>
        <w:tc>
          <w:tcPr>
            <w:tcW w:w="3508" w:type="dxa"/>
            <w:noWrap w:val="0"/>
            <w:vAlign w:val="top"/>
          </w:tcPr>
          <w:p w14:paraId="757CBD5D">
            <w:pPr>
              <w:spacing w:before="90" w:line="246" w:lineRule="auto"/>
              <w:ind w:left="123" w:firstLine="470"/>
              <w:jc w:val="both"/>
              <w:rPr>
                <w:rFonts w:ascii="宋体" w:hAnsi="宋体" w:eastAsia="宋体" w:cs="宋体"/>
                <w:sz w:val="21"/>
                <w:szCs w:val="21"/>
              </w:rPr>
            </w:pPr>
            <w:r>
              <w:rPr>
                <w:rFonts w:ascii="宋体" w:hAnsi="宋体" w:eastAsia="宋体" w:cs="宋体"/>
                <w:spacing w:val="-2"/>
                <w:sz w:val="21"/>
                <w:szCs w:val="21"/>
              </w:rPr>
              <w:t>1.《中华人民共和国安全生</w:t>
            </w:r>
            <w:r>
              <w:rPr>
                <w:rFonts w:ascii="宋体" w:hAnsi="宋体" w:eastAsia="宋体" w:cs="宋体"/>
                <w:spacing w:val="9"/>
                <w:sz w:val="21"/>
                <w:szCs w:val="21"/>
              </w:rPr>
              <w:t>产法》第四十一条第二款生产</w:t>
            </w:r>
            <w:r>
              <w:rPr>
                <w:rFonts w:ascii="宋体" w:hAnsi="宋体" w:eastAsia="宋体" w:cs="宋体"/>
                <w:spacing w:val="21"/>
                <w:sz w:val="21"/>
                <w:szCs w:val="21"/>
              </w:rPr>
              <w:t>经营单位应当建立健全并落实</w:t>
            </w:r>
            <w:r>
              <w:rPr>
                <w:rFonts w:ascii="宋体" w:hAnsi="宋体" w:eastAsia="宋体" w:cs="宋体"/>
                <w:spacing w:val="22"/>
                <w:sz w:val="21"/>
                <w:szCs w:val="21"/>
              </w:rPr>
              <w:t>生产安全事故隐患排查治理制</w:t>
            </w:r>
            <w:r>
              <w:rPr>
                <w:rFonts w:ascii="宋体" w:hAnsi="宋体" w:eastAsia="宋体" w:cs="宋体"/>
                <w:spacing w:val="11"/>
                <w:sz w:val="21"/>
                <w:szCs w:val="21"/>
              </w:rPr>
              <w:t>度，采取技术、管理措施，及时</w:t>
            </w:r>
          </w:p>
        </w:tc>
        <w:tc>
          <w:tcPr>
            <w:tcW w:w="2868" w:type="dxa"/>
            <w:noWrap w:val="0"/>
            <w:vAlign w:val="top"/>
          </w:tcPr>
          <w:p w14:paraId="1EFE6DB2">
            <w:pPr>
              <w:rPr>
                <w:rFonts w:ascii="Arial"/>
                <w:sz w:val="21"/>
                <w:szCs w:val="21"/>
              </w:rPr>
            </w:pPr>
          </w:p>
        </w:tc>
        <w:tc>
          <w:tcPr>
            <w:tcW w:w="3073" w:type="dxa"/>
            <w:noWrap w:val="0"/>
            <w:vAlign w:val="top"/>
          </w:tcPr>
          <w:p w14:paraId="2FBB45CD">
            <w:pPr>
              <w:spacing w:before="78" w:line="248" w:lineRule="auto"/>
              <w:ind w:left="117" w:firstLine="432"/>
              <w:jc w:val="both"/>
              <w:rPr>
                <w:rFonts w:ascii="宋体" w:hAnsi="宋体" w:eastAsia="宋体" w:cs="宋体"/>
                <w:sz w:val="21"/>
                <w:szCs w:val="21"/>
              </w:rPr>
            </w:pPr>
            <w:r>
              <w:rPr>
                <w:rFonts w:ascii="宋体" w:hAnsi="宋体" w:eastAsia="宋体" w:cs="宋体"/>
                <w:spacing w:val="32"/>
                <w:sz w:val="21"/>
                <w:szCs w:val="21"/>
              </w:rPr>
              <w:t>《中华人民共和国</w:t>
            </w:r>
            <w:r>
              <w:rPr>
                <w:rFonts w:ascii="宋体" w:hAnsi="宋体" w:eastAsia="宋体" w:cs="宋体"/>
                <w:spacing w:val="6"/>
                <w:sz w:val="21"/>
                <w:szCs w:val="21"/>
              </w:rPr>
              <w:t>安全生产法》第一百零二</w:t>
            </w:r>
            <w:r>
              <w:rPr>
                <w:rFonts w:ascii="宋体" w:hAnsi="宋体" w:eastAsia="宋体" w:cs="宋体"/>
                <w:spacing w:val="20"/>
                <w:sz w:val="21"/>
                <w:szCs w:val="21"/>
              </w:rPr>
              <w:t>条生产经营单位未采</w:t>
            </w:r>
            <w:r>
              <w:rPr>
                <w:rFonts w:ascii="宋体" w:hAnsi="宋体" w:eastAsia="宋体" w:cs="宋体"/>
                <w:spacing w:val="16"/>
                <w:sz w:val="21"/>
                <w:szCs w:val="21"/>
              </w:rPr>
              <w:t>取措施消除事故隐患的，</w:t>
            </w:r>
            <w:r>
              <w:rPr>
                <w:rFonts w:ascii="宋体" w:hAnsi="宋体" w:eastAsia="宋体" w:cs="宋体"/>
                <w:spacing w:val="26"/>
                <w:sz w:val="21"/>
                <w:szCs w:val="21"/>
              </w:rPr>
              <w:t>责令立即消除或者限期</w:t>
            </w:r>
          </w:p>
        </w:tc>
        <w:tc>
          <w:tcPr>
            <w:tcW w:w="1330" w:type="dxa"/>
            <w:noWrap w:val="0"/>
            <w:vAlign w:val="top"/>
          </w:tcPr>
          <w:p w14:paraId="21900BA6">
            <w:pPr>
              <w:spacing w:line="249" w:lineRule="auto"/>
              <w:rPr>
                <w:rFonts w:ascii="Arial"/>
                <w:sz w:val="21"/>
                <w:szCs w:val="21"/>
              </w:rPr>
            </w:pPr>
          </w:p>
          <w:p w14:paraId="66A1617F">
            <w:pPr>
              <w:spacing w:line="249" w:lineRule="auto"/>
              <w:rPr>
                <w:rFonts w:ascii="Arial"/>
                <w:sz w:val="21"/>
                <w:szCs w:val="21"/>
              </w:rPr>
            </w:pPr>
          </w:p>
          <w:p w14:paraId="2C7F1346">
            <w:pPr>
              <w:spacing w:before="78" w:line="232" w:lineRule="auto"/>
              <w:ind w:left="129" w:right="114" w:firstLine="20"/>
              <w:rPr>
                <w:rFonts w:ascii="宋体" w:hAnsi="宋体" w:eastAsia="宋体" w:cs="宋体"/>
                <w:sz w:val="21"/>
                <w:szCs w:val="21"/>
              </w:rPr>
            </w:pPr>
            <w:r>
              <w:rPr>
                <w:rFonts w:ascii="宋体" w:hAnsi="宋体" w:eastAsia="宋体" w:cs="宋体"/>
                <w:spacing w:val="2"/>
                <w:sz w:val="21"/>
                <w:szCs w:val="21"/>
              </w:rPr>
              <w:t>重大危险</w:t>
            </w:r>
            <w:r>
              <w:rPr>
                <w:rFonts w:ascii="宋体" w:hAnsi="宋体" w:eastAsia="宋体" w:cs="宋体"/>
                <w:spacing w:val="-2"/>
                <w:sz w:val="21"/>
                <w:szCs w:val="21"/>
              </w:rPr>
              <w:t>源管理</w:t>
            </w:r>
          </w:p>
        </w:tc>
      </w:tr>
    </w:tbl>
    <w:p w14:paraId="766BBC30">
      <w:pPr>
        <w:rPr>
          <w:rFonts w:ascii="Arial"/>
          <w:sz w:val="21"/>
        </w:rPr>
      </w:pPr>
    </w:p>
    <w:p w14:paraId="3557F69D">
      <w:pPr>
        <w:sectPr>
          <w:pgSz w:w="16840" w:h="11900"/>
          <w:pgMar w:top="1440" w:right="1080" w:bottom="1440" w:left="1080" w:header="0" w:footer="0" w:gutter="0"/>
          <w:pgNumType w:fmt="decimal"/>
          <w:cols w:space="720" w:num="1"/>
        </w:sectPr>
      </w:pPr>
    </w:p>
    <w:p w14:paraId="38DE2C59"/>
    <w:p w14:paraId="644652D7">
      <w:pPr>
        <w:spacing w:line="19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19"/>
        <w:gridCol w:w="3507"/>
        <w:gridCol w:w="2868"/>
        <w:gridCol w:w="3232"/>
        <w:gridCol w:w="1144"/>
      </w:tblGrid>
      <w:tr w14:paraId="26B8B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74" w:type="dxa"/>
            <w:noWrap w:val="0"/>
            <w:vAlign w:val="top"/>
          </w:tcPr>
          <w:p w14:paraId="4BE19035">
            <w:pPr>
              <w:spacing w:before="22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19" w:type="dxa"/>
            <w:noWrap w:val="0"/>
            <w:vAlign w:val="top"/>
          </w:tcPr>
          <w:p w14:paraId="064A7369">
            <w:pPr>
              <w:spacing w:before="81" w:line="219" w:lineRule="auto"/>
              <w:ind w:left="624"/>
              <w:rPr>
                <w:rFonts w:ascii="宋体" w:hAnsi="宋体" w:eastAsia="宋体" w:cs="宋体"/>
                <w:b/>
                <w:bCs/>
                <w:sz w:val="24"/>
                <w:szCs w:val="24"/>
              </w:rPr>
            </w:pPr>
            <w:r>
              <w:rPr>
                <w:rFonts w:ascii="宋体" w:hAnsi="宋体" w:eastAsia="宋体" w:cs="宋体"/>
                <w:b/>
                <w:bCs/>
                <w:spacing w:val="-5"/>
                <w:sz w:val="24"/>
                <w:szCs w:val="24"/>
              </w:rPr>
              <w:t>执法检查</w:t>
            </w:r>
          </w:p>
          <w:p w14:paraId="266E8894">
            <w:pPr>
              <w:spacing w:before="45" w:line="202" w:lineRule="auto"/>
              <w:ind w:left="404"/>
              <w:rPr>
                <w:rFonts w:ascii="宋体" w:hAnsi="宋体" w:eastAsia="宋体" w:cs="宋体"/>
                <w:b/>
                <w:bCs/>
                <w:sz w:val="24"/>
                <w:szCs w:val="24"/>
              </w:rPr>
            </w:pPr>
            <w:r>
              <w:rPr>
                <w:rFonts w:ascii="宋体" w:hAnsi="宋体" w:eastAsia="宋体" w:cs="宋体"/>
                <w:b/>
                <w:bCs/>
                <w:spacing w:val="-4"/>
                <w:sz w:val="24"/>
                <w:szCs w:val="24"/>
              </w:rPr>
              <w:t>重点事项内容</w:t>
            </w:r>
          </w:p>
        </w:tc>
        <w:tc>
          <w:tcPr>
            <w:tcW w:w="3507" w:type="dxa"/>
            <w:noWrap w:val="0"/>
            <w:vAlign w:val="top"/>
          </w:tcPr>
          <w:p w14:paraId="41710380">
            <w:pPr>
              <w:spacing w:before="219" w:line="219" w:lineRule="auto"/>
              <w:ind w:left="1045"/>
              <w:rPr>
                <w:rFonts w:ascii="宋体" w:hAnsi="宋体" w:eastAsia="宋体" w:cs="宋体"/>
                <w:b/>
                <w:bCs/>
                <w:sz w:val="24"/>
                <w:szCs w:val="24"/>
              </w:rPr>
            </w:pPr>
            <w:r>
              <w:rPr>
                <w:rFonts w:ascii="宋体" w:hAnsi="宋体" w:eastAsia="宋体" w:cs="宋体"/>
                <w:b/>
                <w:bCs/>
                <w:spacing w:val="2"/>
                <w:sz w:val="24"/>
                <w:szCs w:val="24"/>
              </w:rPr>
              <w:t>执法检查依据</w:t>
            </w:r>
          </w:p>
        </w:tc>
        <w:tc>
          <w:tcPr>
            <w:tcW w:w="2868" w:type="dxa"/>
            <w:noWrap w:val="0"/>
            <w:vAlign w:val="top"/>
          </w:tcPr>
          <w:p w14:paraId="0CB32602">
            <w:pPr>
              <w:spacing w:before="85" w:line="220" w:lineRule="auto"/>
              <w:ind w:left="824"/>
              <w:rPr>
                <w:rFonts w:ascii="宋体" w:hAnsi="宋体" w:eastAsia="宋体" w:cs="宋体"/>
                <w:b/>
                <w:bCs/>
                <w:sz w:val="24"/>
                <w:szCs w:val="24"/>
              </w:rPr>
            </w:pPr>
            <w:r>
              <w:rPr>
                <w:rFonts w:ascii="宋体" w:hAnsi="宋体" w:eastAsia="宋体" w:cs="宋体"/>
                <w:b/>
                <w:bCs/>
                <w:spacing w:val="-2"/>
                <w:sz w:val="24"/>
                <w:szCs w:val="24"/>
              </w:rPr>
              <w:t>有关规范性</w:t>
            </w:r>
          </w:p>
          <w:p w14:paraId="038DAF9E">
            <w:pPr>
              <w:spacing w:before="42" w:line="200" w:lineRule="auto"/>
              <w:ind w:left="58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3232" w:type="dxa"/>
            <w:noWrap w:val="0"/>
            <w:vAlign w:val="top"/>
          </w:tcPr>
          <w:p w14:paraId="3AFBEE59">
            <w:pPr>
              <w:spacing w:before="223" w:line="219" w:lineRule="auto"/>
              <w:ind w:left="966"/>
              <w:rPr>
                <w:rFonts w:ascii="宋体" w:hAnsi="宋体" w:eastAsia="宋体" w:cs="宋体"/>
                <w:b/>
                <w:bCs/>
                <w:sz w:val="24"/>
                <w:szCs w:val="24"/>
              </w:rPr>
            </w:pPr>
            <w:r>
              <w:rPr>
                <w:rFonts w:ascii="宋体" w:hAnsi="宋体" w:eastAsia="宋体" w:cs="宋体"/>
                <w:b/>
                <w:bCs/>
                <w:spacing w:val="8"/>
                <w:sz w:val="24"/>
                <w:szCs w:val="24"/>
              </w:rPr>
              <w:t>处罚依据</w:t>
            </w:r>
          </w:p>
        </w:tc>
        <w:tc>
          <w:tcPr>
            <w:tcW w:w="1144" w:type="dxa"/>
            <w:noWrap w:val="0"/>
            <w:vAlign w:val="top"/>
          </w:tcPr>
          <w:p w14:paraId="07B2734D">
            <w:pPr>
              <w:spacing w:before="222" w:line="221" w:lineRule="auto"/>
              <w:ind w:left="382"/>
              <w:rPr>
                <w:rFonts w:ascii="宋体" w:hAnsi="宋体" w:eastAsia="宋体" w:cs="宋体"/>
                <w:b/>
                <w:bCs/>
                <w:sz w:val="24"/>
                <w:szCs w:val="24"/>
              </w:rPr>
            </w:pPr>
            <w:r>
              <w:rPr>
                <w:rFonts w:ascii="宋体" w:hAnsi="宋体" w:eastAsia="宋体" w:cs="宋体"/>
                <w:b/>
                <w:bCs/>
                <w:spacing w:val="-6"/>
                <w:sz w:val="24"/>
                <w:szCs w:val="24"/>
              </w:rPr>
              <w:t>备注</w:t>
            </w:r>
          </w:p>
        </w:tc>
      </w:tr>
      <w:tr w14:paraId="677AE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5" w:hRule="atLeast"/>
          <w:jc w:val="center"/>
        </w:trPr>
        <w:tc>
          <w:tcPr>
            <w:tcW w:w="874" w:type="dxa"/>
            <w:noWrap w:val="0"/>
            <w:vAlign w:val="center"/>
          </w:tcPr>
          <w:p w14:paraId="5336CC41">
            <w:pPr>
              <w:jc w:val="center"/>
              <w:rPr>
                <w:rFonts w:hint="eastAsia" w:ascii="Arial" w:eastAsia="宋体"/>
                <w:sz w:val="21"/>
                <w:szCs w:val="21"/>
                <w:lang w:val="en-US" w:eastAsia="zh-CN"/>
              </w:rPr>
            </w:pPr>
            <w:r>
              <w:rPr>
                <w:rFonts w:hint="eastAsia" w:ascii="宋体" w:hAnsi="宋体" w:eastAsia="宋体" w:cs="宋体"/>
                <w:sz w:val="21"/>
                <w:szCs w:val="21"/>
                <w:lang w:val="en-US" w:eastAsia="zh-CN"/>
              </w:rPr>
              <w:t>10</w:t>
            </w:r>
          </w:p>
        </w:tc>
        <w:tc>
          <w:tcPr>
            <w:tcW w:w="2219" w:type="dxa"/>
            <w:noWrap w:val="0"/>
            <w:vAlign w:val="top"/>
          </w:tcPr>
          <w:p w14:paraId="1060ABA4">
            <w:pPr>
              <w:spacing w:before="89" w:line="241" w:lineRule="auto"/>
              <w:ind w:left="130" w:right="143"/>
              <w:jc w:val="both"/>
              <w:rPr>
                <w:rFonts w:ascii="宋体" w:hAnsi="宋体" w:eastAsia="宋体" w:cs="宋体"/>
                <w:sz w:val="21"/>
                <w:szCs w:val="21"/>
              </w:rPr>
            </w:pPr>
            <w:r>
              <w:rPr>
                <w:rFonts w:ascii="宋体" w:hAnsi="宋体" w:eastAsia="宋体" w:cs="宋体"/>
                <w:spacing w:val="1"/>
                <w:sz w:val="21"/>
                <w:szCs w:val="21"/>
              </w:rPr>
              <w:t>体、剧毒液体的一级、二级重大危险</w:t>
            </w:r>
            <w:r>
              <w:rPr>
                <w:rFonts w:ascii="宋体" w:hAnsi="宋体" w:eastAsia="宋体" w:cs="宋体"/>
                <w:spacing w:val="-2"/>
                <w:sz w:val="21"/>
                <w:szCs w:val="21"/>
              </w:rPr>
              <w:t>源的危险化学品罐</w:t>
            </w:r>
            <w:r>
              <w:rPr>
                <w:rFonts w:ascii="宋体" w:hAnsi="宋体" w:eastAsia="宋体" w:cs="宋体"/>
                <w:spacing w:val="1"/>
                <w:sz w:val="21"/>
                <w:szCs w:val="21"/>
              </w:rPr>
              <w:t>区未配备独立的安</w:t>
            </w:r>
            <w:r>
              <w:rPr>
                <w:rFonts w:ascii="宋体" w:hAnsi="宋体" w:eastAsia="宋体" w:cs="宋体"/>
                <w:spacing w:val="19"/>
                <w:sz w:val="21"/>
                <w:szCs w:val="21"/>
              </w:rPr>
              <w:t>全仪表系统。</w:t>
            </w:r>
          </w:p>
        </w:tc>
        <w:tc>
          <w:tcPr>
            <w:tcW w:w="3507" w:type="dxa"/>
            <w:noWrap w:val="0"/>
            <w:vAlign w:val="top"/>
          </w:tcPr>
          <w:p w14:paraId="2E7C9D0C">
            <w:pPr>
              <w:spacing w:before="117" w:line="250" w:lineRule="auto"/>
              <w:ind w:left="151"/>
              <w:jc w:val="both"/>
              <w:rPr>
                <w:rFonts w:ascii="宋体" w:hAnsi="宋体" w:eastAsia="宋体" w:cs="宋体"/>
                <w:sz w:val="21"/>
                <w:szCs w:val="21"/>
              </w:rPr>
            </w:pPr>
            <w:r>
              <w:rPr>
                <w:rFonts w:ascii="宋体" w:hAnsi="宋体" w:eastAsia="宋体" w:cs="宋体"/>
                <w:spacing w:val="8"/>
                <w:sz w:val="21"/>
                <w:szCs w:val="21"/>
              </w:rPr>
              <w:t>发现并消除事故隐患。事故隐患排查治理情况应当如实记录，并</w:t>
            </w:r>
            <w:r>
              <w:rPr>
                <w:rFonts w:ascii="宋体" w:hAnsi="宋体" w:eastAsia="宋体" w:cs="宋体"/>
                <w:spacing w:val="22"/>
                <w:sz w:val="21"/>
                <w:szCs w:val="21"/>
              </w:rPr>
              <w:t>通过职工大会或者职工代表大</w:t>
            </w:r>
            <w:r>
              <w:rPr>
                <w:rFonts w:ascii="宋体" w:hAnsi="宋体" w:eastAsia="宋体" w:cs="宋体"/>
                <w:spacing w:val="8"/>
                <w:sz w:val="21"/>
                <w:szCs w:val="21"/>
              </w:rPr>
              <w:t>会、信息公示栏等方式向从业人员通报。其中，重大事故隐患排</w:t>
            </w:r>
            <w:r>
              <w:rPr>
                <w:rFonts w:ascii="宋体" w:hAnsi="宋体" w:eastAsia="宋体" w:cs="宋体"/>
                <w:spacing w:val="21"/>
                <w:sz w:val="21"/>
                <w:szCs w:val="21"/>
              </w:rPr>
              <w:t>查治理情况应当及时向负有安</w:t>
            </w:r>
            <w:r>
              <w:rPr>
                <w:rFonts w:ascii="宋体" w:hAnsi="宋体" w:eastAsia="宋体" w:cs="宋体"/>
                <w:spacing w:val="23"/>
                <w:sz w:val="21"/>
                <w:szCs w:val="21"/>
              </w:rPr>
              <w:t>全生产监督管理职责的部门和</w:t>
            </w:r>
            <w:r>
              <w:rPr>
                <w:rFonts w:ascii="宋体" w:hAnsi="宋体" w:eastAsia="宋体" w:cs="宋体"/>
                <w:spacing w:val="22"/>
                <w:sz w:val="21"/>
                <w:szCs w:val="21"/>
              </w:rPr>
              <w:t>职工大会或者职工代表大会报</w:t>
            </w:r>
            <w:r>
              <w:rPr>
                <w:rFonts w:ascii="宋体" w:hAnsi="宋体" w:eastAsia="宋体" w:cs="宋体"/>
                <w:spacing w:val="-3"/>
                <w:sz w:val="21"/>
                <w:szCs w:val="21"/>
              </w:rPr>
              <w:t>告。</w:t>
            </w:r>
          </w:p>
          <w:p w14:paraId="7F5A646E">
            <w:pPr>
              <w:spacing w:before="68" w:line="255" w:lineRule="auto"/>
              <w:ind w:left="151" w:firstLine="415"/>
              <w:jc w:val="both"/>
              <w:rPr>
                <w:rFonts w:ascii="宋体" w:hAnsi="宋体" w:eastAsia="宋体" w:cs="宋体"/>
                <w:sz w:val="21"/>
                <w:szCs w:val="21"/>
              </w:rPr>
            </w:pPr>
            <w:r>
              <w:rPr>
                <w:rFonts w:ascii="宋体" w:hAnsi="宋体" w:eastAsia="宋体" w:cs="宋体"/>
                <w:spacing w:val="-8"/>
                <w:sz w:val="21"/>
                <w:szCs w:val="21"/>
              </w:rPr>
              <w:t>2.《危险化学品重大危险源</w:t>
            </w:r>
            <w:r>
              <w:rPr>
                <w:rFonts w:ascii="宋体" w:hAnsi="宋体" w:eastAsia="宋体" w:cs="宋体"/>
                <w:spacing w:val="4"/>
                <w:sz w:val="21"/>
                <w:szCs w:val="21"/>
              </w:rPr>
              <w:t>监督管理暂行规定》(国家安全</w:t>
            </w:r>
            <w:r>
              <w:rPr>
                <w:rFonts w:ascii="宋体" w:hAnsi="宋体" w:eastAsia="宋体" w:cs="宋体"/>
                <w:spacing w:val="20"/>
                <w:sz w:val="21"/>
                <w:szCs w:val="21"/>
              </w:rPr>
              <w:t>监管总局令第40号)第十三条</w:t>
            </w:r>
            <w:r>
              <w:rPr>
                <w:rFonts w:ascii="宋体" w:hAnsi="宋体" w:eastAsia="宋体" w:cs="宋体"/>
                <w:sz w:val="21"/>
                <w:szCs w:val="21"/>
              </w:rPr>
              <w:t>第二项、第三项危险化学品单</w:t>
            </w:r>
            <w:r>
              <w:rPr>
                <w:rFonts w:ascii="宋体" w:hAnsi="宋体" w:eastAsia="宋体" w:cs="宋体"/>
                <w:spacing w:val="15"/>
                <w:sz w:val="21"/>
                <w:szCs w:val="21"/>
              </w:rPr>
              <w:t>位应当根据构成重大危险源的</w:t>
            </w:r>
            <w:r>
              <w:rPr>
                <w:rFonts w:ascii="宋体" w:hAnsi="宋体" w:eastAsia="宋体" w:cs="宋体"/>
                <w:spacing w:val="8"/>
                <w:sz w:val="21"/>
                <w:szCs w:val="21"/>
              </w:rPr>
              <w:t>危险化学品种类、数量、生产、使用工艺(方式)或者相关设备、</w:t>
            </w:r>
            <w:r>
              <w:rPr>
                <w:rFonts w:ascii="宋体" w:hAnsi="宋体" w:eastAsia="宋体" w:cs="宋体"/>
                <w:spacing w:val="1"/>
                <w:sz w:val="21"/>
                <w:szCs w:val="21"/>
              </w:rPr>
              <w:t>设施等实际情况，按照下列要求建立健全安全监测监控体系，完</w:t>
            </w:r>
            <w:r>
              <w:rPr>
                <w:rFonts w:ascii="宋体" w:hAnsi="宋体" w:eastAsia="宋体" w:cs="宋体"/>
                <w:spacing w:val="21"/>
                <w:sz w:val="21"/>
                <w:szCs w:val="21"/>
              </w:rPr>
              <w:t>善控制措施：</w:t>
            </w:r>
          </w:p>
          <w:p w14:paraId="53BDC745">
            <w:pPr>
              <w:spacing w:before="28" w:line="241" w:lineRule="auto"/>
              <w:ind w:left="151" w:firstLine="558"/>
              <w:jc w:val="both"/>
              <w:rPr>
                <w:rFonts w:ascii="宋体" w:hAnsi="宋体" w:eastAsia="宋体" w:cs="宋体"/>
                <w:sz w:val="21"/>
                <w:szCs w:val="21"/>
              </w:rPr>
            </w:pPr>
            <w:r>
              <w:rPr>
                <w:rFonts w:ascii="宋体" w:hAnsi="宋体" w:eastAsia="宋体" w:cs="宋体"/>
                <w:spacing w:val="12"/>
                <w:sz w:val="21"/>
                <w:szCs w:val="21"/>
              </w:rPr>
              <w:t>(二)重大危险源的化工生</w:t>
            </w:r>
            <w:r>
              <w:rPr>
                <w:rFonts w:ascii="宋体" w:hAnsi="宋体" w:eastAsia="宋体" w:cs="宋体"/>
                <w:spacing w:val="21"/>
                <w:sz w:val="21"/>
                <w:szCs w:val="21"/>
              </w:rPr>
              <w:t>产装置装备满足安全生产要求</w:t>
            </w:r>
            <w:r>
              <w:rPr>
                <w:rFonts w:ascii="宋体" w:hAnsi="宋体" w:eastAsia="宋体" w:cs="宋体"/>
                <w:spacing w:val="-5"/>
                <w:sz w:val="21"/>
                <w:szCs w:val="21"/>
              </w:rPr>
              <w:t>的自动化控制系统；一级或者二</w:t>
            </w:r>
            <w:r>
              <w:rPr>
                <w:rFonts w:ascii="宋体" w:hAnsi="宋体" w:eastAsia="宋体" w:cs="宋体"/>
                <w:spacing w:val="8"/>
                <w:sz w:val="21"/>
                <w:szCs w:val="21"/>
              </w:rPr>
              <w:t>级重大危险源，装备紧急停车系</w:t>
            </w:r>
          </w:p>
        </w:tc>
        <w:tc>
          <w:tcPr>
            <w:tcW w:w="2868" w:type="dxa"/>
            <w:noWrap w:val="0"/>
            <w:vAlign w:val="top"/>
          </w:tcPr>
          <w:p w14:paraId="6713FCF3">
            <w:pPr>
              <w:rPr>
                <w:rFonts w:ascii="Arial"/>
                <w:sz w:val="21"/>
                <w:szCs w:val="21"/>
              </w:rPr>
            </w:pPr>
          </w:p>
        </w:tc>
        <w:tc>
          <w:tcPr>
            <w:tcW w:w="3232" w:type="dxa"/>
            <w:noWrap w:val="0"/>
            <w:vAlign w:val="top"/>
          </w:tcPr>
          <w:p w14:paraId="6659C56B">
            <w:pPr>
              <w:spacing w:before="90" w:line="243" w:lineRule="auto"/>
              <w:ind w:left="156" w:right="12"/>
              <w:jc w:val="both"/>
              <w:rPr>
                <w:rFonts w:ascii="宋体" w:hAnsi="宋体" w:eastAsia="宋体" w:cs="宋体"/>
                <w:sz w:val="21"/>
                <w:szCs w:val="21"/>
              </w:rPr>
            </w:pPr>
            <w:r>
              <w:rPr>
                <w:rFonts w:ascii="宋体" w:hAnsi="宋体" w:eastAsia="宋体" w:cs="宋体"/>
                <w:spacing w:val="2"/>
                <w:sz w:val="21"/>
                <w:szCs w:val="21"/>
              </w:rPr>
              <w:t>消除，处五万元以下的罚</w:t>
            </w:r>
            <w:r>
              <w:rPr>
                <w:rFonts w:ascii="宋体" w:hAnsi="宋体" w:eastAsia="宋体" w:cs="宋体"/>
                <w:sz w:val="21"/>
                <w:szCs w:val="21"/>
              </w:rPr>
              <w:t>款；生产经营单位拒不执</w:t>
            </w:r>
            <w:r>
              <w:rPr>
                <w:rFonts w:ascii="宋体" w:hAnsi="宋体" w:eastAsia="宋体" w:cs="宋体"/>
                <w:spacing w:val="23"/>
                <w:sz w:val="21"/>
                <w:szCs w:val="21"/>
              </w:rPr>
              <w:t>行的，责令停产停业整</w:t>
            </w:r>
            <w:r>
              <w:rPr>
                <w:rFonts w:ascii="宋体" w:hAnsi="宋体" w:eastAsia="宋体" w:cs="宋体"/>
                <w:spacing w:val="1"/>
                <w:sz w:val="21"/>
                <w:szCs w:val="21"/>
              </w:rPr>
              <w:t>顿，对其直接负责的主管</w:t>
            </w:r>
            <w:r>
              <w:rPr>
                <w:rFonts w:ascii="宋体" w:hAnsi="宋体" w:eastAsia="宋体" w:cs="宋体"/>
                <w:spacing w:val="21"/>
                <w:sz w:val="21"/>
                <w:szCs w:val="21"/>
              </w:rPr>
              <w:t>人员和其他直接责任人员处五万元以上十万元以下的罚款；构成犯罪</w:t>
            </w:r>
            <w:r>
              <w:rPr>
                <w:rFonts w:ascii="宋体" w:hAnsi="宋体" w:eastAsia="宋体" w:cs="宋体"/>
                <w:spacing w:val="1"/>
                <w:sz w:val="21"/>
                <w:szCs w:val="21"/>
              </w:rPr>
              <w:t>的，依照刑法有关规定追</w:t>
            </w:r>
            <w:r>
              <w:rPr>
                <w:rFonts w:ascii="宋体" w:hAnsi="宋体" w:eastAsia="宋体" w:cs="宋体"/>
                <w:spacing w:val="19"/>
                <w:sz w:val="21"/>
                <w:szCs w:val="21"/>
              </w:rPr>
              <w:t>究刑事责任。</w:t>
            </w:r>
          </w:p>
        </w:tc>
        <w:tc>
          <w:tcPr>
            <w:tcW w:w="1144" w:type="dxa"/>
            <w:noWrap w:val="0"/>
            <w:vAlign w:val="top"/>
          </w:tcPr>
          <w:p w14:paraId="1A569001">
            <w:pPr>
              <w:rPr>
                <w:rFonts w:ascii="Arial"/>
                <w:sz w:val="21"/>
                <w:szCs w:val="21"/>
              </w:rPr>
            </w:pPr>
          </w:p>
        </w:tc>
      </w:tr>
    </w:tbl>
    <w:p w14:paraId="280AF72B">
      <w:pPr>
        <w:rPr>
          <w:rFonts w:ascii="Arial"/>
          <w:sz w:val="21"/>
        </w:rPr>
      </w:pPr>
    </w:p>
    <w:p w14:paraId="0FFA7274">
      <w:pPr>
        <w:sectPr>
          <w:pgSz w:w="16840" w:h="11900"/>
          <w:pgMar w:top="1440" w:right="1080" w:bottom="1440" w:left="1080" w:header="0" w:footer="0" w:gutter="0"/>
          <w:pgNumType w:fmt="decimal"/>
          <w:cols w:space="720" w:num="1"/>
        </w:sectPr>
      </w:pPr>
    </w:p>
    <w:p w14:paraId="4ABD1B1B"/>
    <w:p w14:paraId="50D4AFAD">
      <w:pPr>
        <w:spacing w:line="22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39"/>
        <w:gridCol w:w="3517"/>
        <w:gridCol w:w="2858"/>
        <w:gridCol w:w="2838"/>
        <w:gridCol w:w="1244"/>
      </w:tblGrid>
      <w:tr w14:paraId="41DFD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64" w:type="dxa"/>
            <w:noWrap w:val="0"/>
            <w:vAlign w:val="top"/>
          </w:tcPr>
          <w:p w14:paraId="016A00D3">
            <w:pPr>
              <w:spacing w:before="21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39" w:type="dxa"/>
            <w:noWrap w:val="0"/>
            <w:vAlign w:val="top"/>
          </w:tcPr>
          <w:p w14:paraId="24B495D3">
            <w:pPr>
              <w:spacing w:before="55" w:line="219" w:lineRule="auto"/>
              <w:ind w:left="630"/>
              <w:rPr>
                <w:rFonts w:ascii="宋体" w:hAnsi="宋体" w:eastAsia="宋体" w:cs="宋体"/>
                <w:b/>
                <w:bCs/>
                <w:sz w:val="24"/>
                <w:szCs w:val="24"/>
              </w:rPr>
            </w:pPr>
            <w:r>
              <w:rPr>
                <w:rFonts w:ascii="宋体" w:hAnsi="宋体" w:eastAsia="宋体" w:cs="宋体"/>
                <w:b/>
                <w:bCs/>
                <w:spacing w:val="3"/>
                <w:sz w:val="24"/>
                <w:szCs w:val="24"/>
              </w:rPr>
              <w:t>执法检查</w:t>
            </w:r>
          </w:p>
          <w:p w14:paraId="40CDC34B">
            <w:pPr>
              <w:spacing w:before="55" w:line="207" w:lineRule="auto"/>
              <w:ind w:left="390"/>
              <w:rPr>
                <w:rFonts w:ascii="宋体" w:hAnsi="宋体" w:eastAsia="宋体" w:cs="宋体"/>
                <w:b/>
                <w:bCs/>
                <w:sz w:val="24"/>
                <w:szCs w:val="24"/>
              </w:rPr>
            </w:pPr>
            <w:r>
              <w:rPr>
                <w:rFonts w:ascii="宋体" w:hAnsi="宋体" w:eastAsia="宋体" w:cs="宋体"/>
                <w:b/>
                <w:bCs/>
                <w:spacing w:val="2"/>
                <w:sz w:val="24"/>
                <w:szCs w:val="24"/>
              </w:rPr>
              <w:t>重点事项内容</w:t>
            </w:r>
          </w:p>
        </w:tc>
        <w:tc>
          <w:tcPr>
            <w:tcW w:w="3517" w:type="dxa"/>
            <w:noWrap w:val="0"/>
            <w:vAlign w:val="top"/>
          </w:tcPr>
          <w:p w14:paraId="3D83AF35">
            <w:pPr>
              <w:spacing w:before="213" w:line="219" w:lineRule="auto"/>
              <w:ind w:left="1051"/>
              <w:rPr>
                <w:rFonts w:ascii="宋体" w:hAnsi="宋体" w:eastAsia="宋体" w:cs="宋体"/>
                <w:b/>
                <w:bCs/>
                <w:sz w:val="24"/>
                <w:szCs w:val="24"/>
              </w:rPr>
            </w:pPr>
            <w:r>
              <w:rPr>
                <w:rFonts w:ascii="宋体" w:hAnsi="宋体" w:eastAsia="宋体" w:cs="宋体"/>
                <w:b/>
                <w:bCs/>
                <w:spacing w:val="2"/>
                <w:sz w:val="24"/>
                <w:szCs w:val="24"/>
              </w:rPr>
              <w:t>执法检查依据</w:t>
            </w:r>
          </w:p>
        </w:tc>
        <w:tc>
          <w:tcPr>
            <w:tcW w:w="2858" w:type="dxa"/>
            <w:noWrap w:val="0"/>
            <w:vAlign w:val="top"/>
          </w:tcPr>
          <w:p w14:paraId="33A0A72F">
            <w:pPr>
              <w:spacing w:before="85" w:line="220" w:lineRule="auto"/>
              <w:ind w:left="834"/>
              <w:rPr>
                <w:rFonts w:ascii="宋体" w:hAnsi="宋体" w:eastAsia="宋体" w:cs="宋体"/>
                <w:b/>
                <w:bCs/>
                <w:sz w:val="24"/>
                <w:szCs w:val="24"/>
              </w:rPr>
            </w:pPr>
            <w:r>
              <w:rPr>
                <w:rFonts w:ascii="宋体" w:hAnsi="宋体" w:eastAsia="宋体" w:cs="宋体"/>
                <w:b/>
                <w:bCs/>
                <w:spacing w:val="-2"/>
                <w:sz w:val="24"/>
                <w:szCs w:val="24"/>
              </w:rPr>
              <w:t>有关规范性</w:t>
            </w:r>
          </w:p>
          <w:p w14:paraId="67EE934C">
            <w:pPr>
              <w:spacing w:before="42" w:line="192" w:lineRule="auto"/>
              <w:ind w:left="604"/>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838" w:type="dxa"/>
            <w:noWrap w:val="0"/>
            <w:vAlign w:val="top"/>
          </w:tcPr>
          <w:p w14:paraId="3B9F79CC">
            <w:pPr>
              <w:spacing w:before="213" w:line="219" w:lineRule="auto"/>
              <w:ind w:left="956"/>
              <w:rPr>
                <w:rFonts w:ascii="宋体" w:hAnsi="宋体" w:eastAsia="宋体" w:cs="宋体"/>
                <w:b/>
                <w:bCs/>
                <w:sz w:val="24"/>
                <w:szCs w:val="24"/>
              </w:rPr>
            </w:pPr>
            <w:r>
              <w:rPr>
                <w:rFonts w:ascii="宋体" w:hAnsi="宋体" w:eastAsia="宋体" w:cs="宋体"/>
                <w:b/>
                <w:bCs/>
                <w:spacing w:val="13"/>
                <w:sz w:val="24"/>
                <w:szCs w:val="24"/>
              </w:rPr>
              <w:t>处罚依据</w:t>
            </w:r>
          </w:p>
        </w:tc>
        <w:tc>
          <w:tcPr>
            <w:tcW w:w="1244" w:type="dxa"/>
            <w:noWrap w:val="0"/>
            <w:vAlign w:val="top"/>
          </w:tcPr>
          <w:p w14:paraId="6FB2F4A3">
            <w:pPr>
              <w:spacing w:before="212" w:line="221" w:lineRule="auto"/>
              <w:ind w:left="452"/>
              <w:rPr>
                <w:rFonts w:ascii="宋体" w:hAnsi="宋体" w:eastAsia="宋体" w:cs="宋体"/>
                <w:b/>
                <w:bCs/>
                <w:sz w:val="24"/>
                <w:szCs w:val="24"/>
              </w:rPr>
            </w:pPr>
            <w:r>
              <w:rPr>
                <w:rFonts w:ascii="宋体" w:hAnsi="宋体" w:eastAsia="宋体" w:cs="宋体"/>
                <w:b/>
                <w:bCs/>
                <w:spacing w:val="-6"/>
                <w:sz w:val="24"/>
                <w:szCs w:val="24"/>
              </w:rPr>
              <w:t>备注</w:t>
            </w:r>
          </w:p>
        </w:tc>
      </w:tr>
      <w:tr w14:paraId="6E8F0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2" w:hRule="atLeast"/>
          <w:jc w:val="center"/>
        </w:trPr>
        <w:tc>
          <w:tcPr>
            <w:tcW w:w="864" w:type="dxa"/>
            <w:noWrap w:val="0"/>
            <w:vAlign w:val="top"/>
          </w:tcPr>
          <w:p w14:paraId="4C4D8DC2">
            <w:pPr>
              <w:rPr>
                <w:rFonts w:ascii="Arial"/>
                <w:sz w:val="21"/>
                <w:szCs w:val="21"/>
              </w:rPr>
            </w:pPr>
          </w:p>
        </w:tc>
        <w:tc>
          <w:tcPr>
            <w:tcW w:w="2239" w:type="dxa"/>
            <w:noWrap w:val="0"/>
            <w:vAlign w:val="top"/>
          </w:tcPr>
          <w:p w14:paraId="654D777A">
            <w:pPr>
              <w:rPr>
                <w:rFonts w:ascii="Arial"/>
                <w:sz w:val="21"/>
                <w:szCs w:val="21"/>
              </w:rPr>
            </w:pPr>
          </w:p>
        </w:tc>
        <w:tc>
          <w:tcPr>
            <w:tcW w:w="3517" w:type="dxa"/>
            <w:noWrap w:val="0"/>
            <w:vAlign w:val="top"/>
          </w:tcPr>
          <w:p w14:paraId="5E235A19">
            <w:pPr>
              <w:spacing w:before="77" w:line="247" w:lineRule="auto"/>
              <w:jc w:val="both"/>
              <w:rPr>
                <w:rFonts w:ascii="宋体" w:hAnsi="宋体" w:eastAsia="宋体" w:cs="宋体"/>
                <w:spacing w:val="2"/>
                <w:sz w:val="21"/>
                <w:szCs w:val="21"/>
              </w:rPr>
            </w:pPr>
            <w:r>
              <w:rPr>
                <w:rFonts w:ascii="宋体" w:hAnsi="宋体" w:eastAsia="宋体" w:cs="宋体"/>
                <w:spacing w:val="2"/>
                <w:sz w:val="21"/>
                <w:szCs w:val="21"/>
              </w:rPr>
              <w:t>统；</w:t>
            </w:r>
          </w:p>
          <w:p w14:paraId="2B5798B1">
            <w:pPr>
              <w:spacing w:before="127" w:line="253" w:lineRule="auto"/>
              <w:ind w:left="141" w:firstLine="531"/>
              <w:rPr>
                <w:rFonts w:ascii="宋体" w:hAnsi="宋体" w:eastAsia="宋体" w:cs="宋体"/>
                <w:sz w:val="21"/>
                <w:szCs w:val="21"/>
              </w:rPr>
            </w:pPr>
            <w:r>
              <w:rPr>
                <w:rFonts w:ascii="宋体" w:hAnsi="宋体" w:eastAsia="宋体" w:cs="宋体"/>
                <w:spacing w:val="6"/>
                <w:sz w:val="21"/>
                <w:szCs w:val="21"/>
              </w:rPr>
              <w:t>(三)对重大危险源中的毒</w:t>
            </w:r>
            <w:r>
              <w:rPr>
                <w:rFonts w:ascii="宋体" w:hAnsi="宋体" w:eastAsia="宋体" w:cs="宋体"/>
                <w:spacing w:val="2"/>
                <w:sz w:val="21"/>
                <w:szCs w:val="21"/>
              </w:rPr>
              <w:t>性气体、剧毒液体和易燃气体等</w:t>
            </w:r>
            <w:r>
              <w:rPr>
                <w:rFonts w:ascii="宋体" w:hAnsi="宋体" w:eastAsia="宋体" w:cs="宋体"/>
                <w:spacing w:val="10"/>
                <w:sz w:val="21"/>
                <w:szCs w:val="21"/>
              </w:rPr>
              <w:t>重点设施，设置紧急切断装置；</w:t>
            </w:r>
            <w:r>
              <w:rPr>
                <w:rFonts w:ascii="宋体" w:hAnsi="宋体" w:eastAsia="宋体" w:cs="宋体"/>
                <w:spacing w:val="2"/>
                <w:sz w:val="21"/>
                <w:szCs w:val="21"/>
              </w:rPr>
              <w:t>毒性气体的设施，设置泄漏物紧急处置装置。涉及毒性气体、液化气体、剧毒液体的一级或者二级重大危险源，配备独立的安全</w:t>
            </w:r>
            <w:r>
              <w:rPr>
                <w:rFonts w:ascii="宋体" w:hAnsi="宋体" w:eastAsia="宋体" w:cs="宋体"/>
                <w:spacing w:val="29"/>
                <w:sz w:val="21"/>
                <w:szCs w:val="21"/>
              </w:rPr>
              <w:t>仪表系统(</w:t>
            </w:r>
            <w:r>
              <w:rPr>
                <w:rFonts w:ascii="宋体" w:hAnsi="宋体" w:eastAsia="宋体" w:cs="宋体"/>
                <w:sz w:val="21"/>
                <w:szCs w:val="21"/>
              </w:rPr>
              <w:t>SIS</w:t>
            </w:r>
            <w:r>
              <w:rPr>
                <w:rFonts w:ascii="宋体" w:hAnsi="宋体" w:eastAsia="宋体" w:cs="宋体"/>
                <w:spacing w:val="29"/>
                <w:sz w:val="21"/>
                <w:szCs w:val="21"/>
              </w:rPr>
              <w:t>)。</w:t>
            </w:r>
          </w:p>
          <w:p w14:paraId="239DE7D9">
            <w:pPr>
              <w:spacing w:before="26" w:line="253" w:lineRule="auto"/>
              <w:ind w:left="141" w:firstLine="415"/>
              <w:rPr>
                <w:rFonts w:ascii="宋体" w:hAnsi="宋体" w:eastAsia="宋体" w:cs="宋体"/>
                <w:sz w:val="21"/>
                <w:szCs w:val="21"/>
              </w:rPr>
            </w:pPr>
            <w:r>
              <w:rPr>
                <w:rFonts w:ascii="宋体" w:hAnsi="宋体" w:eastAsia="宋体" w:cs="宋体"/>
                <w:spacing w:val="-8"/>
                <w:sz w:val="21"/>
                <w:szCs w:val="21"/>
              </w:rPr>
              <w:t>3.《化工和危险化学品生产</w:t>
            </w:r>
            <w:r>
              <w:rPr>
                <w:rFonts w:ascii="宋体" w:hAnsi="宋体" w:eastAsia="宋体" w:cs="宋体"/>
                <w:spacing w:val="12"/>
                <w:sz w:val="21"/>
                <w:szCs w:val="21"/>
              </w:rPr>
              <w:t>经营单位重大生产安全事故隐</w:t>
            </w:r>
            <w:r>
              <w:rPr>
                <w:rFonts w:ascii="宋体" w:hAnsi="宋体" w:eastAsia="宋体" w:cs="宋体"/>
                <w:spacing w:val="19"/>
                <w:sz w:val="21"/>
                <w:szCs w:val="21"/>
              </w:rPr>
              <w:t>患判定标准(试行)》(安监总</w:t>
            </w:r>
            <w:r>
              <w:rPr>
                <w:rFonts w:ascii="宋体" w:hAnsi="宋体" w:eastAsia="宋体" w:cs="宋体"/>
                <w:spacing w:val="1"/>
                <w:sz w:val="21"/>
                <w:szCs w:val="21"/>
              </w:rPr>
              <w:t>管三〔2017〕121号)第五条构</w:t>
            </w:r>
            <w:r>
              <w:rPr>
                <w:rFonts w:ascii="宋体" w:hAnsi="宋体" w:eastAsia="宋体" w:cs="宋体"/>
                <w:spacing w:val="2"/>
                <w:sz w:val="21"/>
                <w:szCs w:val="21"/>
              </w:rPr>
              <w:t>成一级、二级重大危险源的危险</w:t>
            </w:r>
            <w:r>
              <w:rPr>
                <w:rFonts w:ascii="宋体" w:hAnsi="宋体" w:eastAsia="宋体" w:cs="宋体"/>
                <w:spacing w:val="12"/>
                <w:sz w:val="21"/>
                <w:szCs w:val="21"/>
              </w:rPr>
              <w:t>化学品罐区未实现紧急切断功</w:t>
            </w:r>
            <w:r>
              <w:rPr>
                <w:rFonts w:ascii="宋体" w:hAnsi="宋体" w:eastAsia="宋体" w:cs="宋体"/>
                <w:spacing w:val="10"/>
                <w:sz w:val="21"/>
                <w:szCs w:val="21"/>
              </w:rPr>
              <w:t>能；涉及毒性气体、液化气体、</w:t>
            </w:r>
            <w:r>
              <w:rPr>
                <w:rFonts w:ascii="宋体" w:hAnsi="宋体" w:eastAsia="宋体" w:cs="宋体"/>
                <w:spacing w:val="2"/>
                <w:sz w:val="21"/>
                <w:szCs w:val="21"/>
              </w:rPr>
              <w:t>剧毒液体的一级、二级重大危险</w:t>
            </w:r>
            <w:r>
              <w:rPr>
                <w:rFonts w:ascii="宋体" w:hAnsi="宋体" w:eastAsia="宋体" w:cs="宋体"/>
                <w:spacing w:val="11"/>
                <w:sz w:val="21"/>
                <w:szCs w:val="21"/>
              </w:rPr>
              <w:t>源的危险化学品罐区未配备独</w:t>
            </w:r>
            <w:r>
              <w:rPr>
                <w:rFonts w:ascii="宋体" w:hAnsi="宋体" w:eastAsia="宋体" w:cs="宋体"/>
                <w:spacing w:val="14"/>
                <w:sz w:val="21"/>
                <w:szCs w:val="21"/>
              </w:rPr>
              <w:t>立的安全仪表系统。</w:t>
            </w:r>
          </w:p>
        </w:tc>
        <w:tc>
          <w:tcPr>
            <w:tcW w:w="2858" w:type="dxa"/>
            <w:noWrap w:val="0"/>
            <w:vAlign w:val="top"/>
          </w:tcPr>
          <w:p w14:paraId="0613277E">
            <w:pPr>
              <w:rPr>
                <w:rFonts w:ascii="Arial"/>
                <w:sz w:val="21"/>
                <w:szCs w:val="21"/>
              </w:rPr>
            </w:pPr>
          </w:p>
        </w:tc>
        <w:tc>
          <w:tcPr>
            <w:tcW w:w="2838" w:type="dxa"/>
            <w:noWrap w:val="0"/>
            <w:vAlign w:val="top"/>
          </w:tcPr>
          <w:p w14:paraId="6DFB96B5">
            <w:pPr>
              <w:rPr>
                <w:rFonts w:ascii="Arial"/>
                <w:sz w:val="21"/>
                <w:szCs w:val="21"/>
              </w:rPr>
            </w:pPr>
          </w:p>
        </w:tc>
        <w:tc>
          <w:tcPr>
            <w:tcW w:w="1244" w:type="dxa"/>
            <w:noWrap w:val="0"/>
            <w:vAlign w:val="top"/>
          </w:tcPr>
          <w:p w14:paraId="6AA841CE">
            <w:pPr>
              <w:rPr>
                <w:rFonts w:ascii="Arial"/>
                <w:sz w:val="21"/>
                <w:szCs w:val="21"/>
              </w:rPr>
            </w:pPr>
          </w:p>
        </w:tc>
      </w:tr>
      <w:tr w14:paraId="3F371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864" w:type="dxa"/>
            <w:noWrap w:val="0"/>
            <w:vAlign w:val="top"/>
          </w:tcPr>
          <w:p w14:paraId="14DDDF8D">
            <w:pPr>
              <w:spacing w:line="259" w:lineRule="auto"/>
              <w:rPr>
                <w:rFonts w:ascii="Arial"/>
                <w:sz w:val="21"/>
                <w:szCs w:val="21"/>
              </w:rPr>
            </w:pPr>
          </w:p>
          <w:p w14:paraId="1F8379BA">
            <w:pPr>
              <w:spacing w:line="259" w:lineRule="auto"/>
              <w:rPr>
                <w:rFonts w:ascii="Arial"/>
                <w:sz w:val="21"/>
                <w:szCs w:val="21"/>
              </w:rPr>
            </w:pPr>
          </w:p>
          <w:p w14:paraId="4E076E99">
            <w:pPr>
              <w:spacing w:before="78" w:line="184" w:lineRule="auto"/>
              <w:ind w:left="305"/>
              <w:rPr>
                <w:rFonts w:ascii="宋体" w:hAnsi="宋体" w:eastAsia="宋体" w:cs="宋体"/>
                <w:sz w:val="21"/>
                <w:szCs w:val="21"/>
              </w:rPr>
            </w:pPr>
            <w:r>
              <w:rPr>
                <w:rFonts w:ascii="宋体" w:hAnsi="宋体" w:eastAsia="宋体" w:cs="宋体"/>
                <w:spacing w:val="-7"/>
                <w:sz w:val="21"/>
                <w:szCs w:val="21"/>
              </w:rPr>
              <w:t>1</w:t>
            </w:r>
            <w:r>
              <w:rPr>
                <w:rFonts w:hint="eastAsia" w:ascii="宋体" w:hAnsi="宋体" w:eastAsia="宋体" w:cs="宋体"/>
                <w:spacing w:val="-7"/>
                <w:sz w:val="21"/>
                <w:szCs w:val="21"/>
                <w:lang w:val="en-US" w:eastAsia="zh-CN"/>
              </w:rPr>
              <w:t>1</w:t>
            </w:r>
          </w:p>
        </w:tc>
        <w:tc>
          <w:tcPr>
            <w:tcW w:w="2239" w:type="dxa"/>
            <w:noWrap w:val="0"/>
            <w:vAlign w:val="top"/>
          </w:tcPr>
          <w:p w14:paraId="0F7113A8">
            <w:pPr>
              <w:spacing w:before="121" w:line="238" w:lineRule="auto"/>
              <w:ind w:left="150" w:right="38"/>
              <w:jc w:val="both"/>
              <w:rPr>
                <w:rFonts w:ascii="宋体" w:hAnsi="宋体" w:eastAsia="宋体" w:cs="宋体"/>
                <w:sz w:val="21"/>
                <w:szCs w:val="21"/>
              </w:rPr>
            </w:pPr>
            <w:r>
              <w:rPr>
                <w:rFonts w:ascii="宋体" w:hAnsi="宋体" w:eastAsia="宋体" w:cs="宋体"/>
                <w:spacing w:val="24"/>
                <w:sz w:val="21"/>
                <w:szCs w:val="21"/>
              </w:rPr>
              <w:t>涉及硝化、氯化、</w:t>
            </w:r>
            <w:r>
              <w:rPr>
                <w:rFonts w:ascii="宋体" w:hAnsi="宋体" w:eastAsia="宋体" w:cs="宋体"/>
                <w:spacing w:val="8"/>
                <w:sz w:val="21"/>
                <w:szCs w:val="21"/>
              </w:rPr>
              <w:t>氟化、重氮化、过</w:t>
            </w:r>
            <w:r>
              <w:rPr>
                <w:rFonts w:ascii="宋体" w:hAnsi="宋体" w:eastAsia="宋体" w:cs="宋体"/>
                <w:spacing w:val="11"/>
                <w:sz w:val="21"/>
                <w:szCs w:val="21"/>
              </w:rPr>
              <w:t>氧化工艺装置的上下游配套装置未实</w:t>
            </w:r>
          </w:p>
        </w:tc>
        <w:tc>
          <w:tcPr>
            <w:tcW w:w="3517" w:type="dxa"/>
            <w:noWrap w:val="0"/>
            <w:vAlign w:val="top"/>
          </w:tcPr>
          <w:p w14:paraId="32930555">
            <w:pPr>
              <w:spacing w:before="77" w:line="247" w:lineRule="auto"/>
              <w:ind w:left="141" w:firstLine="425"/>
              <w:jc w:val="both"/>
              <w:rPr>
                <w:rFonts w:ascii="宋体" w:hAnsi="宋体" w:eastAsia="宋体" w:cs="宋体"/>
                <w:sz w:val="21"/>
                <w:szCs w:val="21"/>
              </w:rPr>
            </w:pPr>
            <w:r>
              <w:rPr>
                <w:rFonts w:ascii="宋体" w:hAnsi="宋体" w:eastAsia="宋体" w:cs="宋体"/>
                <w:spacing w:val="-9"/>
                <w:sz w:val="21"/>
                <w:szCs w:val="21"/>
              </w:rPr>
              <w:t>1.《危险化学品生产企业安</w:t>
            </w:r>
            <w:r>
              <w:rPr>
                <w:rFonts w:ascii="宋体" w:hAnsi="宋体" w:eastAsia="宋体" w:cs="宋体"/>
                <w:spacing w:val="2"/>
                <w:sz w:val="21"/>
                <w:szCs w:val="21"/>
              </w:rPr>
              <w:t>全生产许可证实施办法》(国家</w:t>
            </w:r>
            <w:r>
              <w:rPr>
                <w:rFonts w:ascii="宋体" w:hAnsi="宋体" w:eastAsia="宋体" w:cs="宋体"/>
                <w:spacing w:val="20"/>
                <w:sz w:val="21"/>
                <w:szCs w:val="21"/>
              </w:rPr>
              <w:t>安全监管总局令第41号)第九</w:t>
            </w:r>
            <w:r>
              <w:rPr>
                <w:rFonts w:ascii="宋体" w:hAnsi="宋体" w:eastAsia="宋体" w:cs="宋体"/>
                <w:spacing w:val="7"/>
                <w:sz w:val="21"/>
                <w:szCs w:val="21"/>
              </w:rPr>
              <w:t>条第一款第三项企业的厂房、</w:t>
            </w:r>
          </w:p>
        </w:tc>
        <w:tc>
          <w:tcPr>
            <w:tcW w:w="2858" w:type="dxa"/>
            <w:noWrap w:val="0"/>
            <w:vAlign w:val="top"/>
          </w:tcPr>
          <w:p w14:paraId="7D49BA7C">
            <w:pPr>
              <w:spacing w:before="111"/>
              <w:ind w:left="124" w:right="3" w:firstLine="440"/>
              <w:jc w:val="both"/>
              <w:rPr>
                <w:rFonts w:ascii="宋体" w:hAnsi="宋体" w:eastAsia="宋体" w:cs="宋体"/>
                <w:sz w:val="21"/>
                <w:szCs w:val="21"/>
              </w:rPr>
            </w:pPr>
            <w:r>
              <w:rPr>
                <w:rFonts w:ascii="宋体" w:hAnsi="宋体" w:eastAsia="宋体" w:cs="宋体"/>
                <w:spacing w:val="23"/>
                <w:sz w:val="21"/>
                <w:szCs w:val="21"/>
              </w:rPr>
              <w:t>《危险化学品安全专</w:t>
            </w:r>
            <w:r>
              <w:rPr>
                <w:rFonts w:ascii="宋体" w:hAnsi="宋体" w:eastAsia="宋体" w:cs="宋体"/>
                <w:spacing w:val="32"/>
                <w:sz w:val="21"/>
                <w:szCs w:val="21"/>
              </w:rPr>
              <w:t>项整治三年行动实施方</w:t>
            </w:r>
            <w:r>
              <w:rPr>
                <w:rFonts w:ascii="宋体" w:hAnsi="宋体" w:eastAsia="宋体" w:cs="宋体"/>
                <w:spacing w:val="19"/>
                <w:sz w:val="21"/>
                <w:szCs w:val="21"/>
              </w:rPr>
              <w:t>案》(安委〔2020〕3号)</w:t>
            </w:r>
            <w:r>
              <w:rPr>
                <w:rFonts w:ascii="宋体" w:hAnsi="宋体" w:eastAsia="宋体" w:cs="宋体"/>
                <w:spacing w:val="29"/>
                <w:sz w:val="21"/>
                <w:szCs w:val="21"/>
              </w:rPr>
              <w:t>2022年底前所有涉及硝</w:t>
            </w:r>
          </w:p>
        </w:tc>
        <w:tc>
          <w:tcPr>
            <w:tcW w:w="2838" w:type="dxa"/>
            <w:noWrap w:val="0"/>
            <w:vAlign w:val="top"/>
          </w:tcPr>
          <w:p w14:paraId="59A4C982">
            <w:pPr>
              <w:spacing w:before="80" w:line="236" w:lineRule="auto"/>
              <w:ind w:left="116" w:right="97" w:firstLine="429"/>
              <w:jc w:val="both"/>
              <w:rPr>
                <w:rFonts w:ascii="宋体" w:hAnsi="宋体" w:eastAsia="宋体" w:cs="宋体"/>
                <w:sz w:val="21"/>
                <w:szCs w:val="21"/>
              </w:rPr>
            </w:pPr>
            <w:r>
              <w:rPr>
                <w:rFonts w:ascii="宋体" w:hAnsi="宋体" w:eastAsia="宋体" w:cs="宋体"/>
                <w:spacing w:val="29"/>
                <w:sz w:val="21"/>
                <w:szCs w:val="21"/>
              </w:rPr>
              <w:t>《危险化学品生产</w:t>
            </w:r>
            <w:r>
              <w:rPr>
                <w:rFonts w:ascii="宋体" w:hAnsi="宋体" w:eastAsia="宋体" w:cs="宋体"/>
                <w:spacing w:val="19"/>
                <w:sz w:val="21"/>
                <w:szCs w:val="21"/>
              </w:rPr>
              <w:t>企业安全生产许可证实</w:t>
            </w:r>
            <w:r>
              <w:rPr>
                <w:rFonts w:ascii="宋体" w:hAnsi="宋体" w:eastAsia="宋体" w:cs="宋体"/>
                <w:spacing w:val="8"/>
                <w:sz w:val="21"/>
                <w:szCs w:val="21"/>
              </w:rPr>
              <w:t>施办法》(国家安全监管</w:t>
            </w:r>
            <w:r>
              <w:rPr>
                <w:rFonts w:ascii="宋体" w:hAnsi="宋体" w:eastAsia="宋体" w:cs="宋体"/>
                <w:spacing w:val="30"/>
                <w:sz w:val="21"/>
                <w:szCs w:val="21"/>
              </w:rPr>
              <w:t>总局令第41号)第四十</w:t>
            </w:r>
          </w:p>
        </w:tc>
        <w:tc>
          <w:tcPr>
            <w:tcW w:w="1244" w:type="dxa"/>
            <w:noWrap w:val="0"/>
            <w:vAlign w:val="top"/>
          </w:tcPr>
          <w:p w14:paraId="7086518E">
            <w:pPr>
              <w:spacing w:line="340" w:lineRule="auto"/>
              <w:rPr>
                <w:rFonts w:ascii="Arial"/>
                <w:sz w:val="21"/>
                <w:szCs w:val="21"/>
              </w:rPr>
            </w:pPr>
          </w:p>
          <w:p w14:paraId="6E33B9E4">
            <w:pPr>
              <w:spacing w:before="78" w:line="236" w:lineRule="auto"/>
              <w:ind w:left="138" w:right="111" w:firstLine="10"/>
              <w:rPr>
                <w:rFonts w:ascii="宋体" w:hAnsi="宋体" w:eastAsia="宋体" w:cs="宋体"/>
                <w:sz w:val="21"/>
                <w:szCs w:val="21"/>
              </w:rPr>
            </w:pPr>
            <w:r>
              <w:rPr>
                <w:rFonts w:ascii="宋体" w:hAnsi="宋体" w:eastAsia="宋体" w:cs="宋体"/>
                <w:spacing w:val="3"/>
                <w:sz w:val="21"/>
                <w:szCs w:val="21"/>
              </w:rPr>
              <w:t>危险化工</w:t>
            </w:r>
            <w:r>
              <w:rPr>
                <w:rFonts w:ascii="宋体" w:hAnsi="宋体" w:eastAsia="宋体" w:cs="宋体"/>
                <w:spacing w:val="2"/>
                <w:sz w:val="21"/>
                <w:szCs w:val="21"/>
              </w:rPr>
              <w:t>工艺管理</w:t>
            </w:r>
          </w:p>
        </w:tc>
      </w:tr>
    </w:tbl>
    <w:p w14:paraId="293EEEBD">
      <w:pPr>
        <w:sectPr>
          <w:pgSz w:w="16840" w:h="11900"/>
          <w:pgMar w:top="1440" w:right="1080" w:bottom="1440" w:left="1080" w:header="0" w:footer="0" w:gutter="0"/>
          <w:pgNumType w:fmt="decimal"/>
          <w:cols w:space="720" w:num="1"/>
        </w:sectPr>
      </w:pPr>
    </w:p>
    <w:p w14:paraId="33C2B717"/>
    <w:p w14:paraId="7DC16CC6"/>
    <w:p w14:paraId="6F5C0914">
      <w:pPr>
        <w:spacing w:line="17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497"/>
        <w:gridCol w:w="3225"/>
        <w:gridCol w:w="2721"/>
        <w:gridCol w:w="1014"/>
      </w:tblGrid>
      <w:tr w14:paraId="3C7E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37C5EFE7">
            <w:pPr>
              <w:spacing w:before="22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28" w:type="dxa"/>
            <w:noWrap w:val="0"/>
            <w:vAlign w:val="top"/>
          </w:tcPr>
          <w:p w14:paraId="643A8925">
            <w:pPr>
              <w:spacing w:before="85" w:line="219" w:lineRule="auto"/>
              <w:ind w:left="621"/>
              <w:rPr>
                <w:rFonts w:ascii="宋体" w:hAnsi="宋体" w:eastAsia="宋体" w:cs="宋体"/>
                <w:b/>
                <w:bCs/>
                <w:sz w:val="24"/>
                <w:szCs w:val="24"/>
              </w:rPr>
            </w:pPr>
            <w:r>
              <w:rPr>
                <w:rFonts w:ascii="宋体" w:hAnsi="宋体" w:eastAsia="宋体" w:cs="宋体"/>
                <w:b/>
                <w:bCs/>
                <w:spacing w:val="3"/>
                <w:sz w:val="24"/>
                <w:szCs w:val="24"/>
              </w:rPr>
              <w:t>执法检查</w:t>
            </w:r>
          </w:p>
          <w:p w14:paraId="082204B4">
            <w:pPr>
              <w:spacing w:before="41" w:line="202" w:lineRule="auto"/>
              <w:ind w:left="384"/>
              <w:rPr>
                <w:rFonts w:ascii="宋体" w:hAnsi="宋体" w:eastAsia="宋体" w:cs="宋体"/>
                <w:b/>
                <w:bCs/>
                <w:sz w:val="24"/>
                <w:szCs w:val="24"/>
              </w:rPr>
            </w:pPr>
            <w:r>
              <w:rPr>
                <w:rFonts w:ascii="宋体" w:hAnsi="宋体" w:eastAsia="宋体" w:cs="宋体"/>
                <w:b/>
                <w:bCs/>
                <w:spacing w:val="-4"/>
                <w:sz w:val="24"/>
                <w:szCs w:val="24"/>
              </w:rPr>
              <w:t>重点事项内容</w:t>
            </w:r>
          </w:p>
        </w:tc>
        <w:tc>
          <w:tcPr>
            <w:tcW w:w="3497" w:type="dxa"/>
            <w:noWrap w:val="0"/>
            <w:vAlign w:val="top"/>
          </w:tcPr>
          <w:p w14:paraId="0CFBBB0D">
            <w:pPr>
              <w:spacing w:before="219" w:line="219" w:lineRule="auto"/>
              <w:ind w:left="1056"/>
              <w:rPr>
                <w:rFonts w:ascii="宋体" w:hAnsi="宋体" w:eastAsia="宋体" w:cs="宋体"/>
                <w:b/>
                <w:bCs/>
                <w:sz w:val="24"/>
                <w:szCs w:val="24"/>
              </w:rPr>
            </w:pPr>
            <w:r>
              <w:rPr>
                <w:rFonts w:ascii="宋体" w:hAnsi="宋体" w:eastAsia="宋体" w:cs="宋体"/>
                <w:b/>
                <w:bCs/>
                <w:spacing w:val="-4"/>
                <w:sz w:val="24"/>
                <w:szCs w:val="24"/>
              </w:rPr>
              <w:t>执法检查依据</w:t>
            </w:r>
          </w:p>
        </w:tc>
        <w:tc>
          <w:tcPr>
            <w:tcW w:w="3225" w:type="dxa"/>
            <w:noWrap w:val="0"/>
            <w:vAlign w:val="top"/>
          </w:tcPr>
          <w:p w14:paraId="3461E899">
            <w:pPr>
              <w:spacing w:before="72" w:line="220" w:lineRule="auto"/>
              <w:ind w:left="869"/>
              <w:rPr>
                <w:rFonts w:ascii="宋体" w:hAnsi="宋体" w:eastAsia="宋体" w:cs="宋体"/>
                <w:b/>
                <w:bCs/>
                <w:sz w:val="24"/>
                <w:szCs w:val="24"/>
              </w:rPr>
            </w:pPr>
            <w:r>
              <w:rPr>
                <w:rFonts w:ascii="宋体" w:hAnsi="宋体" w:eastAsia="宋体" w:cs="宋体"/>
                <w:b/>
                <w:bCs/>
                <w:spacing w:val="-5"/>
                <w:sz w:val="24"/>
                <w:szCs w:val="24"/>
              </w:rPr>
              <w:t>有关规范性</w:t>
            </w:r>
          </w:p>
          <w:p w14:paraId="03E2CF73">
            <w:pPr>
              <w:spacing w:before="53" w:line="202" w:lineRule="auto"/>
              <w:ind w:left="629"/>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2721" w:type="dxa"/>
            <w:noWrap w:val="0"/>
            <w:vAlign w:val="top"/>
          </w:tcPr>
          <w:p w14:paraId="7C38A8FF">
            <w:pPr>
              <w:spacing w:before="219" w:line="219" w:lineRule="auto"/>
              <w:ind w:left="971"/>
              <w:rPr>
                <w:rFonts w:ascii="宋体" w:hAnsi="宋体" w:eastAsia="宋体" w:cs="宋体"/>
                <w:b/>
                <w:bCs/>
                <w:sz w:val="24"/>
                <w:szCs w:val="24"/>
              </w:rPr>
            </w:pPr>
            <w:r>
              <w:rPr>
                <w:rFonts w:ascii="宋体" w:hAnsi="宋体" w:eastAsia="宋体" w:cs="宋体"/>
                <w:b/>
                <w:bCs/>
                <w:spacing w:val="4"/>
                <w:sz w:val="24"/>
                <w:szCs w:val="24"/>
              </w:rPr>
              <w:t>处罚依据</w:t>
            </w:r>
          </w:p>
        </w:tc>
        <w:tc>
          <w:tcPr>
            <w:tcW w:w="1014" w:type="dxa"/>
            <w:noWrap w:val="0"/>
            <w:vAlign w:val="top"/>
          </w:tcPr>
          <w:p w14:paraId="38B4DE87">
            <w:pPr>
              <w:spacing w:before="222" w:line="221" w:lineRule="auto"/>
              <w:ind w:left="383"/>
              <w:rPr>
                <w:rFonts w:ascii="宋体" w:hAnsi="宋体" w:eastAsia="宋体" w:cs="宋体"/>
                <w:b/>
                <w:bCs/>
                <w:sz w:val="24"/>
                <w:szCs w:val="24"/>
              </w:rPr>
            </w:pPr>
            <w:r>
              <w:rPr>
                <w:rFonts w:ascii="宋体" w:hAnsi="宋体" w:eastAsia="宋体" w:cs="宋体"/>
                <w:b/>
                <w:bCs/>
                <w:spacing w:val="-6"/>
                <w:sz w:val="24"/>
                <w:szCs w:val="24"/>
              </w:rPr>
              <w:t>备注</w:t>
            </w:r>
          </w:p>
        </w:tc>
      </w:tr>
      <w:tr w14:paraId="09B92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9" w:hRule="atLeast"/>
          <w:jc w:val="center"/>
        </w:trPr>
        <w:tc>
          <w:tcPr>
            <w:tcW w:w="864" w:type="dxa"/>
            <w:noWrap w:val="0"/>
            <w:vAlign w:val="top"/>
          </w:tcPr>
          <w:p w14:paraId="29B4C412">
            <w:pPr>
              <w:rPr>
                <w:rFonts w:ascii="Arial"/>
                <w:sz w:val="21"/>
              </w:rPr>
            </w:pPr>
          </w:p>
        </w:tc>
        <w:tc>
          <w:tcPr>
            <w:tcW w:w="2228" w:type="dxa"/>
            <w:noWrap w:val="0"/>
            <w:vAlign w:val="top"/>
          </w:tcPr>
          <w:p w14:paraId="5396A7E0">
            <w:pPr>
              <w:spacing w:before="101" w:line="220" w:lineRule="auto"/>
              <w:ind w:left="130"/>
              <w:rPr>
                <w:rFonts w:ascii="宋体" w:hAnsi="宋体" w:eastAsia="宋体" w:cs="宋体"/>
                <w:sz w:val="21"/>
                <w:szCs w:val="21"/>
              </w:rPr>
            </w:pPr>
            <w:r>
              <w:rPr>
                <w:rFonts w:ascii="宋体" w:hAnsi="宋体" w:eastAsia="宋体" w:cs="宋体"/>
                <w:spacing w:val="17"/>
                <w:sz w:val="21"/>
                <w:szCs w:val="21"/>
              </w:rPr>
              <w:t>现自动化控制。</w:t>
            </w:r>
          </w:p>
        </w:tc>
        <w:tc>
          <w:tcPr>
            <w:tcW w:w="3497" w:type="dxa"/>
            <w:noWrap w:val="0"/>
            <w:vAlign w:val="top"/>
          </w:tcPr>
          <w:p w14:paraId="7CB84D17">
            <w:pPr>
              <w:spacing w:before="100"/>
              <w:ind w:left="152"/>
              <w:jc w:val="both"/>
              <w:rPr>
                <w:rFonts w:ascii="宋体" w:hAnsi="宋体" w:eastAsia="宋体" w:cs="宋体"/>
                <w:sz w:val="21"/>
                <w:szCs w:val="21"/>
              </w:rPr>
            </w:pPr>
            <w:r>
              <w:rPr>
                <w:rFonts w:ascii="宋体" w:hAnsi="宋体" w:eastAsia="宋体" w:cs="宋体"/>
                <w:spacing w:val="21"/>
                <w:sz w:val="21"/>
                <w:szCs w:val="21"/>
              </w:rPr>
              <w:t>作业场所、储存设施和安全设</w:t>
            </w:r>
            <w:r>
              <w:rPr>
                <w:rFonts w:ascii="宋体" w:hAnsi="宋体" w:eastAsia="宋体" w:cs="宋体"/>
                <w:spacing w:val="8"/>
                <w:sz w:val="21"/>
                <w:szCs w:val="21"/>
              </w:rPr>
              <w:t>施、设备、工艺应当符合下列要</w:t>
            </w:r>
            <w:r>
              <w:rPr>
                <w:rFonts w:ascii="宋体" w:hAnsi="宋体" w:eastAsia="宋体" w:cs="宋体"/>
                <w:spacing w:val="-2"/>
                <w:sz w:val="21"/>
                <w:szCs w:val="21"/>
              </w:rPr>
              <w:t>求：</w:t>
            </w:r>
          </w:p>
          <w:p w14:paraId="3BEEB84F">
            <w:pPr>
              <w:spacing w:before="64" w:line="251" w:lineRule="auto"/>
              <w:ind w:left="152" w:firstLine="538"/>
              <w:rPr>
                <w:rFonts w:ascii="宋体" w:hAnsi="宋体" w:eastAsia="宋体" w:cs="宋体"/>
                <w:sz w:val="21"/>
                <w:szCs w:val="21"/>
              </w:rPr>
            </w:pPr>
            <w:r>
              <w:rPr>
                <w:rFonts w:ascii="宋体" w:hAnsi="宋体" w:eastAsia="宋体" w:cs="宋体"/>
                <w:spacing w:val="17"/>
                <w:sz w:val="21"/>
                <w:szCs w:val="21"/>
              </w:rPr>
              <w:t>(三)涉及危险化工工艺、</w:t>
            </w:r>
            <w:r>
              <w:rPr>
                <w:rFonts w:ascii="宋体" w:hAnsi="宋体" w:eastAsia="宋体" w:cs="宋体"/>
                <w:spacing w:val="19"/>
                <w:sz w:val="21"/>
                <w:szCs w:val="21"/>
              </w:rPr>
              <w:t>重点监管危险化学品的装置装</w:t>
            </w:r>
            <w:r>
              <w:rPr>
                <w:rFonts w:ascii="宋体" w:hAnsi="宋体" w:eastAsia="宋体" w:cs="宋体"/>
                <w:spacing w:val="8"/>
                <w:sz w:val="21"/>
                <w:szCs w:val="21"/>
              </w:rPr>
              <w:t>设自动化控制系统；涉及危险化</w:t>
            </w:r>
            <w:r>
              <w:rPr>
                <w:rFonts w:ascii="宋体" w:hAnsi="宋体" w:eastAsia="宋体" w:cs="宋体"/>
                <w:spacing w:val="20"/>
                <w:sz w:val="21"/>
                <w:szCs w:val="21"/>
              </w:rPr>
              <w:t>工工艺的大型化工装置装设紧</w:t>
            </w:r>
            <w:r>
              <w:rPr>
                <w:rFonts w:ascii="宋体" w:hAnsi="宋体" w:eastAsia="宋体" w:cs="宋体"/>
                <w:spacing w:val="7"/>
                <w:sz w:val="21"/>
                <w:szCs w:val="21"/>
              </w:rPr>
              <w:t>急停车系统；涉及易燃易爆、有</w:t>
            </w:r>
            <w:r>
              <w:rPr>
                <w:rFonts w:ascii="宋体" w:hAnsi="宋体" w:eastAsia="宋体" w:cs="宋体"/>
                <w:spacing w:val="20"/>
                <w:sz w:val="21"/>
                <w:szCs w:val="21"/>
              </w:rPr>
              <w:t>毒有害气体化学品的场所装设</w:t>
            </w:r>
            <w:r>
              <w:rPr>
                <w:rFonts w:ascii="宋体" w:hAnsi="宋体" w:eastAsia="宋体" w:cs="宋体"/>
                <w:spacing w:val="7"/>
                <w:sz w:val="21"/>
                <w:szCs w:val="21"/>
              </w:rPr>
              <w:t>易燃易爆、有毒有害介质泄漏报</w:t>
            </w:r>
            <w:r>
              <w:rPr>
                <w:rFonts w:ascii="宋体" w:hAnsi="宋体" w:eastAsia="宋体" w:cs="宋体"/>
                <w:spacing w:val="25"/>
                <w:sz w:val="21"/>
                <w:szCs w:val="21"/>
              </w:rPr>
              <w:t>警等安全设施。</w:t>
            </w:r>
          </w:p>
          <w:p w14:paraId="7BDE1D35">
            <w:pPr>
              <w:spacing w:before="86" w:line="248" w:lineRule="auto"/>
              <w:ind w:left="152" w:firstLine="437"/>
              <w:jc w:val="both"/>
              <w:rPr>
                <w:rFonts w:ascii="宋体" w:hAnsi="宋体" w:eastAsia="宋体" w:cs="宋体"/>
                <w:sz w:val="21"/>
                <w:szCs w:val="21"/>
              </w:rPr>
            </w:pPr>
            <w:r>
              <w:rPr>
                <w:rFonts w:ascii="宋体" w:hAnsi="宋体" w:eastAsia="宋体" w:cs="宋体"/>
                <w:spacing w:val="-3"/>
                <w:sz w:val="21"/>
                <w:szCs w:val="21"/>
              </w:rPr>
              <w:t>2.《危险化学品安全使用许</w:t>
            </w:r>
            <w:r>
              <w:rPr>
                <w:rFonts w:ascii="宋体" w:hAnsi="宋体" w:eastAsia="宋体" w:cs="宋体"/>
                <w:spacing w:val="9"/>
                <w:sz w:val="21"/>
                <w:szCs w:val="21"/>
              </w:rPr>
              <w:t>可证实施办法》(国家安全监管</w:t>
            </w:r>
            <w:r>
              <w:rPr>
                <w:rFonts w:ascii="宋体" w:hAnsi="宋体" w:eastAsia="宋体" w:cs="宋体"/>
                <w:spacing w:val="28"/>
                <w:sz w:val="21"/>
                <w:szCs w:val="21"/>
              </w:rPr>
              <w:t>总局令第57号)第七条第三项</w:t>
            </w:r>
            <w:r>
              <w:rPr>
                <w:rFonts w:ascii="宋体" w:hAnsi="宋体" w:eastAsia="宋体" w:cs="宋体"/>
                <w:spacing w:val="7"/>
                <w:sz w:val="21"/>
                <w:szCs w:val="21"/>
              </w:rPr>
              <w:t>企业的厂房、作业场所、储存设</w:t>
            </w:r>
            <w:r>
              <w:rPr>
                <w:rFonts w:ascii="宋体" w:hAnsi="宋体" w:eastAsia="宋体" w:cs="宋体"/>
                <w:spacing w:val="8"/>
                <w:sz w:val="21"/>
                <w:szCs w:val="21"/>
              </w:rPr>
              <w:t>施和安全设施、设备、工艺应当</w:t>
            </w:r>
            <w:r>
              <w:rPr>
                <w:rFonts w:ascii="宋体" w:hAnsi="宋体" w:eastAsia="宋体" w:cs="宋体"/>
                <w:spacing w:val="25"/>
                <w:sz w:val="21"/>
                <w:szCs w:val="21"/>
              </w:rPr>
              <w:t>符合下列要求：</w:t>
            </w:r>
          </w:p>
          <w:p w14:paraId="4692A60C">
            <w:pPr>
              <w:spacing w:before="36" w:line="246" w:lineRule="auto"/>
              <w:ind w:left="152" w:firstLine="541"/>
              <w:jc w:val="both"/>
              <w:rPr>
                <w:rFonts w:ascii="宋体" w:hAnsi="宋体" w:eastAsia="宋体" w:cs="宋体"/>
                <w:sz w:val="21"/>
                <w:szCs w:val="21"/>
              </w:rPr>
            </w:pPr>
            <w:r>
              <w:rPr>
                <w:rFonts w:ascii="宋体" w:hAnsi="宋体" w:eastAsia="宋体" w:cs="宋体"/>
                <w:spacing w:val="5"/>
                <w:sz w:val="21"/>
                <w:szCs w:val="21"/>
              </w:rPr>
              <w:t>(三)涉及国家安全生产监</w:t>
            </w:r>
            <w:r>
              <w:rPr>
                <w:rFonts w:ascii="宋体" w:hAnsi="宋体" w:eastAsia="宋体" w:cs="宋体"/>
                <w:spacing w:val="14"/>
                <w:sz w:val="21"/>
                <w:szCs w:val="21"/>
              </w:rPr>
              <w:t>督管理总局公布的重点监管危</w:t>
            </w:r>
            <w:r>
              <w:rPr>
                <w:rFonts w:ascii="宋体" w:hAnsi="宋体" w:eastAsia="宋体" w:cs="宋体"/>
                <w:sz w:val="21"/>
                <w:szCs w:val="21"/>
              </w:rPr>
              <w:t>险化工工艺、重点监管危险化学</w:t>
            </w:r>
            <w:r>
              <w:rPr>
                <w:rFonts w:ascii="宋体" w:hAnsi="宋体" w:eastAsia="宋体" w:cs="宋体"/>
                <w:spacing w:val="8"/>
                <w:sz w:val="21"/>
                <w:szCs w:val="21"/>
              </w:rPr>
              <w:t>品的装置装设自动化控制系统；</w:t>
            </w:r>
            <w:r>
              <w:rPr>
                <w:rFonts w:ascii="宋体" w:hAnsi="宋体" w:eastAsia="宋体" w:cs="宋体"/>
                <w:spacing w:val="12"/>
                <w:sz w:val="21"/>
                <w:szCs w:val="21"/>
              </w:rPr>
              <w:t>涉及国家安全生产监督管理总</w:t>
            </w:r>
            <w:r>
              <w:rPr>
                <w:rFonts w:ascii="宋体" w:hAnsi="宋体" w:eastAsia="宋体" w:cs="宋体"/>
                <w:spacing w:val="11"/>
                <w:sz w:val="21"/>
                <w:szCs w:val="21"/>
              </w:rPr>
              <w:t>局公布的重点监管危险化工工</w:t>
            </w:r>
          </w:p>
        </w:tc>
        <w:tc>
          <w:tcPr>
            <w:tcW w:w="3225" w:type="dxa"/>
            <w:noWrap w:val="0"/>
            <w:vAlign w:val="top"/>
          </w:tcPr>
          <w:p w14:paraId="757B0D75">
            <w:pPr>
              <w:spacing w:before="99" w:line="248" w:lineRule="auto"/>
              <w:ind w:left="135"/>
              <w:jc w:val="both"/>
              <w:rPr>
                <w:rFonts w:ascii="宋体" w:hAnsi="宋体" w:eastAsia="宋体" w:cs="宋体"/>
                <w:sz w:val="21"/>
                <w:szCs w:val="21"/>
              </w:rPr>
            </w:pPr>
            <w:r>
              <w:rPr>
                <w:rFonts w:ascii="宋体" w:hAnsi="宋体" w:eastAsia="宋体" w:cs="宋体"/>
                <w:spacing w:val="-4"/>
                <w:sz w:val="21"/>
                <w:szCs w:val="21"/>
              </w:rPr>
              <w:t>化、氯化、氟化、重氮化、</w:t>
            </w:r>
            <w:r>
              <w:rPr>
                <w:rFonts w:ascii="宋体" w:hAnsi="宋体" w:eastAsia="宋体" w:cs="宋体"/>
                <w:spacing w:val="1"/>
                <w:sz w:val="21"/>
                <w:szCs w:val="21"/>
              </w:rPr>
              <w:t>过氧化工艺装置的上下游</w:t>
            </w:r>
            <w:r>
              <w:rPr>
                <w:rFonts w:ascii="宋体" w:hAnsi="宋体" w:eastAsia="宋体" w:cs="宋体"/>
                <w:spacing w:val="-1"/>
                <w:sz w:val="21"/>
                <w:szCs w:val="21"/>
              </w:rPr>
              <w:t>配套装置必须实现自动化</w:t>
            </w:r>
            <w:r>
              <w:rPr>
                <w:rFonts w:ascii="宋体" w:hAnsi="宋体" w:eastAsia="宋体" w:cs="宋体"/>
                <w:spacing w:val="-6"/>
                <w:sz w:val="21"/>
                <w:szCs w:val="21"/>
              </w:rPr>
              <w:t>控制。</w:t>
            </w:r>
          </w:p>
        </w:tc>
        <w:tc>
          <w:tcPr>
            <w:tcW w:w="2721" w:type="dxa"/>
            <w:noWrap w:val="0"/>
            <w:vAlign w:val="top"/>
          </w:tcPr>
          <w:p w14:paraId="024E583D">
            <w:pPr>
              <w:spacing w:before="114" w:line="242" w:lineRule="auto"/>
              <w:ind w:left="167" w:right="2"/>
              <w:jc w:val="both"/>
              <w:rPr>
                <w:rFonts w:ascii="宋体" w:hAnsi="宋体" w:eastAsia="宋体" w:cs="宋体"/>
                <w:sz w:val="21"/>
                <w:szCs w:val="21"/>
              </w:rPr>
            </w:pPr>
            <w:r>
              <w:rPr>
                <w:rFonts w:ascii="宋体" w:hAnsi="宋体" w:eastAsia="宋体" w:cs="宋体"/>
                <w:spacing w:val="13"/>
                <w:sz w:val="21"/>
                <w:szCs w:val="21"/>
              </w:rPr>
              <w:t>三条企业取得安全生</w:t>
            </w:r>
            <w:r>
              <w:rPr>
                <w:rFonts w:ascii="宋体" w:hAnsi="宋体" w:eastAsia="宋体" w:cs="宋体"/>
                <w:spacing w:val="21"/>
                <w:sz w:val="21"/>
                <w:szCs w:val="21"/>
              </w:rPr>
              <w:t>产许可证后发现其不具备本办法规定的安全生</w:t>
            </w:r>
            <w:r>
              <w:rPr>
                <w:rFonts w:ascii="宋体" w:hAnsi="宋体" w:eastAsia="宋体" w:cs="宋体"/>
                <w:spacing w:val="1"/>
                <w:sz w:val="21"/>
                <w:szCs w:val="21"/>
              </w:rPr>
              <w:t>产条件的，依法暂扣其安</w:t>
            </w:r>
            <w:r>
              <w:rPr>
                <w:rFonts w:ascii="宋体" w:hAnsi="宋体" w:eastAsia="宋体" w:cs="宋体"/>
                <w:spacing w:val="8"/>
                <w:sz w:val="21"/>
                <w:szCs w:val="21"/>
              </w:rPr>
              <w:t>全生产许可证1个月以上</w:t>
            </w:r>
            <w:r>
              <w:rPr>
                <w:rFonts w:ascii="宋体" w:hAnsi="宋体" w:eastAsia="宋体" w:cs="宋体"/>
                <w:spacing w:val="10"/>
                <w:sz w:val="21"/>
                <w:szCs w:val="21"/>
              </w:rPr>
              <w:t>6个月以下；暂扣期满仍</w:t>
            </w:r>
            <w:r>
              <w:rPr>
                <w:rFonts w:ascii="宋体" w:hAnsi="宋体" w:eastAsia="宋体" w:cs="宋体"/>
                <w:spacing w:val="21"/>
                <w:sz w:val="21"/>
                <w:szCs w:val="21"/>
              </w:rPr>
              <w:t>不具备本办法规定的安</w:t>
            </w:r>
            <w:r>
              <w:rPr>
                <w:rFonts w:ascii="宋体" w:hAnsi="宋体" w:eastAsia="宋体" w:cs="宋体"/>
                <w:spacing w:val="1"/>
                <w:sz w:val="21"/>
                <w:szCs w:val="21"/>
              </w:rPr>
              <w:t>全生产条件的，依法吊销</w:t>
            </w:r>
            <w:r>
              <w:rPr>
                <w:rFonts w:ascii="宋体" w:hAnsi="宋体" w:eastAsia="宋体" w:cs="宋体"/>
                <w:spacing w:val="13"/>
                <w:sz w:val="21"/>
                <w:szCs w:val="21"/>
              </w:rPr>
              <w:t>其安全生产许可证。</w:t>
            </w:r>
          </w:p>
        </w:tc>
        <w:tc>
          <w:tcPr>
            <w:tcW w:w="1014" w:type="dxa"/>
            <w:noWrap w:val="0"/>
            <w:vAlign w:val="top"/>
          </w:tcPr>
          <w:p w14:paraId="7C4DD383">
            <w:pPr>
              <w:rPr>
                <w:rFonts w:ascii="Arial"/>
                <w:sz w:val="21"/>
                <w:szCs w:val="21"/>
              </w:rPr>
            </w:pPr>
          </w:p>
        </w:tc>
      </w:tr>
    </w:tbl>
    <w:p w14:paraId="494E9948">
      <w:pPr>
        <w:rPr>
          <w:rFonts w:ascii="Arial"/>
          <w:sz w:val="21"/>
        </w:rPr>
      </w:pPr>
    </w:p>
    <w:p w14:paraId="2A0053D9">
      <w:pPr>
        <w:sectPr>
          <w:pgSz w:w="16840" w:h="11900"/>
          <w:pgMar w:top="1440" w:right="1080" w:bottom="1440" w:left="1080" w:header="0" w:footer="0" w:gutter="0"/>
          <w:pgNumType w:fmt="decimal"/>
          <w:cols w:space="720" w:num="1"/>
        </w:sectPr>
      </w:pPr>
    </w:p>
    <w:p w14:paraId="1E68AAF2"/>
    <w:p w14:paraId="57902973"/>
    <w:p w14:paraId="5B0AD9E0">
      <w:pPr>
        <w:spacing w:line="19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28"/>
        <w:gridCol w:w="3507"/>
        <w:gridCol w:w="3117"/>
        <w:gridCol w:w="2737"/>
        <w:gridCol w:w="1392"/>
      </w:tblGrid>
      <w:tr w14:paraId="5F6DA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874" w:type="dxa"/>
            <w:noWrap w:val="0"/>
            <w:vAlign w:val="top"/>
          </w:tcPr>
          <w:p w14:paraId="7758C05A">
            <w:pPr>
              <w:spacing w:before="21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28" w:type="dxa"/>
            <w:noWrap w:val="0"/>
            <w:vAlign w:val="top"/>
          </w:tcPr>
          <w:p w14:paraId="35540FFA">
            <w:pPr>
              <w:spacing w:before="75" w:line="219" w:lineRule="auto"/>
              <w:ind w:left="630"/>
              <w:rPr>
                <w:rFonts w:ascii="宋体" w:hAnsi="宋体" w:eastAsia="宋体" w:cs="宋体"/>
                <w:b/>
                <w:bCs/>
                <w:sz w:val="24"/>
                <w:szCs w:val="24"/>
              </w:rPr>
            </w:pPr>
            <w:r>
              <w:rPr>
                <w:rFonts w:ascii="宋体" w:hAnsi="宋体" w:eastAsia="宋体" w:cs="宋体"/>
                <w:b/>
                <w:bCs/>
                <w:spacing w:val="3"/>
                <w:sz w:val="24"/>
                <w:szCs w:val="24"/>
              </w:rPr>
              <w:t>执法检查</w:t>
            </w:r>
          </w:p>
          <w:p w14:paraId="00CA80FF">
            <w:pPr>
              <w:spacing w:before="44" w:line="192" w:lineRule="auto"/>
              <w:ind w:left="401"/>
              <w:rPr>
                <w:rFonts w:ascii="宋体" w:hAnsi="宋体" w:eastAsia="宋体" w:cs="宋体"/>
                <w:b/>
                <w:bCs/>
                <w:sz w:val="24"/>
                <w:szCs w:val="24"/>
              </w:rPr>
            </w:pPr>
            <w:r>
              <w:rPr>
                <w:rFonts w:ascii="宋体" w:hAnsi="宋体" w:eastAsia="宋体" w:cs="宋体"/>
                <w:b/>
                <w:bCs/>
                <w:spacing w:val="2"/>
                <w:sz w:val="24"/>
                <w:szCs w:val="24"/>
              </w:rPr>
              <w:t>重点事项内容</w:t>
            </w:r>
          </w:p>
        </w:tc>
        <w:tc>
          <w:tcPr>
            <w:tcW w:w="3507" w:type="dxa"/>
            <w:noWrap w:val="0"/>
            <w:vAlign w:val="top"/>
          </w:tcPr>
          <w:p w14:paraId="2AC39174">
            <w:pPr>
              <w:spacing w:before="209" w:line="219" w:lineRule="auto"/>
              <w:ind w:left="1056"/>
              <w:rPr>
                <w:rFonts w:ascii="宋体" w:hAnsi="宋体" w:eastAsia="宋体" w:cs="宋体"/>
                <w:b/>
                <w:bCs/>
                <w:sz w:val="24"/>
                <w:szCs w:val="24"/>
              </w:rPr>
            </w:pPr>
            <w:r>
              <w:rPr>
                <w:rFonts w:ascii="宋体" w:hAnsi="宋体" w:eastAsia="宋体" w:cs="宋体"/>
                <w:b/>
                <w:bCs/>
                <w:spacing w:val="-4"/>
                <w:sz w:val="24"/>
                <w:szCs w:val="24"/>
              </w:rPr>
              <w:t>执法检查依据</w:t>
            </w:r>
          </w:p>
        </w:tc>
        <w:tc>
          <w:tcPr>
            <w:tcW w:w="3117" w:type="dxa"/>
            <w:noWrap w:val="0"/>
            <w:vAlign w:val="top"/>
          </w:tcPr>
          <w:p w14:paraId="392D1107">
            <w:pPr>
              <w:spacing w:before="85" w:line="220" w:lineRule="auto"/>
              <w:ind w:left="845"/>
              <w:rPr>
                <w:rFonts w:ascii="宋体" w:hAnsi="宋体" w:eastAsia="宋体" w:cs="宋体"/>
                <w:b/>
                <w:bCs/>
                <w:sz w:val="24"/>
                <w:szCs w:val="24"/>
              </w:rPr>
            </w:pPr>
            <w:r>
              <w:rPr>
                <w:rFonts w:ascii="宋体" w:hAnsi="宋体" w:eastAsia="宋体" w:cs="宋体"/>
                <w:b/>
                <w:bCs/>
                <w:spacing w:val="-2"/>
                <w:sz w:val="24"/>
                <w:szCs w:val="24"/>
              </w:rPr>
              <w:t>有关规范性</w:t>
            </w:r>
          </w:p>
          <w:p w14:paraId="76C91B6C">
            <w:pPr>
              <w:spacing w:before="32" w:line="192" w:lineRule="auto"/>
              <w:ind w:left="61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737" w:type="dxa"/>
            <w:noWrap w:val="0"/>
            <w:vAlign w:val="top"/>
          </w:tcPr>
          <w:p w14:paraId="5CD22403">
            <w:pPr>
              <w:spacing w:before="213" w:line="219" w:lineRule="auto"/>
              <w:ind w:left="967"/>
              <w:rPr>
                <w:rFonts w:ascii="宋体" w:hAnsi="宋体" w:eastAsia="宋体" w:cs="宋体"/>
                <w:b/>
                <w:bCs/>
                <w:sz w:val="24"/>
                <w:szCs w:val="24"/>
              </w:rPr>
            </w:pPr>
            <w:r>
              <w:rPr>
                <w:rFonts w:ascii="宋体" w:hAnsi="宋体" w:eastAsia="宋体" w:cs="宋体"/>
                <w:b/>
                <w:bCs/>
                <w:spacing w:val="13"/>
                <w:sz w:val="24"/>
                <w:szCs w:val="24"/>
              </w:rPr>
              <w:t>处罚依据</w:t>
            </w:r>
          </w:p>
        </w:tc>
        <w:tc>
          <w:tcPr>
            <w:tcW w:w="1392" w:type="dxa"/>
            <w:noWrap w:val="0"/>
            <w:vAlign w:val="top"/>
          </w:tcPr>
          <w:p w14:paraId="4FE5FD13">
            <w:pPr>
              <w:spacing w:before="212" w:line="221" w:lineRule="auto"/>
              <w:ind w:left="373"/>
              <w:rPr>
                <w:rFonts w:ascii="宋体" w:hAnsi="宋体" w:eastAsia="宋体" w:cs="宋体"/>
                <w:b/>
                <w:bCs/>
                <w:sz w:val="24"/>
                <w:szCs w:val="24"/>
              </w:rPr>
            </w:pPr>
            <w:r>
              <w:rPr>
                <w:rFonts w:ascii="宋体" w:hAnsi="宋体" w:eastAsia="宋体" w:cs="宋体"/>
                <w:b/>
                <w:bCs/>
                <w:spacing w:val="-6"/>
                <w:sz w:val="24"/>
                <w:szCs w:val="24"/>
              </w:rPr>
              <w:t>备注</w:t>
            </w:r>
          </w:p>
        </w:tc>
      </w:tr>
      <w:tr w14:paraId="6924A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jc w:val="center"/>
        </w:trPr>
        <w:tc>
          <w:tcPr>
            <w:tcW w:w="874" w:type="dxa"/>
            <w:noWrap w:val="0"/>
            <w:vAlign w:val="top"/>
          </w:tcPr>
          <w:p w14:paraId="4FCF05D6">
            <w:pPr>
              <w:rPr>
                <w:rFonts w:ascii="Arial"/>
                <w:sz w:val="21"/>
              </w:rPr>
            </w:pPr>
          </w:p>
        </w:tc>
        <w:tc>
          <w:tcPr>
            <w:tcW w:w="2228" w:type="dxa"/>
            <w:noWrap w:val="0"/>
            <w:vAlign w:val="top"/>
          </w:tcPr>
          <w:p w14:paraId="7AE5B144">
            <w:pPr>
              <w:rPr>
                <w:rFonts w:ascii="Arial"/>
                <w:sz w:val="21"/>
                <w:szCs w:val="21"/>
              </w:rPr>
            </w:pPr>
          </w:p>
        </w:tc>
        <w:tc>
          <w:tcPr>
            <w:tcW w:w="3507" w:type="dxa"/>
            <w:noWrap w:val="0"/>
            <w:vAlign w:val="top"/>
          </w:tcPr>
          <w:p w14:paraId="14418301">
            <w:pPr>
              <w:spacing w:before="80" w:line="247" w:lineRule="auto"/>
              <w:ind w:left="122" w:right="1" w:firstLine="10"/>
              <w:rPr>
                <w:rFonts w:ascii="宋体" w:hAnsi="宋体" w:eastAsia="宋体" w:cs="宋体"/>
                <w:sz w:val="21"/>
                <w:szCs w:val="21"/>
              </w:rPr>
            </w:pPr>
            <w:r>
              <w:rPr>
                <w:rFonts w:ascii="宋体" w:hAnsi="宋体" w:eastAsia="宋体" w:cs="宋体"/>
                <w:spacing w:val="8"/>
                <w:sz w:val="21"/>
                <w:szCs w:val="21"/>
              </w:rPr>
              <w:t>艺的大型化工装置装设紧急停</w:t>
            </w:r>
            <w:r>
              <w:rPr>
                <w:rFonts w:ascii="宋体" w:hAnsi="宋体" w:eastAsia="宋体" w:cs="宋体"/>
                <w:sz w:val="21"/>
                <w:szCs w:val="21"/>
              </w:rPr>
              <w:t>车系统；涉及易燃易爆、有毒有</w:t>
            </w:r>
            <w:r>
              <w:rPr>
                <w:rFonts w:ascii="宋体" w:hAnsi="宋体" w:eastAsia="宋体" w:cs="宋体"/>
                <w:spacing w:val="10"/>
                <w:sz w:val="21"/>
                <w:szCs w:val="21"/>
              </w:rPr>
              <w:t>害气体化学品的作业场所装设</w:t>
            </w:r>
            <w:r>
              <w:rPr>
                <w:rFonts w:ascii="宋体" w:hAnsi="宋体" w:eastAsia="宋体" w:cs="宋体"/>
                <w:sz w:val="21"/>
                <w:szCs w:val="21"/>
              </w:rPr>
              <w:t>易燃易爆、有毒有害介质泄漏报</w:t>
            </w:r>
            <w:r>
              <w:rPr>
                <w:rFonts w:ascii="宋体" w:hAnsi="宋体" w:eastAsia="宋体" w:cs="宋体"/>
                <w:spacing w:val="17"/>
                <w:sz w:val="21"/>
                <w:szCs w:val="21"/>
              </w:rPr>
              <w:t>警等安全设施。</w:t>
            </w:r>
          </w:p>
          <w:p w14:paraId="4CD2B596">
            <w:pPr>
              <w:spacing w:before="43" w:line="225" w:lineRule="auto"/>
              <w:ind w:left="2" w:right="24" w:firstLine="590"/>
              <w:jc w:val="both"/>
              <w:rPr>
                <w:rFonts w:ascii="宋体" w:hAnsi="宋体" w:eastAsia="宋体" w:cs="宋体"/>
                <w:sz w:val="21"/>
                <w:szCs w:val="21"/>
              </w:rPr>
            </w:pPr>
            <w:r>
              <w:rPr>
                <w:rFonts w:ascii="宋体" w:hAnsi="宋体" w:eastAsia="宋体" w:cs="宋体"/>
                <w:spacing w:val="-11"/>
                <w:sz w:val="21"/>
                <w:szCs w:val="21"/>
              </w:rPr>
              <w:t>3.《首批重点监管的危险化</w:t>
            </w:r>
            <w:r>
              <w:rPr>
                <w:rFonts w:ascii="宋体" w:hAnsi="宋体" w:eastAsia="宋体" w:cs="宋体"/>
                <w:spacing w:val="11"/>
                <w:sz w:val="21"/>
                <w:szCs w:val="21"/>
              </w:rPr>
              <w:t>工工艺目录》(安监总管三</w:t>
            </w:r>
            <w:r>
              <w:rPr>
                <w:rFonts w:ascii="宋体" w:hAnsi="宋体" w:eastAsia="宋体" w:cs="宋体"/>
                <w:spacing w:val="20"/>
                <w:sz w:val="21"/>
                <w:szCs w:val="21"/>
              </w:rPr>
              <w:t>〔2009〕116号)。</w:t>
            </w:r>
          </w:p>
        </w:tc>
        <w:tc>
          <w:tcPr>
            <w:tcW w:w="3117" w:type="dxa"/>
            <w:noWrap w:val="0"/>
            <w:vAlign w:val="top"/>
          </w:tcPr>
          <w:p w14:paraId="0ABD9BC8">
            <w:pPr>
              <w:rPr>
                <w:rFonts w:ascii="Arial"/>
                <w:sz w:val="21"/>
                <w:szCs w:val="21"/>
              </w:rPr>
            </w:pPr>
          </w:p>
        </w:tc>
        <w:tc>
          <w:tcPr>
            <w:tcW w:w="2737" w:type="dxa"/>
            <w:noWrap w:val="0"/>
            <w:vAlign w:val="top"/>
          </w:tcPr>
          <w:p w14:paraId="22DCA0F2">
            <w:pPr>
              <w:rPr>
                <w:rFonts w:ascii="Arial"/>
                <w:sz w:val="21"/>
                <w:szCs w:val="21"/>
              </w:rPr>
            </w:pPr>
          </w:p>
        </w:tc>
        <w:tc>
          <w:tcPr>
            <w:tcW w:w="1392" w:type="dxa"/>
            <w:noWrap w:val="0"/>
            <w:vAlign w:val="top"/>
          </w:tcPr>
          <w:p w14:paraId="393DF951">
            <w:pPr>
              <w:rPr>
                <w:rFonts w:ascii="Arial"/>
                <w:sz w:val="21"/>
                <w:szCs w:val="21"/>
              </w:rPr>
            </w:pPr>
          </w:p>
        </w:tc>
      </w:tr>
      <w:tr w14:paraId="3480C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6" w:hRule="atLeast"/>
          <w:jc w:val="center"/>
        </w:trPr>
        <w:tc>
          <w:tcPr>
            <w:tcW w:w="874" w:type="dxa"/>
            <w:noWrap w:val="0"/>
            <w:vAlign w:val="top"/>
          </w:tcPr>
          <w:p w14:paraId="1B05F885">
            <w:pPr>
              <w:spacing w:line="264" w:lineRule="auto"/>
              <w:rPr>
                <w:rFonts w:ascii="Arial"/>
                <w:sz w:val="21"/>
              </w:rPr>
            </w:pPr>
          </w:p>
          <w:p w14:paraId="209959EF">
            <w:pPr>
              <w:spacing w:line="264" w:lineRule="auto"/>
              <w:rPr>
                <w:rFonts w:ascii="Arial"/>
                <w:sz w:val="21"/>
              </w:rPr>
            </w:pPr>
          </w:p>
          <w:p w14:paraId="70870874">
            <w:pPr>
              <w:spacing w:line="264" w:lineRule="auto"/>
              <w:rPr>
                <w:rFonts w:ascii="Arial"/>
                <w:sz w:val="21"/>
              </w:rPr>
            </w:pPr>
          </w:p>
          <w:p w14:paraId="276328FE">
            <w:pPr>
              <w:spacing w:line="264" w:lineRule="auto"/>
              <w:rPr>
                <w:rFonts w:ascii="Arial"/>
                <w:sz w:val="21"/>
              </w:rPr>
            </w:pPr>
          </w:p>
          <w:p w14:paraId="3ABD5645">
            <w:pPr>
              <w:spacing w:line="264" w:lineRule="auto"/>
              <w:rPr>
                <w:rFonts w:ascii="Arial"/>
                <w:sz w:val="21"/>
              </w:rPr>
            </w:pPr>
          </w:p>
          <w:p w14:paraId="4217BA20">
            <w:pPr>
              <w:spacing w:line="264" w:lineRule="auto"/>
              <w:rPr>
                <w:rFonts w:ascii="Arial"/>
                <w:sz w:val="21"/>
              </w:rPr>
            </w:pPr>
          </w:p>
          <w:p w14:paraId="738E7074">
            <w:pPr>
              <w:spacing w:line="264" w:lineRule="auto"/>
              <w:rPr>
                <w:rFonts w:ascii="Arial"/>
                <w:sz w:val="21"/>
              </w:rPr>
            </w:pPr>
          </w:p>
          <w:p w14:paraId="49346FBF">
            <w:pPr>
              <w:spacing w:line="265" w:lineRule="auto"/>
              <w:rPr>
                <w:rFonts w:ascii="Arial"/>
                <w:sz w:val="21"/>
              </w:rPr>
            </w:pPr>
          </w:p>
          <w:p w14:paraId="3A6227E7">
            <w:pPr>
              <w:spacing w:before="78" w:line="184" w:lineRule="auto"/>
              <w:ind w:left="305"/>
              <w:rPr>
                <w:rFonts w:ascii="宋体" w:hAnsi="宋体" w:eastAsia="宋体" w:cs="宋体"/>
                <w:sz w:val="24"/>
                <w:szCs w:val="24"/>
              </w:rPr>
            </w:pPr>
            <w:r>
              <w:rPr>
                <w:rFonts w:ascii="宋体" w:hAnsi="宋体" w:eastAsia="宋体" w:cs="宋体"/>
                <w:spacing w:val="-7"/>
                <w:sz w:val="24"/>
                <w:szCs w:val="24"/>
              </w:rPr>
              <w:t>1</w:t>
            </w:r>
            <w:r>
              <w:rPr>
                <w:rFonts w:hint="eastAsia" w:ascii="宋体" w:hAnsi="宋体" w:eastAsia="宋体" w:cs="宋体"/>
                <w:spacing w:val="-7"/>
                <w:sz w:val="24"/>
                <w:szCs w:val="24"/>
                <w:lang w:val="en-US" w:eastAsia="zh-CN"/>
              </w:rPr>
              <w:t>2</w:t>
            </w:r>
          </w:p>
        </w:tc>
        <w:tc>
          <w:tcPr>
            <w:tcW w:w="2228" w:type="dxa"/>
            <w:noWrap w:val="0"/>
            <w:vAlign w:val="top"/>
          </w:tcPr>
          <w:p w14:paraId="7FA4BD9A">
            <w:pPr>
              <w:spacing w:line="355" w:lineRule="auto"/>
              <w:rPr>
                <w:rFonts w:ascii="Arial"/>
                <w:sz w:val="21"/>
                <w:szCs w:val="21"/>
              </w:rPr>
            </w:pPr>
          </w:p>
          <w:p w14:paraId="336D18C3">
            <w:pPr>
              <w:spacing w:before="75" w:line="254" w:lineRule="auto"/>
              <w:ind w:left="140" w:firstLine="39"/>
              <w:rPr>
                <w:rFonts w:ascii="宋体" w:hAnsi="宋体" w:eastAsia="宋体" w:cs="宋体"/>
                <w:sz w:val="21"/>
                <w:szCs w:val="21"/>
              </w:rPr>
            </w:pPr>
            <w:r>
              <w:rPr>
                <w:rFonts w:ascii="宋体" w:hAnsi="宋体" w:eastAsia="宋体" w:cs="宋体"/>
                <w:spacing w:val="24"/>
                <w:sz w:val="21"/>
                <w:szCs w:val="21"/>
              </w:rPr>
              <w:t>涉及硝化、氯化、</w:t>
            </w:r>
            <w:r>
              <w:rPr>
                <w:rFonts w:ascii="宋体" w:hAnsi="宋体" w:eastAsia="宋体" w:cs="宋体"/>
                <w:spacing w:val="13"/>
                <w:sz w:val="21"/>
                <w:szCs w:val="21"/>
              </w:rPr>
              <w:t>氟化、重氮化、过</w:t>
            </w:r>
            <w:r>
              <w:rPr>
                <w:rFonts w:ascii="宋体" w:hAnsi="宋体" w:eastAsia="宋体" w:cs="宋体"/>
                <w:spacing w:val="16"/>
                <w:sz w:val="21"/>
                <w:szCs w:val="21"/>
              </w:rPr>
              <w:t>氧化的精细化工生</w:t>
            </w:r>
            <w:r>
              <w:rPr>
                <w:rFonts w:ascii="宋体" w:hAnsi="宋体" w:eastAsia="宋体" w:cs="宋体"/>
                <w:spacing w:val="13"/>
                <w:sz w:val="21"/>
                <w:szCs w:val="21"/>
              </w:rPr>
              <w:t>产装置企业，未开</w:t>
            </w:r>
            <w:r>
              <w:rPr>
                <w:rFonts w:ascii="宋体" w:hAnsi="宋体" w:eastAsia="宋体" w:cs="宋体"/>
                <w:spacing w:val="16"/>
                <w:sz w:val="21"/>
                <w:szCs w:val="21"/>
              </w:rPr>
              <w:t>展有关产品生产工艺全流程的反应安</w:t>
            </w:r>
            <w:r>
              <w:rPr>
                <w:rFonts w:ascii="宋体" w:hAnsi="宋体" w:eastAsia="宋体" w:cs="宋体"/>
                <w:spacing w:val="13"/>
                <w:sz w:val="21"/>
                <w:szCs w:val="21"/>
              </w:rPr>
              <w:t>全风险评估，未对</w:t>
            </w:r>
            <w:r>
              <w:rPr>
                <w:rFonts w:ascii="宋体" w:hAnsi="宋体" w:eastAsia="宋体" w:cs="宋体"/>
                <w:spacing w:val="29"/>
                <w:sz w:val="21"/>
                <w:szCs w:val="21"/>
              </w:rPr>
              <w:t>原料、中间产品、</w:t>
            </w:r>
            <w:r>
              <w:rPr>
                <w:rFonts w:ascii="宋体" w:hAnsi="宋体" w:eastAsia="宋体" w:cs="宋体"/>
                <w:spacing w:val="16"/>
                <w:sz w:val="21"/>
                <w:szCs w:val="21"/>
              </w:rPr>
              <w:t>产品及副产物进行热稳定性测试，或</w:t>
            </w:r>
            <w:r>
              <w:rPr>
                <w:rFonts w:ascii="宋体" w:hAnsi="宋体" w:eastAsia="宋体" w:cs="宋体"/>
                <w:spacing w:val="11"/>
                <w:sz w:val="21"/>
                <w:szCs w:val="21"/>
              </w:rPr>
              <w:t>者未落实评估建</w:t>
            </w:r>
          </w:p>
          <w:p w14:paraId="67D9F15B">
            <w:pPr>
              <w:spacing w:before="21" w:line="220" w:lineRule="auto"/>
              <w:ind w:left="90"/>
              <w:rPr>
                <w:rFonts w:ascii="宋体" w:hAnsi="宋体" w:eastAsia="宋体" w:cs="宋体"/>
                <w:sz w:val="21"/>
                <w:szCs w:val="21"/>
              </w:rPr>
            </w:pPr>
            <w:r>
              <w:rPr>
                <w:rFonts w:ascii="宋体" w:hAnsi="宋体" w:eastAsia="宋体" w:cs="宋体"/>
                <w:spacing w:val="-6"/>
                <w:sz w:val="21"/>
                <w:szCs w:val="21"/>
              </w:rPr>
              <w:t>议。</w:t>
            </w:r>
          </w:p>
        </w:tc>
        <w:tc>
          <w:tcPr>
            <w:tcW w:w="3507" w:type="dxa"/>
            <w:noWrap w:val="0"/>
            <w:vAlign w:val="top"/>
          </w:tcPr>
          <w:p w14:paraId="42928EE4">
            <w:pPr>
              <w:spacing w:before="111" w:line="251" w:lineRule="auto"/>
              <w:ind w:left="122" w:firstLine="479"/>
              <w:rPr>
                <w:rFonts w:ascii="宋体" w:hAnsi="宋体" w:eastAsia="宋体" w:cs="宋体"/>
                <w:sz w:val="21"/>
                <w:szCs w:val="21"/>
              </w:rPr>
            </w:pPr>
            <w:r>
              <w:rPr>
                <w:rFonts w:ascii="宋体" w:hAnsi="宋体" w:eastAsia="宋体" w:cs="宋体"/>
                <w:spacing w:val="-2"/>
                <w:sz w:val="21"/>
                <w:szCs w:val="21"/>
              </w:rPr>
              <w:t>1.《中华人民共和国安全生</w:t>
            </w:r>
            <w:r>
              <w:rPr>
                <w:rFonts w:ascii="宋体" w:hAnsi="宋体" w:eastAsia="宋体" w:cs="宋体"/>
                <w:spacing w:val="9"/>
                <w:sz w:val="21"/>
                <w:szCs w:val="21"/>
              </w:rPr>
              <w:t>产法》第四十一条第一款生产</w:t>
            </w:r>
            <w:r>
              <w:rPr>
                <w:rFonts w:ascii="宋体" w:hAnsi="宋体" w:eastAsia="宋体" w:cs="宋体"/>
                <w:spacing w:val="21"/>
                <w:sz w:val="21"/>
                <w:szCs w:val="21"/>
              </w:rPr>
              <w:t>经营单位应当建立安全风险分</w:t>
            </w:r>
            <w:r>
              <w:rPr>
                <w:rFonts w:ascii="宋体" w:hAnsi="宋体" w:eastAsia="宋体" w:cs="宋体"/>
                <w:spacing w:val="10"/>
                <w:sz w:val="21"/>
                <w:szCs w:val="21"/>
              </w:rPr>
              <w:t>级管控制度，按照安全风险分级</w:t>
            </w:r>
            <w:r>
              <w:rPr>
                <w:rFonts w:ascii="宋体" w:hAnsi="宋体" w:eastAsia="宋体" w:cs="宋体"/>
                <w:spacing w:val="21"/>
                <w:sz w:val="21"/>
                <w:szCs w:val="21"/>
              </w:rPr>
              <w:t>采取相应的管控措施。</w:t>
            </w:r>
          </w:p>
          <w:p w14:paraId="479116DE">
            <w:pPr>
              <w:spacing w:before="24" w:line="243" w:lineRule="auto"/>
              <w:ind w:left="122" w:right="24" w:firstLine="470"/>
              <w:rPr>
                <w:rFonts w:ascii="宋体" w:hAnsi="宋体" w:eastAsia="宋体" w:cs="宋体"/>
                <w:sz w:val="21"/>
                <w:szCs w:val="21"/>
              </w:rPr>
            </w:pPr>
            <w:r>
              <w:rPr>
                <w:rFonts w:ascii="宋体" w:hAnsi="宋体" w:eastAsia="宋体" w:cs="宋体"/>
                <w:spacing w:val="-11"/>
                <w:sz w:val="21"/>
                <w:szCs w:val="21"/>
              </w:rPr>
              <w:t>2.《化工和危险化学品生产</w:t>
            </w:r>
            <w:r>
              <w:rPr>
                <w:rFonts w:ascii="宋体" w:hAnsi="宋体" w:eastAsia="宋体" w:cs="宋体"/>
                <w:spacing w:val="11"/>
                <w:sz w:val="21"/>
                <w:szCs w:val="21"/>
              </w:rPr>
              <w:t>经营单位重大生产安全事故隐</w:t>
            </w:r>
            <w:r>
              <w:rPr>
                <w:rFonts w:ascii="宋体" w:hAnsi="宋体" w:eastAsia="宋体" w:cs="宋体"/>
                <w:spacing w:val="18"/>
                <w:sz w:val="21"/>
                <w:szCs w:val="21"/>
              </w:rPr>
              <w:t>患判定标准(试行)》(安监总</w:t>
            </w:r>
            <w:r>
              <w:rPr>
                <w:rFonts w:ascii="宋体" w:hAnsi="宋体" w:eastAsia="宋体" w:cs="宋体"/>
                <w:spacing w:val="8"/>
                <w:sz w:val="21"/>
                <w:szCs w:val="21"/>
              </w:rPr>
              <w:t>管三〔2017〕121号)第十九条</w:t>
            </w:r>
            <w:r>
              <w:rPr>
                <w:rFonts w:ascii="宋体" w:hAnsi="宋体" w:eastAsia="宋体" w:cs="宋体"/>
                <w:spacing w:val="10"/>
                <w:sz w:val="21"/>
                <w:szCs w:val="21"/>
              </w:rPr>
              <w:t>精细化工企业未按规范性文件</w:t>
            </w:r>
            <w:r>
              <w:rPr>
                <w:rFonts w:ascii="宋体" w:hAnsi="宋体" w:eastAsia="宋体" w:cs="宋体"/>
                <w:spacing w:val="9"/>
                <w:sz w:val="21"/>
                <w:szCs w:val="21"/>
              </w:rPr>
              <w:t>要求开展反应安全风险评估。</w:t>
            </w:r>
          </w:p>
          <w:p w14:paraId="342EE0EC">
            <w:pPr>
              <w:spacing w:before="49" w:line="230" w:lineRule="auto"/>
              <w:ind w:left="2" w:right="24" w:firstLine="590"/>
              <w:rPr>
                <w:rFonts w:ascii="宋体" w:hAnsi="宋体" w:eastAsia="宋体" w:cs="宋体"/>
                <w:sz w:val="21"/>
                <w:szCs w:val="21"/>
              </w:rPr>
            </w:pPr>
            <w:r>
              <w:rPr>
                <w:rFonts w:ascii="宋体" w:hAnsi="宋体" w:eastAsia="宋体" w:cs="宋体"/>
                <w:spacing w:val="-1"/>
                <w:sz w:val="21"/>
                <w:szCs w:val="21"/>
              </w:rPr>
              <w:t>3.《首批重点监管的危险化</w:t>
            </w:r>
            <w:r>
              <w:rPr>
                <w:rFonts w:ascii="宋体" w:hAnsi="宋体" w:eastAsia="宋体" w:cs="宋体"/>
                <w:spacing w:val="22"/>
                <w:sz w:val="21"/>
                <w:szCs w:val="21"/>
              </w:rPr>
              <w:t>工工艺目录》(安监总管三</w:t>
            </w:r>
            <w:r>
              <w:rPr>
                <w:rFonts w:ascii="宋体" w:hAnsi="宋体" w:eastAsia="宋体" w:cs="宋体"/>
                <w:spacing w:val="26"/>
                <w:sz w:val="21"/>
                <w:szCs w:val="21"/>
              </w:rPr>
              <w:t>〔2009〕116号)。</w:t>
            </w:r>
          </w:p>
        </w:tc>
        <w:tc>
          <w:tcPr>
            <w:tcW w:w="3117" w:type="dxa"/>
            <w:noWrap w:val="0"/>
            <w:vAlign w:val="top"/>
          </w:tcPr>
          <w:p w14:paraId="1329AC8A">
            <w:pPr>
              <w:spacing w:before="108" w:line="252" w:lineRule="auto"/>
              <w:ind w:left="135" w:firstLine="443"/>
              <w:rPr>
                <w:rFonts w:ascii="宋体" w:hAnsi="宋体" w:eastAsia="宋体" w:cs="宋体"/>
                <w:sz w:val="21"/>
                <w:szCs w:val="21"/>
              </w:rPr>
            </w:pPr>
            <w:r>
              <w:rPr>
                <w:rFonts w:ascii="宋体" w:hAnsi="宋体" w:eastAsia="宋体" w:cs="宋体"/>
                <w:spacing w:val="19"/>
                <w:sz w:val="21"/>
                <w:szCs w:val="21"/>
              </w:rPr>
              <w:t>《危险化学品安全专</w:t>
            </w:r>
            <w:r>
              <w:rPr>
                <w:rFonts w:ascii="宋体" w:hAnsi="宋体" w:eastAsia="宋体" w:cs="宋体"/>
                <w:spacing w:val="27"/>
                <w:sz w:val="21"/>
                <w:szCs w:val="21"/>
              </w:rPr>
              <w:t>项整治三年行动实施方</w:t>
            </w:r>
            <w:r>
              <w:rPr>
                <w:rFonts w:ascii="宋体" w:hAnsi="宋体" w:eastAsia="宋体" w:cs="宋体"/>
                <w:spacing w:val="17"/>
                <w:sz w:val="21"/>
                <w:szCs w:val="21"/>
              </w:rPr>
              <w:t>案》(安委〔2020〕3号)</w:t>
            </w:r>
            <w:r>
              <w:rPr>
                <w:rFonts w:ascii="宋体" w:hAnsi="宋体" w:eastAsia="宋体" w:cs="宋体"/>
                <w:spacing w:val="7"/>
                <w:sz w:val="21"/>
                <w:szCs w:val="21"/>
              </w:rPr>
              <w:t>现有涉及硝化、氯化、氟</w:t>
            </w:r>
            <w:r>
              <w:rPr>
                <w:rFonts w:ascii="宋体" w:hAnsi="宋体" w:eastAsia="宋体" w:cs="宋体"/>
                <w:spacing w:val="8"/>
                <w:sz w:val="21"/>
                <w:szCs w:val="21"/>
              </w:rPr>
              <w:t>化、重氮化、过氧化工艺</w:t>
            </w:r>
            <w:r>
              <w:rPr>
                <w:rFonts w:ascii="宋体" w:hAnsi="宋体" w:eastAsia="宋体" w:cs="宋体"/>
                <w:spacing w:val="7"/>
                <w:sz w:val="21"/>
                <w:szCs w:val="21"/>
              </w:rPr>
              <w:t>的精细化工生产装置必须</w:t>
            </w:r>
            <w:r>
              <w:rPr>
                <w:rFonts w:ascii="宋体" w:hAnsi="宋体" w:eastAsia="宋体" w:cs="宋体"/>
                <w:spacing w:val="22"/>
                <w:sz w:val="21"/>
                <w:szCs w:val="21"/>
              </w:rPr>
              <w:t>于2021年底前完成有关</w:t>
            </w:r>
            <w:r>
              <w:rPr>
                <w:rFonts w:ascii="宋体" w:hAnsi="宋体" w:eastAsia="宋体" w:cs="宋体"/>
                <w:spacing w:val="5"/>
                <w:sz w:val="21"/>
                <w:szCs w:val="21"/>
              </w:rPr>
              <w:t>产品生产工艺全流程的反</w:t>
            </w:r>
            <w:r>
              <w:rPr>
                <w:rFonts w:ascii="宋体" w:hAnsi="宋体" w:eastAsia="宋体" w:cs="宋体"/>
                <w:spacing w:val="7"/>
                <w:sz w:val="21"/>
                <w:szCs w:val="21"/>
              </w:rPr>
              <w:t>应安全风险评估，同时按照加强精细化工反应安全</w:t>
            </w:r>
            <w:r>
              <w:rPr>
                <w:rFonts w:ascii="宋体" w:hAnsi="宋体" w:eastAsia="宋体" w:cs="宋体"/>
                <w:spacing w:val="17"/>
                <w:sz w:val="21"/>
                <w:szCs w:val="21"/>
              </w:rPr>
              <w:t>风险评估工作指导意见，对相关原料、中间产品、</w:t>
            </w:r>
            <w:r>
              <w:rPr>
                <w:rFonts w:ascii="宋体" w:hAnsi="宋体" w:eastAsia="宋体" w:cs="宋体"/>
                <w:spacing w:val="8"/>
                <w:sz w:val="21"/>
                <w:szCs w:val="21"/>
              </w:rPr>
              <w:t>产品及副产物进行热稳定</w:t>
            </w:r>
            <w:r>
              <w:rPr>
                <w:rFonts w:ascii="宋体" w:hAnsi="宋体" w:eastAsia="宋体" w:cs="宋体"/>
                <w:spacing w:val="29"/>
                <w:sz w:val="21"/>
                <w:szCs w:val="21"/>
              </w:rPr>
              <w:t>性测试。</w:t>
            </w:r>
          </w:p>
        </w:tc>
        <w:tc>
          <w:tcPr>
            <w:tcW w:w="2737" w:type="dxa"/>
            <w:noWrap w:val="0"/>
            <w:vAlign w:val="top"/>
          </w:tcPr>
          <w:p w14:paraId="635FBFF7">
            <w:pPr>
              <w:spacing w:before="91" w:line="253" w:lineRule="auto"/>
              <w:ind w:left="147" w:firstLine="448"/>
              <w:jc w:val="both"/>
              <w:rPr>
                <w:rFonts w:ascii="宋体" w:hAnsi="宋体" w:eastAsia="宋体" w:cs="宋体"/>
                <w:sz w:val="21"/>
                <w:szCs w:val="21"/>
              </w:rPr>
            </w:pPr>
            <w:r>
              <w:rPr>
                <w:rFonts w:ascii="宋体" w:hAnsi="宋体" w:eastAsia="宋体" w:cs="宋体"/>
                <w:spacing w:val="28"/>
                <w:sz w:val="21"/>
                <w:szCs w:val="21"/>
              </w:rPr>
              <w:t>《中华人民共和国</w:t>
            </w:r>
            <w:r>
              <w:rPr>
                <w:rFonts w:ascii="宋体" w:hAnsi="宋体" w:eastAsia="宋体" w:cs="宋体"/>
                <w:spacing w:val="5"/>
                <w:sz w:val="21"/>
                <w:szCs w:val="21"/>
              </w:rPr>
              <w:t>安全生产法》第一百零二</w:t>
            </w:r>
            <w:r>
              <w:rPr>
                <w:rFonts w:ascii="宋体" w:hAnsi="宋体" w:eastAsia="宋体" w:cs="宋体"/>
                <w:spacing w:val="16"/>
                <w:sz w:val="21"/>
                <w:szCs w:val="21"/>
              </w:rPr>
              <w:t>条生产经营单位未采</w:t>
            </w:r>
            <w:r>
              <w:rPr>
                <w:rFonts w:ascii="宋体" w:hAnsi="宋体" w:eastAsia="宋体" w:cs="宋体"/>
                <w:spacing w:val="14"/>
                <w:sz w:val="21"/>
                <w:szCs w:val="21"/>
              </w:rPr>
              <w:t>取措施消除事故隐患的，</w:t>
            </w:r>
            <w:r>
              <w:rPr>
                <w:rFonts w:ascii="宋体" w:hAnsi="宋体" w:eastAsia="宋体" w:cs="宋体"/>
                <w:spacing w:val="21"/>
                <w:sz w:val="21"/>
                <w:szCs w:val="21"/>
              </w:rPr>
              <w:t>责令立即消除或者限期</w:t>
            </w:r>
            <w:r>
              <w:rPr>
                <w:rFonts w:ascii="宋体" w:hAnsi="宋体" w:eastAsia="宋体" w:cs="宋体"/>
                <w:spacing w:val="6"/>
                <w:sz w:val="21"/>
                <w:szCs w:val="21"/>
              </w:rPr>
              <w:t>消除，处五万元以下的罚</w:t>
            </w:r>
            <w:r>
              <w:rPr>
                <w:rFonts w:ascii="宋体" w:hAnsi="宋体" w:eastAsia="宋体" w:cs="宋体"/>
                <w:spacing w:val="4"/>
                <w:sz w:val="21"/>
                <w:szCs w:val="21"/>
              </w:rPr>
              <w:t>款；生产经营单位拒不执</w:t>
            </w:r>
            <w:r>
              <w:rPr>
                <w:rFonts w:ascii="宋体" w:hAnsi="宋体" w:eastAsia="宋体" w:cs="宋体"/>
                <w:spacing w:val="24"/>
                <w:sz w:val="21"/>
                <w:szCs w:val="21"/>
              </w:rPr>
              <w:t>行的，责令停产停业整</w:t>
            </w:r>
            <w:r>
              <w:rPr>
                <w:rFonts w:ascii="宋体" w:hAnsi="宋体" w:eastAsia="宋体" w:cs="宋体"/>
                <w:spacing w:val="5"/>
                <w:sz w:val="21"/>
                <w:szCs w:val="21"/>
              </w:rPr>
              <w:t>顿，对其直接负责的主管</w:t>
            </w:r>
            <w:r>
              <w:rPr>
                <w:rFonts w:ascii="宋体" w:hAnsi="宋体" w:eastAsia="宋体" w:cs="宋体"/>
                <w:spacing w:val="24"/>
                <w:sz w:val="21"/>
                <w:szCs w:val="21"/>
              </w:rPr>
              <w:t>人员和其他直接责任人员处五万元以上十万元</w:t>
            </w:r>
            <w:r>
              <w:rPr>
                <w:rFonts w:ascii="宋体" w:hAnsi="宋体" w:eastAsia="宋体" w:cs="宋体"/>
                <w:spacing w:val="22"/>
                <w:sz w:val="21"/>
                <w:szCs w:val="21"/>
              </w:rPr>
              <w:t>以下的罚款；构成犯罪</w:t>
            </w:r>
            <w:r>
              <w:rPr>
                <w:rFonts w:ascii="宋体" w:hAnsi="宋体" w:eastAsia="宋体" w:cs="宋体"/>
                <w:spacing w:val="4"/>
                <w:sz w:val="21"/>
                <w:szCs w:val="21"/>
              </w:rPr>
              <w:t>的，依照刑法有关规定追</w:t>
            </w:r>
            <w:r>
              <w:rPr>
                <w:rFonts w:ascii="宋体" w:hAnsi="宋体" w:eastAsia="宋体" w:cs="宋体"/>
                <w:spacing w:val="23"/>
                <w:sz w:val="21"/>
                <w:szCs w:val="21"/>
              </w:rPr>
              <w:t>究刑事责任。</w:t>
            </w:r>
          </w:p>
        </w:tc>
        <w:tc>
          <w:tcPr>
            <w:tcW w:w="1392" w:type="dxa"/>
            <w:noWrap w:val="0"/>
            <w:vAlign w:val="top"/>
          </w:tcPr>
          <w:p w14:paraId="5A659726">
            <w:pPr>
              <w:spacing w:line="241" w:lineRule="auto"/>
              <w:rPr>
                <w:rFonts w:ascii="Arial"/>
                <w:sz w:val="21"/>
                <w:szCs w:val="21"/>
              </w:rPr>
            </w:pPr>
          </w:p>
          <w:p w14:paraId="5BF12EAB">
            <w:pPr>
              <w:spacing w:line="241" w:lineRule="auto"/>
              <w:rPr>
                <w:rFonts w:ascii="Arial"/>
                <w:sz w:val="21"/>
                <w:szCs w:val="21"/>
              </w:rPr>
            </w:pPr>
          </w:p>
          <w:p w14:paraId="0E95391F">
            <w:pPr>
              <w:spacing w:line="242" w:lineRule="auto"/>
              <w:rPr>
                <w:rFonts w:ascii="Arial"/>
                <w:sz w:val="21"/>
                <w:szCs w:val="21"/>
              </w:rPr>
            </w:pPr>
          </w:p>
          <w:p w14:paraId="288C9497">
            <w:pPr>
              <w:spacing w:line="242" w:lineRule="auto"/>
              <w:rPr>
                <w:rFonts w:ascii="Arial"/>
                <w:sz w:val="21"/>
                <w:szCs w:val="21"/>
              </w:rPr>
            </w:pPr>
          </w:p>
          <w:p w14:paraId="509BE9A8">
            <w:pPr>
              <w:spacing w:line="242" w:lineRule="auto"/>
              <w:rPr>
                <w:rFonts w:ascii="Arial"/>
                <w:sz w:val="21"/>
                <w:szCs w:val="21"/>
              </w:rPr>
            </w:pPr>
          </w:p>
          <w:p w14:paraId="21D1159D">
            <w:pPr>
              <w:spacing w:line="242" w:lineRule="auto"/>
              <w:rPr>
                <w:rFonts w:ascii="Arial"/>
                <w:sz w:val="21"/>
                <w:szCs w:val="21"/>
              </w:rPr>
            </w:pPr>
          </w:p>
          <w:p w14:paraId="30051951">
            <w:pPr>
              <w:spacing w:line="242" w:lineRule="auto"/>
              <w:rPr>
                <w:rFonts w:ascii="Arial"/>
                <w:sz w:val="21"/>
                <w:szCs w:val="21"/>
              </w:rPr>
            </w:pPr>
          </w:p>
          <w:p w14:paraId="44505674">
            <w:pPr>
              <w:spacing w:line="242" w:lineRule="auto"/>
              <w:rPr>
                <w:rFonts w:ascii="Arial"/>
                <w:sz w:val="21"/>
                <w:szCs w:val="21"/>
              </w:rPr>
            </w:pPr>
          </w:p>
          <w:p w14:paraId="5BE550AF">
            <w:pPr>
              <w:spacing w:before="78" w:line="221" w:lineRule="auto"/>
              <w:ind w:left="129" w:right="120"/>
              <w:rPr>
                <w:rFonts w:ascii="宋体" w:hAnsi="宋体" w:eastAsia="宋体" w:cs="宋体"/>
                <w:sz w:val="21"/>
                <w:szCs w:val="21"/>
              </w:rPr>
            </w:pPr>
            <w:r>
              <w:rPr>
                <w:rFonts w:ascii="宋体" w:hAnsi="宋体" w:eastAsia="宋体" w:cs="宋体"/>
                <w:spacing w:val="3"/>
                <w:sz w:val="21"/>
                <w:szCs w:val="21"/>
              </w:rPr>
              <w:t>危险化工</w:t>
            </w:r>
            <w:r>
              <w:rPr>
                <w:rFonts w:ascii="宋体" w:hAnsi="宋体" w:eastAsia="宋体" w:cs="宋体"/>
                <w:spacing w:val="2"/>
                <w:sz w:val="21"/>
                <w:szCs w:val="21"/>
              </w:rPr>
              <w:t>工艺管理</w:t>
            </w:r>
          </w:p>
        </w:tc>
      </w:tr>
      <w:tr w14:paraId="44E15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874" w:type="dxa"/>
            <w:noWrap w:val="0"/>
            <w:vAlign w:val="top"/>
          </w:tcPr>
          <w:p w14:paraId="24D9DA8D">
            <w:pPr>
              <w:spacing w:before="160" w:line="183" w:lineRule="exact"/>
              <w:ind w:left="305"/>
              <w:rPr>
                <w:rFonts w:ascii="宋体" w:hAnsi="宋体" w:eastAsia="宋体" w:cs="宋体"/>
                <w:sz w:val="24"/>
                <w:szCs w:val="24"/>
              </w:rPr>
            </w:pPr>
          </w:p>
        </w:tc>
        <w:tc>
          <w:tcPr>
            <w:tcW w:w="2228" w:type="dxa"/>
            <w:noWrap w:val="0"/>
            <w:vAlign w:val="top"/>
          </w:tcPr>
          <w:p w14:paraId="1F9BE42E">
            <w:pPr>
              <w:spacing w:before="59" w:line="219" w:lineRule="auto"/>
              <w:ind w:left="180"/>
              <w:rPr>
                <w:rFonts w:ascii="宋体" w:hAnsi="宋体" w:eastAsia="宋体" w:cs="宋体"/>
                <w:sz w:val="21"/>
                <w:szCs w:val="21"/>
              </w:rPr>
            </w:pPr>
            <w:r>
              <w:rPr>
                <w:rFonts w:ascii="宋体" w:hAnsi="宋体" w:eastAsia="宋体" w:cs="宋体"/>
                <w:spacing w:val="1"/>
                <w:sz w:val="21"/>
                <w:szCs w:val="21"/>
              </w:rPr>
              <w:t>主要负责人和安全</w:t>
            </w:r>
          </w:p>
        </w:tc>
        <w:tc>
          <w:tcPr>
            <w:tcW w:w="3507" w:type="dxa"/>
            <w:noWrap w:val="0"/>
            <w:vAlign w:val="top"/>
          </w:tcPr>
          <w:p w14:paraId="6504FEC2">
            <w:pPr>
              <w:spacing w:before="59" w:line="219" w:lineRule="auto"/>
              <w:ind w:left="603"/>
              <w:rPr>
                <w:rFonts w:ascii="宋体" w:hAnsi="宋体" w:eastAsia="宋体" w:cs="宋体"/>
                <w:sz w:val="21"/>
                <w:szCs w:val="21"/>
              </w:rPr>
            </w:pPr>
            <w:r>
              <w:rPr>
                <w:rFonts w:ascii="宋体" w:hAnsi="宋体" w:eastAsia="宋体" w:cs="宋体"/>
                <w:spacing w:val="-10"/>
                <w:sz w:val="21"/>
                <w:szCs w:val="21"/>
              </w:rPr>
              <w:t>1.《中华人民共和国安全生</w:t>
            </w:r>
          </w:p>
        </w:tc>
        <w:tc>
          <w:tcPr>
            <w:tcW w:w="3117" w:type="dxa"/>
            <w:noWrap w:val="0"/>
            <w:vAlign w:val="top"/>
          </w:tcPr>
          <w:p w14:paraId="071260B8">
            <w:pPr>
              <w:spacing w:before="156" w:line="187" w:lineRule="exact"/>
              <w:ind w:left="595"/>
              <w:rPr>
                <w:rFonts w:ascii="宋体" w:hAnsi="宋体" w:eastAsia="宋体" w:cs="宋体"/>
                <w:sz w:val="21"/>
                <w:szCs w:val="21"/>
              </w:rPr>
            </w:pPr>
            <w:r>
              <w:rPr>
                <w:rFonts w:ascii="宋体" w:hAnsi="宋体" w:eastAsia="宋体" w:cs="宋体"/>
                <w:spacing w:val="10"/>
                <w:position w:val="-3"/>
                <w:sz w:val="21"/>
                <w:szCs w:val="21"/>
              </w:rPr>
              <w:t>1.</w:t>
            </w:r>
          </w:p>
        </w:tc>
        <w:tc>
          <w:tcPr>
            <w:tcW w:w="2737" w:type="dxa"/>
            <w:noWrap w:val="0"/>
            <w:vAlign w:val="top"/>
          </w:tcPr>
          <w:p w14:paraId="2FB05AC4">
            <w:pPr>
              <w:rPr>
                <w:rFonts w:ascii="Arial"/>
                <w:sz w:val="21"/>
                <w:szCs w:val="21"/>
              </w:rPr>
            </w:pPr>
          </w:p>
        </w:tc>
        <w:tc>
          <w:tcPr>
            <w:tcW w:w="1392" w:type="dxa"/>
            <w:noWrap w:val="0"/>
            <w:vAlign w:val="top"/>
          </w:tcPr>
          <w:p w14:paraId="6F91815D">
            <w:pPr>
              <w:spacing w:before="111" w:line="187" w:lineRule="auto"/>
              <w:ind w:left="129"/>
              <w:rPr>
                <w:rFonts w:ascii="宋体" w:hAnsi="宋体" w:eastAsia="宋体" w:cs="宋体"/>
                <w:sz w:val="21"/>
                <w:szCs w:val="21"/>
              </w:rPr>
            </w:pPr>
            <w:r>
              <w:rPr>
                <w:rFonts w:ascii="宋体" w:hAnsi="宋体" w:eastAsia="宋体" w:cs="宋体"/>
                <w:spacing w:val="13"/>
                <w:sz w:val="21"/>
                <w:szCs w:val="21"/>
              </w:rPr>
              <w:t>危险化学</w:t>
            </w:r>
          </w:p>
        </w:tc>
      </w:tr>
    </w:tbl>
    <w:p w14:paraId="2A67C481"/>
    <w:p w14:paraId="0270A1B7">
      <w:pPr>
        <w:spacing w:line="15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598"/>
        <w:gridCol w:w="3046"/>
        <w:gridCol w:w="2987"/>
        <w:gridCol w:w="1049"/>
      </w:tblGrid>
      <w:tr w14:paraId="457E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44DB29FB">
            <w:pPr>
              <w:spacing w:before="22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28" w:type="dxa"/>
            <w:noWrap w:val="0"/>
            <w:vAlign w:val="top"/>
          </w:tcPr>
          <w:p w14:paraId="4E38012D">
            <w:pPr>
              <w:spacing w:before="65" w:line="219" w:lineRule="auto"/>
              <w:ind w:left="640"/>
              <w:rPr>
                <w:rFonts w:ascii="宋体" w:hAnsi="宋体" w:eastAsia="宋体" w:cs="宋体"/>
                <w:b/>
                <w:bCs/>
                <w:sz w:val="24"/>
                <w:szCs w:val="24"/>
              </w:rPr>
            </w:pPr>
            <w:r>
              <w:rPr>
                <w:rFonts w:ascii="宋体" w:hAnsi="宋体" w:eastAsia="宋体" w:cs="宋体"/>
                <w:b/>
                <w:bCs/>
                <w:spacing w:val="3"/>
                <w:sz w:val="24"/>
                <w:szCs w:val="24"/>
              </w:rPr>
              <w:t>执法检查</w:t>
            </w:r>
          </w:p>
          <w:p w14:paraId="780794EB">
            <w:pPr>
              <w:spacing w:before="51" w:line="210" w:lineRule="auto"/>
              <w:ind w:left="414"/>
              <w:rPr>
                <w:rFonts w:ascii="宋体" w:hAnsi="宋体" w:eastAsia="宋体" w:cs="宋体"/>
                <w:b/>
                <w:bCs/>
                <w:sz w:val="24"/>
                <w:szCs w:val="24"/>
              </w:rPr>
            </w:pPr>
            <w:r>
              <w:rPr>
                <w:rFonts w:ascii="宋体" w:hAnsi="宋体" w:eastAsia="宋体" w:cs="宋体"/>
                <w:b/>
                <w:bCs/>
                <w:spacing w:val="-4"/>
                <w:sz w:val="24"/>
                <w:szCs w:val="24"/>
              </w:rPr>
              <w:t>重点事项内容</w:t>
            </w:r>
          </w:p>
        </w:tc>
        <w:tc>
          <w:tcPr>
            <w:tcW w:w="3598" w:type="dxa"/>
            <w:noWrap w:val="0"/>
            <w:vAlign w:val="top"/>
          </w:tcPr>
          <w:p w14:paraId="10D50301">
            <w:pPr>
              <w:spacing w:before="219" w:line="219" w:lineRule="auto"/>
              <w:ind w:left="1046"/>
              <w:rPr>
                <w:rFonts w:ascii="宋体" w:hAnsi="宋体" w:eastAsia="宋体" w:cs="宋体"/>
                <w:b/>
                <w:bCs/>
                <w:sz w:val="24"/>
                <w:szCs w:val="24"/>
              </w:rPr>
            </w:pPr>
            <w:r>
              <w:rPr>
                <w:rFonts w:ascii="宋体" w:hAnsi="宋体" w:eastAsia="宋体" w:cs="宋体"/>
                <w:b/>
                <w:bCs/>
                <w:spacing w:val="-4"/>
                <w:sz w:val="24"/>
                <w:szCs w:val="24"/>
              </w:rPr>
              <w:t>执法检查依据</w:t>
            </w:r>
          </w:p>
        </w:tc>
        <w:tc>
          <w:tcPr>
            <w:tcW w:w="3046" w:type="dxa"/>
            <w:noWrap w:val="0"/>
            <w:vAlign w:val="top"/>
          </w:tcPr>
          <w:p w14:paraId="4516E27E">
            <w:pPr>
              <w:spacing w:before="75" w:line="220" w:lineRule="auto"/>
              <w:ind w:left="856"/>
              <w:rPr>
                <w:rFonts w:ascii="宋体" w:hAnsi="宋体" w:eastAsia="宋体" w:cs="宋体"/>
                <w:b/>
                <w:bCs/>
                <w:sz w:val="24"/>
                <w:szCs w:val="24"/>
              </w:rPr>
            </w:pPr>
            <w:r>
              <w:rPr>
                <w:rFonts w:ascii="宋体" w:hAnsi="宋体" w:eastAsia="宋体" w:cs="宋体"/>
                <w:b/>
                <w:bCs/>
                <w:spacing w:val="-2"/>
                <w:sz w:val="24"/>
                <w:szCs w:val="24"/>
              </w:rPr>
              <w:t>有关规范性</w:t>
            </w:r>
          </w:p>
          <w:p w14:paraId="37FFCEB7">
            <w:pPr>
              <w:spacing w:before="39" w:line="210" w:lineRule="auto"/>
              <w:ind w:left="639"/>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2987" w:type="dxa"/>
            <w:noWrap w:val="0"/>
            <w:vAlign w:val="top"/>
          </w:tcPr>
          <w:p w14:paraId="455942CF">
            <w:pPr>
              <w:spacing w:before="219" w:line="219" w:lineRule="auto"/>
              <w:ind w:left="971"/>
              <w:rPr>
                <w:rFonts w:ascii="宋体" w:hAnsi="宋体" w:eastAsia="宋体" w:cs="宋体"/>
                <w:b/>
                <w:bCs/>
                <w:sz w:val="24"/>
                <w:szCs w:val="24"/>
              </w:rPr>
            </w:pPr>
            <w:r>
              <w:rPr>
                <w:rFonts w:ascii="宋体" w:hAnsi="宋体" w:eastAsia="宋体" w:cs="宋体"/>
                <w:b/>
                <w:bCs/>
                <w:spacing w:val="-1"/>
                <w:sz w:val="24"/>
                <w:szCs w:val="24"/>
              </w:rPr>
              <w:t>处罚依据</w:t>
            </w:r>
          </w:p>
        </w:tc>
        <w:tc>
          <w:tcPr>
            <w:tcW w:w="1049" w:type="dxa"/>
            <w:noWrap w:val="0"/>
            <w:vAlign w:val="top"/>
          </w:tcPr>
          <w:p w14:paraId="3F18CF2B">
            <w:pPr>
              <w:spacing w:before="222" w:line="221" w:lineRule="auto"/>
              <w:ind w:left="393"/>
              <w:rPr>
                <w:rFonts w:ascii="宋体" w:hAnsi="宋体" w:eastAsia="宋体" w:cs="宋体"/>
                <w:b/>
                <w:bCs/>
                <w:sz w:val="24"/>
                <w:szCs w:val="24"/>
              </w:rPr>
            </w:pPr>
            <w:r>
              <w:rPr>
                <w:rFonts w:ascii="宋体" w:hAnsi="宋体" w:eastAsia="宋体" w:cs="宋体"/>
                <w:b/>
                <w:bCs/>
                <w:spacing w:val="-6"/>
                <w:sz w:val="24"/>
                <w:szCs w:val="24"/>
              </w:rPr>
              <w:t>备注</w:t>
            </w:r>
          </w:p>
        </w:tc>
      </w:tr>
      <w:tr w14:paraId="43F59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5" w:hRule="atLeast"/>
          <w:jc w:val="center"/>
        </w:trPr>
        <w:tc>
          <w:tcPr>
            <w:tcW w:w="864" w:type="dxa"/>
            <w:noWrap w:val="0"/>
            <w:vAlign w:val="center"/>
          </w:tcPr>
          <w:p w14:paraId="127F7DE0">
            <w:pPr>
              <w:jc w:val="center"/>
              <w:rPr>
                <w:rFonts w:hint="eastAsia" w:ascii="Arial" w:eastAsia="宋体"/>
                <w:sz w:val="21"/>
                <w:lang w:val="en-US" w:eastAsia="zh-CN"/>
              </w:rPr>
            </w:pPr>
            <w:r>
              <w:rPr>
                <w:rFonts w:hint="eastAsia" w:ascii="宋体" w:hAnsi="宋体" w:eastAsia="宋体" w:cs="宋体"/>
                <w:sz w:val="24"/>
                <w:szCs w:val="24"/>
                <w:lang w:val="en-US" w:eastAsia="zh-CN"/>
              </w:rPr>
              <w:t>13</w:t>
            </w:r>
          </w:p>
        </w:tc>
        <w:tc>
          <w:tcPr>
            <w:tcW w:w="2228" w:type="dxa"/>
            <w:noWrap w:val="0"/>
            <w:vAlign w:val="top"/>
          </w:tcPr>
          <w:p w14:paraId="3B9186D3">
            <w:pPr>
              <w:spacing w:before="98" w:line="238" w:lineRule="auto"/>
              <w:ind w:left="130" w:right="57" w:firstLine="89"/>
              <w:rPr>
                <w:rFonts w:ascii="宋体" w:hAnsi="宋体" w:eastAsia="宋体" w:cs="宋体"/>
                <w:sz w:val="21"/>
                <w:szCs w:val="21"/>
              </w:rPr>
            </w:pPr>
            <w:r>
              <w:rPr>
                <w:rFonts w:ascii="宋体" w:hAnsi="宋体" w:eastAsia="宋体" w:cs="宋体"/>
                <w:spacing w:val="1"/>
                <w:sz w:val="21"/>
                <w:szCs w:val="21"/>
              </w:rPr>
              <w:t>生产管理人员等从</w:t>
            </w:r>
            <w:r>
              <w:rPr>
                <w:rFonts w:ascii="宋体" w:hAnsi="宋体" w:eastAsia="宋体" w:cs="宋体"/>
                <w:spacing w:val="10"/>
                <w:sz w:val="21"/>
                <w:szCs w:val="21"/>
              </w:rPr>
              <w:t>业人员不具备相应</w:t>
            </w:r>
            <w:r>
              <w:rPr>
                <w:rFonts w:ascii="宋体" w:hAnsi="宋体" w:eastAsia="宋体" w:cs="宋体"/>
                <w:spacing w:val="13"/>
                <w:sz w:val="21"/>
                <w:szCs w:val="21"/>
              </w:rPr>
              <w:t>的安全生产知识和</w:t>
            </w:r>
            <w:r>
              <w:rPr>
                <w:rFonts w:ascii="宋体" w:hAnsi="宋体" w:eastAsia="宋体" w:cs="宋体"/>
                <w:spacing w:val="1"/>
                <w:sz w:val="21"/>
                <w:szCs w:val="21"/>
              </w:rPr>
              <w:t>管理能力(包括涉</w:t>
            </w:r>
          </w:p>
          <w:p w14:paraId="2B642F87">
            <w:pPr>
              <w:spacing w:before="27" w:line="279" w:lineRule="auto"/>
              <w:ind w:left="110" w:firstLine="27"/>
              <w:rPr>
                <w:rFonts w:ascii="宋体" w:hAnsi="宋体" w:eastAsia="宋体" w:cs="宋体"/>
                <w:sz w:val="21"/>
                <w:szCs w:val="21"/>
              </w:rPr>
            </w:pPr>
            <w:r>
              <w:rPr>
                <w:rFonts w:ascii="宋体" w:hAnsi="宋体" w:eastAsia="宋体" w:cs="宋体"/>
                <w:spacing w:val="20"/>
                <w:sz w:val="21"/>
                <w:szCs w:val="21"/>
              </w:rPr>
              <w:t>及“两重点一重大”生产装置和储存设</w:t>
            </w:r>
            <w:r>
              <w:rPr>
                <w:rFonts w:ascii="宋体" w:hAnsi="宋体" w:eastAsia="宋体" w:cs="宋体"/>
                <w:spacing w:val="21"/>
                <w:sz w:val="21"/>
                <w:szCs w:val="21"/>
              </w:rPr>
              <w:t>施的企业，主要负</w:t>
            </w:r>
            <w:r>
              <w:rPr>
                <w:rFonts w:ascii="宋体" w:hAnsi="宋体" w:eastAsia="宋体" w:cs="宋体"/>
                <w:spacing w:val="31"/>
                <w:sz w:val="21"/>
                <w:szCs w:val="21"/>
              </w:rPr>
              <w:t>责人和主管生产、</w:t>
            </w:r>
            <w:r>
              <w:rPr>
                <w:rFonts w:ascii="宋体" w:hAnsi="宋体" w:eastAsia="宋体" w:cs="宋体"/>
                <w:spacing w:val="20"/>
                <w:sz w:val="21"/>
                <w:szCs w:val="21"/>
              </w:rPr>
              <w:t>设备、技术、安全的负责人及安全生产管理人员不具备化学、化工、安全等相关专业大专及以上学历或化工类中级及以上职称等</w:t>
            </w:r>
            <w:r>
              <w:rPr>
                <w:rFonts w:ascii="宋体" w:hAnsi="宋体" w:eastAsia="宋体" w:cs="宋体"/>
                <w:spacing w:val="23"/>
                <w:sz w:val="21"/>
                <w:szCs w:val="21"/>
              </w:rPr>
              <w:t>相关情形)。</w:t>
            </w:r>
          </w:p>
        </w:tc>
        <w:tc>
          <w:tcPr>
            <w:tcW w:w="3598" w:type="dxa"/>
            <w:noWrap w:val="0"/>
            <w:vAlign w:val="top"/>
          </w:tcPr>
          <w:p w14:paraId="3CEBA146">
            <w:pPr>
              <w:spacing w:before="77" w:line="253" w:lineRule="auto"/>
              <w:ind w:left="162"/>
              <w:jc w:val="both"/>
              <w:rPr>
                <w:rFonts w:ascii="宋体" w:hAnsi="宋体" w:eastAsia="宋体" w:cs="宋体"/>
                <w:sz w:val="21"/>
                <w:szCs w:val="21"/>
              </w:rPr>
            </w:pPr>
            <w:r>
              <w:rPr>
                <w:rFonts w:ascii="宋体" w:hAnsi="宋体" w:eastAsia="宋体" w:cs="宋体"/>
                <w:spacing w:val="6"/>
                <w:sz w:val="21"/>
                <w:szCs w:val="21"/>
              </w:rPr>
              <w:t>产法》第二十七条第一款生产</w:t>
            </w:r>
            <w:r>
              <w:rPr>
                <w:rFonts w:ascii="宋体" w:hAnsi="宋体" w:eastAsia="宋体" w:cs="宋体"/>
                <w:spacing w:val="19"/>
                <w:sz w:val="21"/>
                <w:szCs w:val="21"/>
              </w:rPr>
              <w:t>经营单位的主要负责人和安全生产管理人员必须具备与本单</w:t>
            </w:r>
            <w:r>
              <w:rPr>
                <w:rFonts w:ascii="宋体" w:hAnsi="宋体" w:eastAsia="宋体" w:cs="宋体"/>
                <w:spacing w:val="18"/>
                <w:sz w:val="21"/>
                <w:szCs w:val="21"/>
              </w:rPr>
              <w:t>位所从事的生产经营活动相应</w:t>
            </w:r>
            <w:r>
              <w:rPr>
                <w:rFonts w:ascii="宋体" w:hAnsi="宋体" w:eastAsia="宋体" w:cs="宋体"/>
                <w:spacing w:val="16"/>
                <w:sz w:val="21"/>
                <w:szCs w:val="21"/>
              </w:rPr>
              <w:t>的安全生产知识和管理能力。</w:t>
            </w:r>
          </w:p>
          <w:p w14:paraId="1B0B7844">
            <w:pPr>
              <w:spacing w:before="42" w:line="254" w:lineRule="auto"/>
              <w:ind w:left="162" w:firstLine="415"/>
              <w:jc w:val="both"/>
              <w:rPr>
                <w:rFonts w:ascii="宋体" w:hAnsi="宋体" w:eastAsia="宋体" w:cs="宋体"/>
                <w:sz w:val="21"/>
                <w:szCs w:val="21"/>
              </w:rPr>
            </w:pPr>
            <w:r>
              <w:rPr>
                <w:rFonts w:ascii="宋体" w:hAnsi="宋体" w:eastAsia="宋体" w:cs="宋体"/>
                <w:spacing w:val="-9"/>
                <w:sz w:val="21"/>
                <w:szCs w:val="21"/>
              </w:rPr>
              <w:t>2.《危险化学品生产企业安</w:t>
            </w:r>
            <w:r>
              <w:rPr>
                <w:rFonts w:ascii="宋体" w:hAnsi="宋体" w:eastAsia="宋体" w:cs="宋体"/>
                <w:spacing w:val="4"/>
                <w:sz w:val="21"/>
                <w:szCs w:val="21"/>
              </w:rPr>
              <w:t>全生产许可证实施办法》(国家</w:t>
            </w:r>
            <w:r>
              <w:rPr>
                <w:rFonts w:ascii="宋体" w:hAnsi="宋体" w:eastAsia="宋体" w:cs="宋体"/>
                <w:spacing w:val="19"/>
                <w:sz w:val="21"/>
                <w:szCs w:val="21"/>
              </w:rPr>
              <w:t>安全监管总局令第41号)第十</w:t>
            </w:r>
            <w:r>
              <w:rPr>
                <w:rFonts w:ascii="宋体" w:hAnsi="宋体" w:eastAsia="宋体" w:cs="宋体"/>
                <w:spacing w:val="9"/>
                <w:sz w:val="21"/>
                <w:szCs w:val="21"/>
              </w:rPr>
              <w:t>六条第二款企业分管安全负</w:t>
            </w:r>
            <w:r>
              <w:rPr>
                <w:rFonts w:ascii="宋体" w:hAnsi="宋体" w:eastAsia="宋体" w:cs="宋体"/>
                <w:sz w:val="21"/>
                <w:szCs w:val="21"/>
              </w:rPr>
              <w:t>责人、分管生产负责人、分管技</w:t>
            </w:r>
            <w:r>
              <w:rPr>
                <w:rFonts w:ascii="宋体" w:hAnsi="宋体" w:eastAsia="宋体" w:cs="宋体"/>
                <w:spacing w:val="13"/>
                <w:sz w:val="21"/>
                <w:szCs w:val="21"/>
              </w:rPr>
              <w:t>术负责人应当具有一定的化工</w:t>
            </w:r>
            <w:r>
              <w:rPr>
                <w:rFonts w:ascii="宋体" w:hAnsi="宋体" w:eastAsia="宋体" w:cs="宋体"/>
                <w:spacing w:val="7"/>
                <w:sz w:val="21"/>
                <w:szCs w:val="21"/>
              </w:rPr>
              <w:t>专业知识或者相应的专业学历，</w:t>
            </w:r>
            <w:r>
              <w:rPr>
                <w:rFonts w:ascii="宋体" w:hAnsi="宋体" w:eastAsia="宋体" w:cs="宋体"/>
                <w:spacing w:val="11"/>
                <w:sz w:val="21"/>
                <w:szCs w:val="21"/>
              </w:rPr>
              <w:t>专职安全生产管理人员应当具</w:t>
            </w:r>
            <w:r>
              <w:rPr>
                <w:rFonts w:ascii="宋体" w:hAnsi="宋体" w:eastAsia="宋体" w:cs="宋体"/>
                <w:spacing w:val="2"/>
                <w:sz w:val="21"/>
                <w:szCs w:val="21"/>
              </w:rPr>
              <w:t>备国民教育化工化学类(或安全</w:t>
            </w:r>
            <w:r>
              <w:rPr>
                <w:rFonts w:ascii="宋体" w:hAnsi="宋体" w:eastAsia="宋体" w:cs="宋体"/>
                <w:spacing w:val="4"/>
                <w:sz w:val="21"/>
                <w:szCs w:val="21"/>
              </w:rPr>
              <w:t>工程)中等职业教育以上学历或</w:t>
            </w:r>
            <w:r>
              <w:rPr>
                <w:rFonts w:ascii="宋体" w:hAnsi="宋体" w:eastAsia="宋体" w:cs="宋体"/>
                <w:spacing w:val="13"/>
                <w:sz w:val="21"/>
                <w:szCs w:val="21"/>
              </w:rPr>
              <w:t>者化工化学类中级以上专业技</w:t>
            </w:r>
            <w:r>
              <w:rPr>
                <w:rFonts w:ascii="宋体" w:hAnsi="宋体" w:eastAsia="宋体" w:cs="宋体"/>
                <w:spacing w:val="25"/>
                <w:sz w:val="21"/>
                <w:szCs w:val="21"/>
              </w:rPr>
              <w:t>术职称。</w:t>
            </w:r>
          </w:p>
          <w:p w14:paraId="24478C18">
            <w:pPr>
              <w:spacing w:before="49" w:line="245" w:lineRule="auto"/>
              <w:ind w:left="162" w:right="32" w:firstLine="410"/>
              <w:jc w:val="both"/>
              <w:rPr>
                <w:rFonts w:ascii="宋体" w:hAnsi="宋体" w:eastAsia="宋体" w:cs="宋体"/>
                <w:sz w:val="21"/>
                <w:szCs w:val="21"/>
              </w:rPr>
            </w:pPr>
            <w:r>
              <w:rPr>
                <w:rFonts w:ascii="宋体" w:hAnsi="宋体" w:eastAsia="宋体" w:cs="宋体"/>
                <w:spacing w:val="-1"/>
                <w:sz w:val="21"/>
                <w:szCs w:val="21"/>
              </w:rPr>
              <w:t>3.《特种作业人员安全技术</w:t>
            </w:r>
            <w:r>
              <w:rPr>
                <w:rFonts w:ascii="宋体" w:hAnsi="宋体" w:eastAsia="宋体" w:cs="宋体"/>
                <w:spacing w:val="13"/>
                <w:sz w:val="21"/>
                <w:szCs w:val="21"/>
              </w:rPr>
              <w:t>培训考核管理规定》(国家安全</w:t>
            </w:r>
            <w:r>
              <w:rPr>
                <w:rFonts w:ascii="宋体" w:hAnsi="宋体" w:eastAsia="宋体" w:cs="宋体"/>
                <w:spacing w:val="46"/>
                <w:sz w:val="21"/>
                <w:szCs w:val="21"/>
              </w:rPr>
              <w:t>监管总局令第30号)第四条</w:t>
            </w:r>
            <w:r>
              <w:rPr>
                <w:rFonts w:ascii="宋体" w:hAnsi="宋体" w:eastAsia="宋体" w:cs="宋体"/>
                <w:spacing w:val="20"/>
                <w:sz w:val="21"/>
                <w:szCs w:val="21"/>
              </w:rPr>
              <w:t>特种作业人员应当符合下列条件：(一)年满18周岁，且不超</w:t>
            </w:r>
            <w:r>
              <w:rPr>
                <w:rFonts w:ascii="宋体" w:hAnsi="宋体" w:eastAsia="宋体" w:cs="宋体"/>
                <w:spacing w:val="21"/>
                <w:sz w:val="21"/>
                <w:szCs w:val="21"/>
              </w:rPr>
              <w:t>过国家法定退休年龄；(二)经</w:t>
            </w:r>
          </w:p>
        </w:tc>
        <w:tc>
          <w:tcPr>
            <w:tcW w:w="3046" w:type="dxa"/>
            <w:noWrap w:val="0"/>
            <w:vAlign w:val="top"/>
          </w:tcPr>
          <w:p w14:paraId="6F0BA057">
            <w:pPr>
              <w:spacing w:before="92" w:line="246" w:lineRule="auto"/>
              <w:ind w:left="165" w:right="27"/>
              <w:jc w:val="both"/>
              <w:rPr>
                <w:rFonts w:ascii="宋体" w:hAnsi="宋体" w:eastAsia="宋体" w:cs="宋体"/>
                <w:sz w:val="21"/>
                <w:szCs w:val="21"/>
              </w:rPr>
            </w:pPr>
            <w:r>
              <w:rPr>
                <w:rFonts w:ascii="宋体" w:hAnsi="宋体" w:eastAsia="宋体" w:cs="宋体"/>
                <w:sz w:val="21"/>
                <w:szCs w:val="21"/>
              </w:rPr>
              <w:t>国务院办公厅《关于全面</w:t>
            </w:r>
            <w:r>
              <w:rPr>
                <w:rFonts w:ascii="宋体" w:hAnsi="宋体" w:eastAsia="宋体" w:cs="宋体"/>
                <w:spacing w:val="1"/>
                <w:sz w:val="21"/>
                <w:szCs w:val="21"/>
              </w:rPr>
              <w:t>加强危险化学品安全生产工作的意见》(十一)加强专业人才培养。实施安全</w:t>
            </w:r>
            <w:r>
              <w:rPr>
                <w:rFonts w:ascii="宋体" w:hAnsi="宋体" w:eastAsia="宋体" w:cs="宋体"/>
                <w:sz w:val="21"/>
                <w:szCs w:val="21"/>
              </w:rPr>
              <w:t>技能提升行动计划，将化工、危险化学品企业从业</w:t>
            </w:r>
            <w:r>
              <w:rPr>
                <w:rFonts w:ascii="宋体" w:hAnsi="宋体" w:eastAsia="宋体" w:cs="宋体"/>
                <w:spacing w:val="1"/>
                <w:sz w:val="21"/>
                <w:szCs w:val="21"/>
              </w:rPr>
              <w:t>人员作为高危行业领域职</w:t>
            </w:r>
            <w:r>
              <w:rPr>
                <w:rFonts w:ascii="宋体" w:hAnsi="宋体" w:eastAsia="宋体" w:cs="宋体"/>
                <w:spacing w:val="-1"/>
                <w:sz w:val="21"/>
                <w:szCs w:val="21"/>
              </w:rPr>
              <w:t>业技能提升行动的重点群体。危险化学品生产企业</w:t>
            </w:r>
            <w:r>
              <w:rPr>
                <w:rFonts w:ascii="宋体" w:hAnsi="宋体" w:eastAsia="宋体" w:cs="宋体"/>
                <w:spacing w:val="1"/>
                <w:sz w:val="21"/>
                <w:szCs w:val="21"/>
              </w:rPr>
              <w:t>主要负责人、分管安全生</w:t>
            </w:r>
            <w:r>
              <w:rPr>
                <w:rFonts w:ascii="宋体" w:hAnsi="宋体" w:eastAsia="宋体" w:cs="宋体"/>
                <w:spacing w:val="-1"/>
                <w:sz w:val="21"/>
                <w:szCs w:val="21"/>
              </w:rPr>
              <w:t>产负责人必须具有化工类</w:t>
            </w:r>
            <w:r>
              <w:rPr>
                <w:rFonts w:ascii="宋体" w:hAnsi="宋体" w:eastAsia="宋体" w:cs="宋体"/>
                <w:spacing w:val="1"/>
                <w:sz w:val="21"/>
                <w:szCs w:val="21"/>
              </w:rPr>
              <w:t>专业大专及以上学历和一定实践经验，专职安全管理人员至少要具备中级及以上化工专业技术职称或</w:t>
            </w:r>
            <w:r>
              <w:rPr>
                <w:rFonts w:ascii="宋体" w:hAnsi="宋体" w:eastAsia="宋体" w:cs="宋体"/>
                <w:spacing w:val="-1"/>
                <w:sz w:val="21"/>
                <w:szCs w:val="21"/>
              </w:rPr>
              <w:t>化工安全类注册安全工程</w:t>
            </w:r>
            <w:r>
              <w:rPr>
                <w:rFonts w:ascii="宋体" w:hAnsi="宋体" w:eastAsia="宋体" w:cs="宋体"/>
                <w:sz w:val="21"/>
                <w:szCs w:val="21"/>
              </w:rPr>
              <w:t>师资格，新招一线岗位从</w:t>
            </w:r>
            <w:r>
              <w:rPr>
                <w:rFonts w:ascii="宋体" w:hAnsi="宋体" w:eastAsia="宋体" w:cs="宋体"/>
                <w:spacing w:val="-1"/>
                <w:sz w:val="21"/>
                <w:szCs w:val="21"/>
              </w:rPr>
              <w:t>业人员必须具有化工职业</w:t>
            </w:r>
            <w:r>
              <w:rPr>
                <w:rFonts w:ascii="宋体" w:hAnsi="宋体" w:eastAsia="宋体" w:cs="宋体"/>
                <w:spacing w:val="1"/>
                <w:sz w:val="21"/>
                <w:szCs w:val="21"/>
              </w:rPr>
              <w:t>教育背景或普通高中及以</w:t>
            </w:r>
            <w:r>
              <w:rPr>
                <w:rFonts w:ascii="宋体" w:hAnsi="宋体" w:eastAsia="宋体" w:cs="宋体"/>
                <w:spacing w:val="2"/>
                <w:sz w:val="21"/>
                <w:szCs w:val="21"/>
              </w:rPr>
              <w:t>上学历并接受危险化学品</w:t>
            </w:r>
            <w:r>
              <w:rPr>
                <w:rFonts w:ascii="宋体" w:hAnsi="宋体" w:eastAsia="宋体" w:cs="宋体"/>
                <w:spacing w:val="1"/>
                <w:sz w:val="21"/>
                <w:szCs w:val="21"/>
              </w:rPr>
              <w:t>安全培训，经考核合格后</w:t>
            </w:r>
            <w:r>
              <w:rPr>
                <w:rFonts w:ascii="宋体" w:hAnsi="宋体" w:eastAsia="宋体" w:cs="宋体"/>
                <w:spacing w:val="24"/>
                <w:sz w:val="21"/>
                <w:szCs w:val="21"/>
              </w:rPr>
              <w:t>方能上岗。</w:t>
            </w:r>
          </w:p>
          <w:p w14:paraId="1AF2523D">
            <w:pPr>
              <w:spacing w:before="14" w:line="187" w:lineRule="auto"/>
              <w:ind w:left="575"/>
              <w:rPr>
                <w:rFonts w:ascii="宋体" w:hAnsi="宋体" w:eastAsia="宋体" w:cs="宋体"/>
                <w:sz w:val="21"/>
                <w:szCs w:val="21"/>
              </w:rPr>
            </w:pPr>
            <w:r>
              <w:rPr>
                <w:rFonts w:ascii="宋体" w:hAnsi="宋体" w:eastAsia="宋体" w:cs="宋体"/>
                <w:spacing w:val="-1"/>
                <w:sz w:val="21"/>
                <w:szCs w:val="21"/>
              </w:rPr>
              <w:t>2.《危险化学品安全</w:t>
            </w:r>
          </w:p>
        </w:tc>
        <w:tc>
          <w:tcPr>
            <w:tcW w:w="2987" w:type="dxa"/>
            <w:noWrap w:val="0"/>
            <w:vAlign w:val="top"/>
          </w:tcPr>
          <w:p w14:paraId="1B8ACF71">
            <w:pPr>
              <w:spacing w:before="104" w:line="254" w:lineRule="auto"/>
              <w:ind w:left="177"/>
              <w:jc w:val="both"/>
              <w:rPr>
                <w:rFonts w:ascii="宋体" w:hAnsi="宋体" w:eastAsia="宋体" w:cs="宋体"/>
                <w:sz w:val="21"/>
                <w:szCs w:val="21"/>
              </w:rPr>
            </w:pPr>
            <w:r>
              <w:rPr>
                <w:rFonts w:ascii="宋体" w:hAnsi="宋体" w:eastAsia="宋体" w:cs="宋体"/>
                <w:spacing w:val="2"/>
                <w:sz w:val="21"/>
                <w:szCs w:val="21"/>
              </w:rPr>
              <w:t>安全生产法》第九十七条</w:t>
            </w:r>
            <w:r>
              <w:rPr>
                <w:rFonts w:ascii="宋体" w:hAnsi="宋体" w:eastAsia="宋体" w:cs="宋体"/>
                <w:spacing w:val="15"/>
                <w:sz w:val="21"/>
                <w:szCs w:val="21"/>
              </w:rPr>
              <w:t>第七项生产经营单位</w:t>
            </w:r>
            <w:r>
              <w:rPr>
                <w:rFonts w:ascii="宋体" w:hAnsi="宋体" w:eastAsia="宋体" w:cs="宋体"/>
                <w:spacing w:val="2"/>
                <w:sz w:val="21"/>
                <w:szCs w:val="21"/>
              </w:rPr>
              <w:t>有下列行为之一的，责令限期改正，处十万元以下</w:t>
            </w:r>
            <w:r>
              <w:rPr>
                <w:rFonts w:ascii="宋体" w:hAnsi="宋体" w:eastAsia="宋体" w:cs="宋体"/>
                <w:spacing w:val="11"/>
                <w:sz w:val="21"/>
                <w:szCs w:val="21"/>
              </w:rPr>
              <w:t>的罚款；逾期未改正的，</w:t>
            </w:r>
            <w:r>
              <w:rPr>
                <w:rFonts w:ascii="宋体" w:hAnsi="宋体" w:eastAsia="宋体" w:cs="宋体"/>
                <w:spacing w:val="2"/>
                <w:sz w:val="21"/>
                <w:szCs w:val="21"/>
              </w:rPr>
              <w:t>责令停产停业整顿，并处</w:t>
            </w:r>
            <w:r>
              <w:rPr>
                <w:rFonts w:ascii="宋体" w:hAnsi="宋体" w:eastAsia="宋体" w:cs="宋体"/>
                <w:spacing w:val="22"/>
                <w:sz w:val="21"/>
                <w:szCs w:val="21"/>
              </w:rPr>
              <w:t>十万元以上二十万元以</w:t>
            </w:r>
            <w:r>
              <w:rPr>
                <w:rFonts w:ascii="宋体" w:hAnsi="宋体" w:eastAsia="宋体" w:cs="宋体"/>
                <w:spacing w:val="2"/>
                <w:sz w:val="21"/>
                <w:szCs w:val="21"/>
              </w:rPr>
              <w:t>下的罚款，对其直接负责</w:t>
            </w:r>
            <w:r>
              <w:rPr>
                <w:rFonts w:ascii="宋体" w:hAnsi="宋体" w:eastAsia="宋体" w:cs="宋体"/>
                <w:spacing w:val="19"/>
                <w:sz w:val="21"/>
                <w:szCs w:val="21"/>
              </w:rPr>
              <w:t>的主管人员和其他直接</w:t>
            </w:r>
            <w:r>
              <w:rPr>
                <w:rFonts w:ascii="宋体" w:hAnsi="宋体" w:eastAsia="宋体" w:cs="宋体"/>
                <w:spacing w:val="21"/>
                <w:sz w:val="21"/>
                <w:szCs w:val="21"/>
              </w:rPr>
              <w:t>责任人员处二万元以上</w:t>
            </w:r>
            <w:r>
              <w:rPr>
                <w:rFonts w:ascii="宋体" w:hAnsi="宋体" w:eastAsia="宋体" w:cs="宋体"/>
                <w:spacing w:val="14"/>
                <w:sz w:val="21"/>
                <w:szCs w:val="21"/>
              </w:rPr>
              <w:t>五万元以下的罚款：</w:t>
            </w:r>
          </w:p>
          <w:p w14:paraId="4FEF04E6">
            <w:pPr>
              <w:spacing w:before="37" w:line="239" w:lineRule="auto"/>
              <w:ind w:left="177" w:right="45" w:firstLine="549"/>
              <w:jc w:val="both"/>
              <w:rPr>
                <w:rFonts w:ascii="宋体" w:hAnsi="宋体" w:eastAsia="宋体" w:cs="宋体"/>
                <w:sz w:val="21"/>
                <w:szCs w:val="21"/>
              </w:rPr>
            </w:pPr>
            <w:r>
              <w:rPr>
                <w:rFonts w:ascii="宋体" w:hAnsi="宋体" w:eastAsia="宋体" w:cs="宋体"/>
                <w:spacing w:val="12"/>
                <w:sz w:val="21"/>
                <w:szCs w:val="21"/>
              </w:rPr>
              <w:t>(七)特种作业人员</w:t>
            </w:r>
            <w:r>
              <w:rPr>
                <w:rFonts w:ascii="宋体" w:hAnsi="宋体" w:eastAsia="宋体" w:cs="宋体"/>
                <w:spacing w:val="21"/>
                <w:sz w:val="21"/>
                <w:szCs w:val="21"/>
              </w:rPr>
              <w:t>未按照规定经专门的安全作业培训并取得相应</w:t>
            </w:r>
            <w:r>
              <w:rPr>
                <w:rFonts w:ascii="宋体" w:hAnsi="宋体" w:eastAsia="宋体" w:cs="宋体"/>
                <w:spacing w:val="13"/>
                <w:sz w:val="21"/>
                <w:szCs w:val="21"/>
              </w:rPr>
              <w:t>资格，上岗作业的。</w:t>
            </w:r>
          </w:p>
        </w:tc>
        <w:tc>
          <w:tcPr>
            <w:tcW w:w="1049" w:type="dxa"/>
            <w:noWrap w:val="0"/>
            <w:vAlign w:val="top"/>
          </w:tcPr>
          <w:p w14:paraId="56D59169">
            <w:pPr>
              <w:spacing w:before="72" w:line="248" w:lineRule="auto"/>
              <w:ind w:left="110" w:right="56" w:firstLine="89"/>
              <w:jc w:val="both"/>
              <w:rPr>
                <w:rFonts w:ascii="宋体" w:hAnsi="宋体" w:eastAsia="宋体" w:cs="宋体"/>
                <w:sz w:val="21"/>
                <w:szCs w:val="21"/>
              </w:rPr>
            </w:pPr>
            <w:r>
              <w:rPr>
                <w:rFonts w:ascii="宋体" w:hAnsi="宋体" w:eastAsia="宋体" w:cs="宋体"/>
                <w:spacing w:val="2"/>
                <w:sz w:val="21"/>
                <w:szCs w:val="21"/>
              </w:rPr>
              <w:t>品安全从</w:t>
            </w:r>
            <w:r>
              <w:rPr>
                <w:rFonts w:ascii="宋体" w:hAnsi="宋体" w:eastAsia="宋体" w:cs="宋体"/>
                <w:spacing w:val="26"/>
                <w:sz w:val="21"/>
                <w:szCs w:val="21"/>
              </w:rPr>
              <w:t>业人员资</w:t>
            </w:r>
            <w:r>
              <w:rPr>
                <w:rFonts w:ascii="宋体" w:hAnsi="宋体" w:eastAsia="宋体" w:cs="宋体"/>
                <w:spacing w:val="25"/>
                <w:sz w:val="21"/>
                <w:szCs w:val="21"/>
              </w:rPr>
              <w:t>质学历管</w:t>
            </w:r>
            <w:r>
              <w:rPr>
                <w:rFonts w:ascii="宋体" w:hAnsi="宋体" w:eastAsia="宋体" w:cs="宋体"/>
                <w:sz w:val="21"/>
                <w:szCs w:val="21"/>
              </w:rPr>
              <w:t>理</w:t>
            </w:r>
          </w:p>
        </w:tc>
      </w:tr>
    </w:tbl>
    <w:p w14:paraId="74BD6614">
      <w:pPr>
        <w:rPr>
          <w:rFonts w:ascii="Arial"/>
          <w:sz w:val="21"/>
        </w:rPr>
      </w:pPr>
    </w:p>
    <w:p w14:paraId="079DFEDD">
      <w:pPr>
        <w:sectPr>
          <w:pgSz w:w="16840" w:h="11900"/>
          <w:pgMar w:top="1440" w:right="1080" w:bottom="1440" w:left="1080" w:header="0" w:footer="0" w:gutter="0"/>
          <w:pgNumType w:fmt="decimal"/>
          <w:cols w:space="720" w:num="1"/>
        </w:sectPr>
      </w:pPr>
    </w:p>
    <w:p w14:paraId="6CFFF7D2"/>
    <w:p w14:paraId="198E955B"/>
    <w:p w14:paraId="59305CFC">
      <w:pPr>
        <w:spacing w:line="16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28"/>
        <w:gridCol w:w="3517"/>
        <w:gridCol w:w="3612"/>
        <w:gridCol w:w="2094"/>
        <w:gridCol w:w="1254"/>
      </w:tblGrid>
      <w:tr w14:paraId="0AED9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74" w:type="dxa"/>
            <w:noWrap w:val="0"/>
            <w:vAlign w:val="top"/>
          </w:tcPr>
          <w:p w14:paraId="47FE91FD">
            <w:pPr>
              <w:spacing w:before="22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28" w:type="dxa"/>
            <w:noWrap w:val="0"/>
            <w:vAlign w:val="top"/>
          </w:tcPr>
          <w:p w14:paraId="145E8A09">
            <w:pPr>
              <w:spacing w:before="91" w:line="219" w:lineRule="auto"/>
              <w:ind w:left="624"/>
              <w:rPr>
                <w:rFonts w:ascii="宋体" w:hAnsi="宋体" w:eastAsia="宋体" w:cs="宋体"/>
                <w:b/>
                <w:bCs/>
                <w:sz w:val="24"/>
                <w:szCs w:val="24"/>
              </w:rPr>
            </w:pPr>
            <w:r>
              <w:rPr>
                <w:rFonts w:ascii="宋体" w:hAnsi="宋体" w:eastAsia="宋体" w:cs="宋体"/>
                <w:b/>
                <w:bCs/>
                <w:spacing w:val="-5"/>
                <w:sz w:val="24"/>
                <w:szCs w:val="24"/>
              </w:rPr>
              <w:t>执法检查</w:t>
            </w:r>
          </w:p>
          <w:p w14:paraId="21EB936C">
            <w:pPr>
              <w:spacing w:before="45" w:line="194" w:lineRule="auto"/>
              <w:ind w:left="384"/>
              <w:rPr>
                <w:rFonts w:ascii="宋体" w:hAnsi="宋体" w:eastAsia="宋体" w:cs="宋体"/>
                <w:b/>
                <w:bCs/>
                <w:sz w:val="24"/>
                <w:szCs w:val="24"/>
              </w:rPr>
            </w:pPr>
            <w:r>
              <w:rPr>
                <w:rFonts w:ascii="宋体" w:hAnsi="宋体" w:eastAsia="宋体" w:cs="宋体"/>
                <w:b/>
                <w:bCs/>
                <w:spacing w:val="-4"/>
                <w:sz w:val="24"/>
                <w:szCs w:val="24"/>
              </w:rPr>
              <w:t>重点事项内容</w:t>
            </w:r>
          </w:p>
        </w:tc>
        <w:tc>
          <w:tcPr>
            <w:tcW w:w="3517" w:type="dxa"/>
            <w:noWrap w:val="0"/>
            <w:vAlign w:val="top"/>
          </w:tcPr>
          <w:p w14:paraId="5347A35F">
            <w:pPr>
              <w:spacing w:before="223" w:line="219" w:lineRule="auto"/>
              <w:ind w:left="1063"/>
              <w:rPr>
                <w:rFonts w:ascii="宋体" w:hAnsi="宋体" w:eastAsia="宋体" w:cs="宋体"/>
                <w:b/>
                <w:bCs/>
                <w:sz w:val="24"/>
                <w:szCs w:val="24"/>
              </w:rPr>
            </w:pPr>
            <w:r>
              <w:rPr>
                <w:rFonts w:ascii="宋体" w:hAnsi="宋体" w:eastAsia="宋体" w:cs="宋体"/>
                <w:b/>
                <w:bCs/>
                <w:spacing w:val="2"/>
                <w:sz w:val="24"/>
                <w:szCs w:val="24"/>
              </w:rPr>
              <w:t>执法检查依据</w:t>
            </w:r>
          </w:p>
        </w:tc>
        <w:tc>
          <w:tcPr>
            <w:tcW w:w="3612" w:type="dxa"/>
            <w:noWrap w:val="0"/>
            <w:vAlign w:val="top"/>
          </w:tcPr>
          <w:p w14:paraId="1372E2B0">
            <w:pPr>
              <w:spacing w:before="95" w:line="220" w:lineRule="auto"/>
              <w:ind w:left="866"/>
              <w:rPr>
                <w:rFonts w:ascii="宋体" w:hAnsi="宋体" w:eastAsia="宋体" w:cs="宋体"/>
                <w:b/>
                <w:bCs/>
                <w:sz w:val="24"/>
                <w:szCs w:val="24"/>
              </w:rPr>
            </w:pPr>
            <w:r>
              <w:rPr>
                <w:rFonts w:ascii="宋体" w:hAnsi="宋体" w:eastAsia="宋体" w:cs="宋体"/>
                <w:b/>
                <w:bCs/>
                <w:spacing w:val="-2"/>
                <w:sz w:val="24"/>
                <w:szCs w:val="24"/>
              </w:rPr>
              <w:t>有关规范性</w:t>
            </w:r>
          </w:p>
          <w:p w14:paraId="60299AEF">
            <w:pPr>
              <w:spacing w:before="42" w:line="192" w:lineRule="auto"/>
              <w:ind w:left="62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094" w:type="dxa"/>
            <w:noWrap w:val="0"/>
            <w:vAlign w:val="top"/>
          </w:tcPr>
          <w:p w14:paraId="212F26DE">
            <w:pPr>
              <w:spacing w:before="223" w:line="219" w:lineRule="auto"/>
              <w:ind w:left="938"/>
              <w:rPr>
                <w:rFonts w:ascii="宋体" w:hAnsi="宋体" w:eastAsia="宋体" w:cs="宋体"/>
                <w:b/>
                <w:bCs/>
                <w:sz w:val="24"/>
                <w:szCs w:val="24"/>
              </w:rPr>
            </w:pPr>
            <w:r>
              <w:rPr>
                <w:rFonts w:ascii="宋体" w:hAnsi="宋体" w:eastAsia="宋体" w:cs="宋体"/>
                <w:b/>
                <w:bCs/>
                <w:spacing w:val="3"/>
                <w:sz w:val="24"/>
                <w:szCs w:val="24"/>
              </w:rPr>
              <w:t>处罚依据</w:t>
            </w:r>
          </w:p>
        </w:tc>
        <w:tc>
          <w:tcPr>
            <w:tcW w:w="1254" w:type="dxa"/>
            <w:noWrap w:val="0"/>
            <w:vAlign w:val="top"/>
          </w:tcPr>
          <w:p w14:paraId="4B15D71A">
            <w:pPr>
              <w:spacing w:before="222" w:line="221" w:lineRule="auto"/>
              <w:ind w:left="383"/>
              <w:rPr>
                <w:rFonts w:ascii="宋体" w:hAnsi="宋体" w:eastAsia="宋体" w:cs="宋体"/>
                <w:b/>
                <w:bCs/>
                <w:sz w:val="24"/>
                <w:szCs w:val="24"/>
              </w:rPr>
            </w:pPr>
            <w:r>
              <w:rPr>
                <w:rFonts w:ascii="宋体" w:hAnsi="宋体" w:eastAsia="宋体" w:cs="宋体"/>
                <w:b/>
                <w:bCs/>
                <w:spacing w:val="-6"/>
                <w:sz w:val="24"/>
                <w:szCs w:val="24"/>
              </w:rPr>
              <w:t>备注</w:t>
            </w:r>
          </w:p>
        </w:tc>
      </w:tr>
      <w:tr w14:paraId="5B109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0" w:hRule="atLeast"/>
          <w:jc w:val="center"/>
        </w:trPr>
        <w:tc>
          <w:tcPr>
            <w:tcW w:w="874" w:type="dxa"/>
            <w:noWrap w:val="0"/>
            <w:vAlign w:val="top"/>
          </w:tcPr>
          <w:p w14:paraId="4295CE54">
            <w:pPr>
              <w:rPr>
                <w:rFonts w:ascii="Arial"/>
                <w:sz w:val="21"/>
              </w:rPr>
            </w:pPr>
          </w:p>
        </w:tc>
        <w:tc>
          <w:tcPr>
            <w:tcW w:w="2228" w:type="dxa"/>
            <w:noWrap w:val="0"/>
            <w:vAlign w:val="top"/>
          </w:tcPr>
          <w:p w14:paraId="607DBCE1">
            <w:pPr>
              <w:rPr>
                <w:rFonts w:ascii="Arial"/>
                <w:sz w:val="21"/>
                <w:szCs w:val="21"/>
              </w:rPr>
            </w:pPr>
          </w:p>
        </w:tc>
        <w:tc>
          <w:tcPr>
            <w:tcW w:w="3517" w:type="dxa"/>
            <w:noWrap w:val="0"/>
            <w:vAlign w:val="top"/>
          </w:tcPr>
          <w:p w14:paraId="387EF1F3">
            <w:pPr>
              <w:spacing w:before="121" w:line="253" w:lineRule="auto"/>
              <w:ind w:left="133"/>
              <w:rPr>
                <w:rFonts w:ascii="宋体" w:hAnsi="宋体" w:eastAsia="宋体" w:cs="宋体"/>
                <w:sz w:val="21"/>
                <w:szCs w:val="21"/>
              </w:rPr>
            </w:pPr>
            <w:r>
              <w:rPr>
                <w:rFonts w:ascii="宋体" w:hAnsi="宋体" w:eastAsia="宋体" w:cs="宋体"/>
                <w:spacing w:val="11"/>
                <w:sz w:val="21"/>
                <w:szCs w:val="21"/>
              </w:rPr>
              <w:t>社区或者县级以上医疗机构体</w:t>
            </w:r>
            <w:r>
              <w:rPr>
                <w:rFonts w:ascii="宋体" w:hAnsi="宋体" w:eastAsia="宋体" w:cs="宋体"/>
                <w:spacing w:val="1"/>
                <w:sz w:val="21"/>
                <w:szCs w:val="21"/>
              </w:rPr>
              <w:t>检健康合格，并无妨碍从事相应</w:t>
            </w:r>
            <w:r>
              <w:rPr>
                <w:rFonts w:ascii="宋体" w:hAnsi="宋体" w:eastAsia="宋体" w:cs="宋体"/>
                <w:spacing w:val="2"/>
                <w:sz w:val="21"/>
                <w:szCs w:val="21"/>
              </w:rPr>
              <w:t>特种作业的器质性心脏病、癫痫</w:t>
            </w:r>
            <w:r>
              <w:rPr>
                <w:rFonts w:ascii="宋体" w:hAnsi="宋体" w:eastAsia="宋体" w:cs="宋体"/>
                <w:spacing w:val="-6"/>
                <w:sz w:val="21"/>
                <w:szCs w:val="21"/>
              </w:rPr>
              <w:t>病、美尼尔氏症、眩晕症、癔病、</w:t>
            </w:r>
            <w:r>
              <w:rPr>
                <w:rFonts w:ascii="宋体" w:hAnsi="宋体" w:eastAsia="宋体" w:cs="宋体"/>
                <w:spacing w:val="3"/>
                <w:sz w:val="21"/>
                <w:szCs w:val="21"/>
              </w:rPr>
              <w:t>震颤麻痹症、精神病、痴呆症以</w:t>
            </w:r>
            <w:r>
              <w:rPr>
                <w:rFonts w:ascii="宋体" w:hAnsi="宋体" w:eastAsia="宋体" w:cs="宋体"/>
                <w:spacing w:val="11"/>
                <w:sz w:val="21"/>
                <w:szCs w:val="21"/>
              </w:rPr>
              <w:t>及其他疾病和生理缺陷；(三)</w:t>
            </w:r>
            <w:r>
              <w:rPr>
                <w:rFonts w:ascii="宋体" w:hAnsi="宋体" w:eastAsia="宋体" w:cs="宋体"/>
                <w:spacing w:val="6"/>
                <w:sz w:val="21"/>
                <w:szCs w:val="21"/>
              </w:rPr>
              <w:t>具有初中及以上文化程度；(四)</w:t>
            </w:r>
            <w:r>
              <w:rPr>
                <w:rFonts w:ascii="宋体" w:hAnsi="宋体" w:eastAsia="宋体" w:cs="宋体"/>
                <w:spacing w:val="11"/>
                <w:sz w:val="21"/>
                <w:szCs w:val="21"/>
              </w:rPr>
              <w:t>具有必要的安全技术知识与技能；(五)相应特种作业规定的</w:t>
            </w:r>
            <w:r>
              <w:rPr>
                <w:rFonts w:ascii="宋体" w:hAnsi="宋体" w:eastAsia="宋体" w:cs="宋体"/>
                <w:spacing w:val="25"/>
                <w:sz w:val="21"/>
                <w:szCs w:val="21"/>
              </w:rPr>
              <w:t>其他条件。</w:t>
            </w:r>
          </w:p>
          <w:p w14:paraId="77BC0114">
            <w:pPr>
              <w:spacing w:before="48" w:line="251" w:lineRule="auto"/>
              <w:ind w:left="133" w:firstLine="479"/>
              <w:rPr>
                <w:rFonts w:ascii="宋体" w:hAnsi="宋体" w:eastAsia="宋体" w:cs="宋体"/>
                <w:sz w:val="21"/>
                <w:szCs w:val="21"/>
              </w:rPr>
            </w:pPr>
            <w:r>
              <w:rPr>
                <w:rFonts w:ascii="宋体" w:hAnsi="宋体" w:eastAsia="宋体" w:cs="宋体"/>
                <w:spacing w:val="25"/>
                <w:sz w:val="21"/>
                <w:szCs w:val="21"/>
              </w:rPr>
              <w:t>危险化学品特种作业人员</w:t>
            </w:r>
            <w:r>
              <w:rPr>
                <w:rFonts w:ascii="宋体" w:hAnsi="宋体" w:eastAsia="宋体" w:cs="宋体"/>
                <w:spacing w:val="10"/>
                <w:sz w:val="21"/>
                <w:szCs w:val="21"/>
              </w:rPr>
              <w:t>除符合前款第一项、第二项、第四项和第五项规定的条件外，应</w:t>
            </w:r>
            <w:r>
              <w:rPr>
                <w:rFonts w:ascii="宋体" w:hAnsi="宋体" w:eastAsia="宋体" w:cs="宋体"/>
                <w:spacing w:val="20"/>
                <w:sz w:val="21"/>
                <w:szCs w:val="21"/>
              </w:rPr>
              <w:t>当具备高中或者相当于高中及</w:t>
            </w:r>
            <w:r>
              <w:rPr>
                <w:rFonts w:ascii="宋体" w:hAnsi="宋体" w:eastAsia="宋体" w:cs="宋体"/>
                <w:spacing w:val="26"/>
                <w:sz w:val="21"/>
                <w:szCs w:val="21"/>
              </w:rPr>
              <w:t>以上文化程度。</w:t>
            </w:r>
          </w:p>
        </w:tc>
        <w:tc>
          <w:tcPr>
            <w:tcW w:w="3612" w:type="dxa"/>
            <w:noWrap w:val="0"/>
            <w:vAlign w:val="top"/>
          </w:tcPr>
          <w:p w14:paraId="2361E901">
            <w:pPr>
              <w:tabs>
                <w:tab w:val="left" w:pos="260"/>
              </w:tabs>
              <w:spacing w:before="116" w:line="267" w:lineRule="auto"/>
              <w:ind w:left="125" w:firstLine="19"/>
              <w:jc w:val="right"/>
              <w:rPr>
                <w:rFonts w:ascii="宋体" w:hAnsi="宋体" w:eastAsia="宋体" w:cs="宋体"/>
                <w:sz w:val="21"/>
                <w:szCs w:val="21"/>
              </w:rPr>
            </w:pPr>
            <w:r>
              <w:rPr>
                <w:rFonts w:ascii="宋体" w:hAnsi="宋体" w:eastAsia="宋体" w:cs="宋体"/>
                <w:spacing w:val="8"/>
                <w:sz w:val="21"/>
                <w:szCs w:val="21"/>
              </w:rPr>
              <w:t>专项整治三年行动实施方</w:t>
            </w:r>
            <w:r>
              <w:rPr>
                <w:rFonts w:ascii="宋体" w:hAnsi="宋体" w:eastAsia="宋体" w:cs="宋体"/>
                <w:spacing w:val="20"/>
                <w:sz w:val="21"/>
                <w:szCs w:val="21"/>
              </w:rPr>
              <w:t>案》(安委〔2020〕3号)</w:t>
            </w:r>
            <w:r>
              <w:rPr>
                <w:rFonts w:ascii="宋体" w:hAnsi="宋体" w:eastAsia="宋体" w:cs="宋体"/>
                <w:spacing w:val="16"/>
                <w:sz w:val="21"/>
                <w:szCs w:val="21"/>
              </w:rPr>
              <w:t>自2020年5月起，对涉及</w:t>
            </w:r>
            <w:r>
              <w:rPr>
                <w:rFonts w:ascii="宋体" w:hAnsi="宋体" w:eastAsia="宋体" w:cs="宋体"/>
                <w:sz w:val="21"/>
                <w:szCs w:val="21"/>
              </w:rPr>
              <w:tab/>
            </w:r>
            <w:r>
              <w:rPr>
                <w:rFonts w:ascii="宋体" w:hAnsi="宋体" w:eastAsia="宋体" w:cs="宋体"/>
                <w:spacing w:val="18"/>
                <w:sz w:val="21"/>
                <w:szCs w:val="21"/>
              </w:rPr>
              <w:t>"两重点一重大"生产装</w:t>
            </w:r>
            <w:r>
              <w:rPr>
                <w:rFonts w:ascii="宋体" w:hAnsi="宋体" w:eastAsia="宋体" w:cs="宋体"/>
                <w:spacing w:val="10"/>
                <w:sz w:val="21"/>
                <w:szCs w:val="21"/>
              </w:rPr>
              <w:t>置和储存设施的企业，新</w:t>
            </w:r>
            <w:r>
              <w:rPr>
                <w:rFonts w:ascii="宋体" w:hAnsi="宋体" w:eastAsia="宋体" w:cs="宋体"/>
                <w:spacing w:val="12"/>
                <w:sz w:val="21"/>
                <w:szCs w:val="21"/>
              </w:rPr>
              <w:t>入职的主要负责人和主管生产、设备、技术、安全的负责人及安全生产管理</w:t>
            </w:r>
            <w:r>
              <w:rPr>
                <w:rFonts w:ascii="宋体" w:hAnsi="宋体" w:eastAsia="宋体" w:cs="宋体"/>
                <w:spacing w:val="7"/>
                <w:sz w:val="21"/>
                <w:szCs w:val="21"/>
              </w:rPr>
              <w:t>人员必须具备化学、化工、</w:t>
            </w:r>
            <w:r>
              <w:rPr>
                <w:rFonts w:ascii="宋体" w:hAnsi="宋体" w:eastAsia="宋体" w:cs="宋体"/>
                <w:spacing w:val="13"/>
                <w:sz w:val="21"/>
                <w:szCs w:val="21"/>
              </w:rPr>
              <w:t>安全等相关专业大专及以上学历或化工类中级及以</w:t>
            </w:r>
            <w:r>
              <w:rPr>
                <w:rFonts w:ascii="宋体" w:hAnsi="宋体" w:eastAsia="宋体" w:cs="宋体"/>
                <w:spacing w:val="12"/>
                <w:sz w:val="21"/>
                <w:szCs w:val="21"/>
              </w:rPr>
              <w:t>上职称，新入职的涉及重大危险源、重点监管化工工艺的生产装置、储存设</w:t>
            </w:r>
            <w:r>
              <w:rPr>
                <w:rFonts w:ascii="宋体" w:hAnsi="宋体" w:eastAsia="宋体" w:cs="宋体"/>
                <w:spacing w:val="13"/>
                <w:sz w:val="21"/>
                <w:szCs w:val="21"/>
              </w:rPr>
              <w:t>施操作人员必须具备高中</w:t>
            </w:r>
            <w:r>
              <w:rPr>
                <w:rFonts w:ascii="宋体" w:hAnsi="宋体" w:eastAsia="宋体" w:cs="宋体"/>
                <w:spacing w:val="9"/>
                <w:sz w:val="21"/>
                <w:szCs w:val="21"/>
              </w:rPr>
              <w:t>及以上学历或化工类中等</w:t>
            </w:r>
            <w:r>
              <w:rPr>
                <w:rFonts w:ascii="宋体" w:hAnsi="宋体" w:eastAsia="宋体" w:cs="宋体"/>
                <w:spacing w:val="10"/>
                <w:sz w:val="21"/>
                <w:szCs w:val="21"/>
              </w:rPr>
              <w:t>及以上职业教育水平，新入职的涉及爆炸危险性化学品的生产装置和储存设</w:t>
            </w:r>
          </w:p>
          <w:p w14:paraId="23680E23">
            <w:pPr>
              <w:spacing w:before="48" w:line="229" w:lineRule="auto"/>
              <w:ind w:left="146" w:right="80"/>
              <w:rPr>
                <w:rFonts w:ascii="宋体" w:hAnsi="宋体" w:eastAsia="宋体" w:cs="宋体"/>
                <w:sz w:val="21"/>
                <w:szCs w:val="21"/>
              </w:rPr>
            </w:pPr>
            <w:r>
              <w:rPr>
                <w:rFonts w:ascii="宋体" w:hAnsi="宋体" w:eastAsia="宋体" w:cs="宋体"/>
                <w:spacing w:val="-1"/>
                <w:sz w:val="21"/>
                <w:szCs w:val="21"/>
              </w:rPr>
              <w:t>施的操作人员必须具备化</w:t>
            </w:r>
            <w:r>
              <w:rPr>
                <w:rFonts w:ascii="宋体" w:hAnsi="宋体" w:eastAsia="宋体" w:cs="宋体"/>
                <w:spacing w:val="12"/>
                <w:sz w:val="21"/>
                <w:szCs w:val="21"/>
              </w:rPr>
              <w:t>工类大专及以上学历。</w:t>
            </w:r>
          </w:p>
          <w:p w14:paraId="7F55D89C">
            <w:pPr>
              <w:spacing w:before="36" w:line="220" w:lineRule="auto"/>
              <w:ind w:left="146" w:right="100" w:firstLine="440"/>
              <w:rPr>
                <w:rFonts w:ascii="宋体" w:hAnsi="宋体" w:eastAsia="宋体" w:cs="宋体"/>
                <w:sz w:val="21"/>
                <w:szCs w:val="21"/>
              </w:rPr>
            </w:pPr>
            <w:r>
              <w:rPr>
                <w:rFonts w:ascii="宋体" w:hAnsi="宋体" w:eastAsia="宋体" w:cs="宋体"/>
                <w:spacing w:val="5"/>
                <w:sz w:val="21"/>
                <w:szCs w:val="21"/>
              </w:rPr>
              <w:t>3.《化工(危险化学</w:t>
            </w:r>
            <w:r>
              <w:rPr>
                <w:rFonts w:ascii="宋体" w:hAnsi="宋体" w:eastAsia="宋体" w:cs="宋体"/>
                <w:spacing w:val="17"/>
                <w:sz w:val="21"/>
                <w:szCs w:val="21"/>
              </w:rPr>
              <w:t>品)企业保障生产安全十</w:t>
            </w:r>
          </w:p>
        </w:tc>
        <w:tc>
          <w:tcPr>
            <w:tcW w:w="2094" w:type="dxa"/>
            <w:noWrap w:val="0"/>
            <w:vAlign w:val="top"/>
          </w:tcPr>
          <w:p w14:paraId="6C80172E">
            <w:pPr>
              <w:rPr>
                <w:rFonts w:ascii="Arial"/>
                <w:sz w:val="21"/>
                <w:szCs w:val="21"/>
              </w:rPr>
            </w:pPr>
          </w:p>
        </w:tc>
        <w:tc>
          <w:tcPr>
            <w:tcW w:w="1254" w:type="dxa"/>
            <w:noWrap w:val="0"/>
            <w:vAlign w:val="top"/>
          </w:tcPr>
          <w:p w14:paraId="7B55646E">
            <w:pPr>
              <w:rPr>
                <w:rFonts w:ascii="Arial"/>
                <w:sz w:val="21"/>
                <w:szCs w:val="21"/>
              </w:rPr>
            </w:pPr>
          </w:p>
        </w:tc>
      </w:tr>
    </w:tbl>
    <w:p w14:paraId="281BAE0F">
      <w:pPr>
        <w:rPr>
          <w:rFonts w:ascii="Arial"/>
          <w:sz w:val="21"/>
        </w:rPr>
      </w:pPr>
    </w:p>
    <w:p w14:paraId="48ABD9CD">
      <w:pPr>
        <w:sectPr>
          <w:pgSz w:w="16840" w:h="11900"/>
          <w:pgMar w:top="1440" w:right="1080" w:bottom="1440" w:left="1080" w:header="0" w:footer="0" w:gutter="0"/>
          <w:pgNumType w:fmt="decimal"/>
          <w:cols w:space="720" w:num="1"/>
        </w:sectPr>
      </w:pPr>
    </w:p>
    <w:p w14:paraId="375F6D31"/>
    <w:tbl>
      <w:tblPr>
        <w:tblStyle w:val="12"/>
        <w:tblpPr w:leftFromText="180" w:rightFromText="180" w:vertAnchor="text" w:horzAnchor="page" w:tblpXSpec="center" w:tblpY="21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18"/>
        <w:gridCol w:w="3497"/>
        <w:gridCol w:w="2868"/>
        <w:gridCol w:w="2848"/>
        <w:gridCol w:w="1244"/>
      </w:tblGrid>
      <w:tr w14:paraId="44DDD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74" w:type="dxa"/>
            <w:noWrap w:val="0"/>
            <w:vAlign w:val="top"/>
          </w:tcPr>
          <w:p w14:paraId="000B7279">
            <w:pPr>
              <w:spacing w:before="22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18" w:type="dxa"/>
            <w:noWrap w:val="0"/>
            <w:vAlign w:val="top"/>
          </w:tcPr>
          <w:p w14:paraId="7A6F0B6C">
            <w:pPr>
              <w:spacing w:before="85" w:line="219" w:lineRule="auto"/>
              <w:ind w:left="620"/>
              <w:rPr>
                <w:rFonts w:ascii="宋体" w:hAnsi="宋体" w:eastAsia="宋体" w:cs="宋体"/>
                <w:b/>
                <w:bCs/>
                <w:sz w:val="24"/>
                <w:szCs w:val="24"/>
              </w:rPr>
            </w:pPr>
            <w:r>
              <w:rPr>
                <w:rFonts w:ascii="宋体" w:hAnsi="宋体" w:eastAsia="宋体" w:cs="宋体"/>
                <w:b/>
                <w:bCs/>
                <w:spacing w:val="3"/>
                <w:sz w:val="24"/>
                <w:szCs w:val="24"/>
              </w:rPr>
              <w:t>执法检查</w:t>
            </w:r>
          </w:p>
          <w:p w14:paraId="0AD48FAD">
            <w:pPr>
              <w:spacing w:before="50" w:line="195" w:lineRule="auto"/>
              <w:ind w:left="384"/>
              <w:rPr>
                <w:rFonts w:ascii="宋体" w:hAnsi="宋体" w:eastAsia="宋体" w:cs="宋体"/>
                <w:b/>
                <w:bCs/>
                <w:sz w:val="24"/>
                <w:szCs w:val="24"/>
              </w:rPr>
            </w:pPr>
            <w:r>
              <w:rPr>
                <w:rFonts w:ascii="宋体" w:hAnsi="宋体" w:eastAsia="宋体" w:cs="宋体"/>
                <w:b/>
                <w:bCs/>
                <w:spacing w:val="-4"/>
                <w:sz w:val="24"/>
                <w:szCs w:val="24"/>
              </w:rPr>
              <w:t>重点事项内容</w:t>
            </w:r>
          </w:p>
        </w:tc>
        <w:tc>
          <w:tcPr>
            <w:tcW w:w="3497" w:type="dxa"/>
            <w:noWrap w:val="0"/>
            <w:vAlign w:val="top"/>
          </w:tcPr>
          <w:p w14:paraId="76223DB3">
            <w:pPr>
              <w:spacing w:before="223" w:line="219" w:lineRule="auto"/>
              <w:ind w:left="1023"/>
              <w:rPr>
                <w:rFonts w:ascii="宋体" w:hAnsi="宋体" w:eastAsia="宋体" w:cs="宋体"/>
                <w:b/>
                <w:bCs/>
                <w:sz w:val="24"/>
                <w:szCs w:val="24"/>
              </w:rPr>
            </w:pPr>
            <w:r>
              <w:rPr>
                <w:rFonts w:ascii="宋体" w:hAnsi="宋体" w:eastAsia="宋体" w:cs="宋体"/>
                <w:b/>
                <w:bCs/>
                <w:spacing w:val="5"/>
                <w:sz w:val="24"/>
                <w:szCs w:val="24"/>
              </w:rPr>
              <w:t>执法检查依据</w:t>
            </w:r>
          </w:p>
        </w:tc>
        <w:tc>
          <w:tcPr>
            <w:tcW w:w="2868" w:type="dxa"/>
            <w:noWrap w:val="0"/>
            <w:vAlign w:val="top"/>
          </w:tcPr>
          <w:p w14:paraId="0CCDF574">
            <w:pPr>
              <w:spacing w:before="85" w:line="220" w:lineRule="auto"/>
              <w:ind w:left="835"/>
              <w:rPr>
                <w:rFonts w:ascii="宋体" w:hAnsi="宋体" w:eastAsia="宋体" w:cs="宋体"/>
                <w:b/>
                <w:bCs/>
                <w:sz w:val="24"/>
                <w:szCs w:val="24"/>
              </w:rPr>
            </w:pPr>
            <w:r>
              <w:rPr>
                <w:rFonts w:ascii="宋体" w:hAnsi="宋体" w:eastAsia="宋体" w:cs="宋体"/>
                <w:b/>
                <w:bCs/>
                <w:spacing w:val="-2"/>
                <w:sz w:val="24"/>
                <w:szCs w:val="24"/>
              </w:rPr>
              <w:t>有关规范性</w:t>
            </w:r>
          </w:p>
          <w:p w14:paraId="2077A07B">
            <w:pPr>
              <w:spacing w:before="29" w:line="210" w:lineRule="auto"/>
              <w:ind w:left="609"/>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2848" w:type="dxa"/>
            <w:noWrap w:val="0"/>
            <w:vAlign w:val="top"/>
          </w:tcPr>
          <w:p w14:paraId="18558C1D">
            <w:pPr>
              <w:spacing w:before="223" w:line="219" w:lineRule="auto"/>
              <w:ind w:left="947"/>
              <w:rPr>
                <w:rFonts w:ascii="宋体" w:hAnsi="宋体" w:eastAsia="宋体" w:cs="宋体"/>
                <w:b/>
                <w:bCs/>
                <w:sz w:val="24"/>
                <w:szCs w:val="24"/>
              </w:rPr>
            </w:pPr>
            <w:r>
              <w:rPr>
                <w:rFonts w:ascii="宋体" w:hAnsi="宋体" w:eastAsia="宋体" w:cs="宋体"/>
                <w:b/>
                <w:bCs/>
                <w:spacing w:val="8"/>
                <w:sz w:val="24"/>
                <w:szCs w:val="24"/>
              </w:rPr>
              <w:t>处罚依据</w:t>
            </w:r>
          </w:p>
        </w:tc>
        <w:tc>
          <w:tcPr>
            <w:tcW w:w="1244" w:type="dxa"/>
            <w:noWrap w:val="0"/>
            <w:vAlign w:val="top"/>
          </w:tcPr>
          <w:p w14:paraId="78FCA7FB">
            <w:pPr>
              <w:spacing w:before="222" w:line="221" w:lineRule="auto"/>
              <w:ind w:left="383"/>
              <w:rPr>
                <w:rFonts w:ascii="宋体" w:hAnsi="宋体" w:eastAsia="宋体" w:cs="宋体"/>
                <w:b/>
                <w:bCs/>
                <w:sz w:val="24"/>
                <w:szCs w:val="24"/>
              </w:rPr>
            </w:pPr>
            <w:r>
              <w:rPr>
                <w:rFonts w:ascii="宋体" w:hAnsi="宋体" w:eastAsia="宋体" w:cs="宋体"/>
                <w:b/>
                <w:bCs/>
                <w:spacing w:val="-6"/>
                <w:sz w:val="24"/>
                <w:szCs w:val="24"/>
              </w:rPr>
              <w:t>备注</w:t>
            </w:r>
          </w:p>
        </w:tc>
      </w:tr>
      <w:tr w14:paraId="3523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jc w:val="center"/>
        </w:trPr>
        <w:tc>
          <w:tcPr>
            <w:tcW w:w="874" w:type="dxa"/>
            <w:noWrap w:val="0"/>
            <w:vAlign w:val="top"/>
          </w:tcPr>
          <w:p w14:paraId="6E802EC1">
            <w:pPr>
              <w:rPr>
                <w:rFonts w:ascii="Arial"/>
                <w:sz w:val="21"/>
                <w:szCs w:val="21"/>
              </w:rPr>
            </w:pPr>
          </w:p>
        </w:tc>
        <w:tc>
          <w:tcPr>
            <w:tcW w:w="2218" w:type="dxa"/>
            <w:noWrap w:val="0"/>
            <w:vAlign w:val="top"/>
          </w:tcPr>
          <w:p w14:paraId="2E9EB463">
            <w:pPr>
              <w:rPr>
                <w:rFonts w:ascii="Arial"/>
                <w:sz w:val="21"/>
                <w:szCs w:val="21"/>
              </w:rPr>
            </w:pPr>
          </w:p>
        </w:tc>
        <w:tc>
          <w:tcPr>
            <w:tcW w:w="3497" w:type="dxa"/>
            <w:noWrap w:val="0"/>
            <w:vAlign w:val="top"/>
          </w:tcPr>
          <w:p w14:paraId="0518B2E2">
            <w:pPr>
              <w:rPr>
                <w:rFonts w:ascii="Arial"/>
                <w:sz w:val="21"/>
                <w:szCs w:val="21"/>
              </w:rPr>
            </w:pPr>
          </w:p>
        </w:tc>
        <w:tc>
          <w:tcPr>
            <w:tcW w:w="2868" w:type="dxa"/>
            <w:noWrap w:val="0"/>
            <w:vAlign w:val="top"/>
          </w:tcPr>
          <w:p w14:paraId="3A341F5C">
            <w:pPr>
              <w:spacing w:before="97" w:line="237" w:lineRule="auto"/>
              <w:ind w:left="26" w:right="60" w:firstLine="119"/>
              <w:jc w:val="both"/>
              <w:rPr>
                <w:rFonts w:ascii="宋体" w:hAnsi="宋体" w:eastAsia="宋体" w:cs="宋体"/>
                <w:sz w:val="21"/>
                <w:szCs w:val="21"/>
              </w:rPr>
            </w:pPr>
            <w:r>
              <w:rPr>
                <w:rFonts w:ascii="宋体" w:hAnsi="宋体" w:eastAsia="宋体" w:cs="宋体"/>
                <w:spacing w:val="34"/>
                <w:sz w:val="21"/>
                <w:szCs w:val="21"/>
              </w:rPr>
              <w:t>条规定》(安监总政法</w:t>
            </w:r>
            <w:r>
              <w:rPr>
                <w:rFonts w:ascii="宋体" w:hAnsi="宋体" w:eastAsia="宋体" w:cs="宋体"/>
                <w:spacing w:val="30"/>
                <w:sz w:val="21"/>
                <w:szCs w:val="21"/>
              </w:rPr>
              <w:t>〔2017〕15号)第三条</w:t>
            </w:r>
            <w:r>
              <w:rPr>
                <w:rFonts w:ascii="宋体" w:hAnsi="宋体" w:eastAsia="宋体" w:cs="宋体"/>
                <w:spacing w:val="11"/>
                <w:sz w:val="21"/>
                <w:szCs w:val="21"/>
              </w:rPr>
              <w:t>必须确保从业人员符合录</w:t>
            </w:r>
            <w:r>
              <w:rPr>
                <w:rFonts w:ascii="宋体" w:hAnsi="宋体" w:eastAsia="宋体" w:cs="宋体"/>
                <w:spacing w:val="9"/>
                <w:sz w:val="21"/>
                <w:szCs w:val="21"/>
              </w:rPr>
              <w:t>用条件并培训合格，依法</w:t>
            </w:r>
            <w:r>
              <w:rPr>
                <w:rFonts w:ascii="宋体" w:hAnsi="宋体" w:eastAsia="宋体" w:cs="宋体"/>
                <w:spacing w:val="47"/>
                <w:sz w:val="21"/>
                <w:szCs w:val="21"/>
              </w:rPr>
              <w:t>持证上岗。</w:t>
            </w:r>
          </w:p>
        </w:tc>
        <w:tc>
          <w:tcPr>
            <w:tcW w:w="2848" w:type="dxa"/>
            <w:noWrap w:val="0"/>
            <w:vAlign w:val="top"/>
          </w:tcPr>
          <w:p w14:paraId="316DAFD6">
            <w:pPr>
              <w:rPr>
                <w:rFonts w:ascii="Arial"/>
                <w:sz w:val="21"/>
                <w:szCs w:val="21"/>
              </w:rPr>
            </w:pPr>
          </w:p>
        </w:tc>
        <w:tc>
          <w:tcPr>
            <w:tcW w:w="1244" w:type="dxa"/>
            <w:noWrap w:val="0"/>
            <w:vAlign w:val="top"/>
          </w:tcPr>
          <w:p w14:paraId="75A99B7A">
            <w:pPr>
              <w:rPr>
                <w:rFonts w:ascii="Arial"/>
                <w:sz w:val="21"/>
                <w:szCs w:val="21"/>
              </w:rPr>
            </w:pPr>
          </w:p>
        </w:tc>
      </w:tr>
      <w:tr w14:paraId="6FADF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6" w:hRule="atLeast"/>
          <w:jc w:val="center"/>
        </w:trPr>
        <w:tc>
          <w:tcPr>
            <w:tcW w:w="874" w:type="dxa"/>
            <w:noWrap w:val="0"/>
            <w:vAlign w:val="top"/>
          </w:tcPr>
          <w:p w14:paraId="05BD500C">
            <w:pPr>
              <w:spacing w:line="248" w:lineRule="auto"/>
              <w:rPr>
                <w:rFonts w:ascii="Arial"/>
                <w:sz w:val="21"/>
                <w:szCs w:val="21"/>
              </w:rPr>
            </w:pPr>
          </w:p>
          <w:p w14:paraId="75283D21">
            <w:pPr>
              <w:spacing w:line="249" w:lineRule="auto"/>
              <w:rPr>
                <w:rFonts w:ascii="Arial"/>
                <w:sz w:val="21"/>
                <w:szCs w:val="21"/>
              </w:rPr>
            </w:pPr>
          </w:p>
          <w:p w14:paraId="54937194">
            <w:pPr>
              <w:spacing w:line="249" w:lineRule="auto"/>
              <w:rPr>
                <w:rFonts w:ascii="Arial"/>
                <w:sz w:val="21"/>
                <w:szCs w:val="21"/>
              </w:rPr>
            </w:pPr>
          </w:p>
          <w:p w14:paraId="6B27ADB3">
            <w:pPr>
              <w:spacing w:line="249" w:lineRule="auto"/>
              <w:rPr>
                <w:rFonts w:ascii="Arial"/>
                <w:sz w:val="21"/>
                <w:szCs w:val="21"/>
              </w:rPr>
            </w:pPr>
          </w:p>
          <w:p w14:paraId="550E0811">
            <w:pPr>
              <w:spacing w:line="249" w:lineRule="auto"/>
              <w:rPr>
                <w:rFonts w:ascii="Arial"/>
                <w:sz w:val="21"/>
                <w:szCs w:val="21"/>
              </w:rPr>
            </w:pPr>
          </w:p>
          <w:p w14:paraId="756D9940">
            <w:pPr>
              <w:spacing w:line="249" w:lineRule="auto"/>
              <w:rPr>
                <w:rFonts w:ascii="Arial"/>
                <w:sz w:val="21"/>
                <w:szCs w:val="21"/>
              </w:rPr>
            </w:pPr>
          </w:p>
          <w:p w14:paraId="029A9482">
            <w:pPr>
              <w:spacing w:line="249" w:lineRule="auto"/>
              <w:rPr>
                <w:rFonts w:ascii="Arial"/>
                <w:sz w:val="21"/>
                <w:szCs w:val="21"/>
              </w:rPr>
            </w:pPr>
          </w:p>
          <w:p w14:paraId="2D5D0028">
            <w:pPr>
              <w:spacing w:line="249" w:lineRule="auto"/>
              <w:rPr>
                <w:rFonts w:ascii="Arial"/>
                <w:sz w:val="21"/>
                <w:szCs w:val="21"/>
              </w:rPr>
            </w:pPr>
          </w:p>
          <w:p w14:paraId="0E8BCC77">
            <w:pPr>
              <w:spacing w:line="249" w:lineRule="auto"/>
              <w:rPr>
                <w:rFonts w:ascii="Arial"/>
                <w:sz w:val="21"/>
                <w:szCs w:val="21"/>
              </w:rPr>
            </w:pPr>
          </w:p>
          <w:p w14:paraId="65D165DB">
            <w:pPr>
              <w:spacing w:line="249" w:lineRule="auto"/>
              <w:rPr>
                <w:rFonts w:ascii="Arial"/>
                <w:sz w:val="21"/>
                <w:szCs w:val="21"/>
              </w:rPr>
            </w:pPr>
          </w:p>
          <w:p w14:paraId="14CA088D">
            <w:pPr>
              <w:spacing w:line="249" w:lineRule="auto"/>
              <w:rPr>
                <w:rFonts w:ascii="Arial"/>
                <w:sz w:val="21"/>
                <w:szCs w:val="21"/>
              </w:rPr>
            </w:pPr>
          </w:p>
          <w:p w14:paraId="2B897D6D">
            <w:pPr>
              <w:spacing w:before="78" w:line="184" w:lineRule="auto"/>
              <w:ind w:left="305"/>
              <w:rPr>
                <w:rFonts w:ascii="宋体" w:hAnsi="宋体" w:eastAsia="宋体" w:cs="宋体"/>
                <w:sz w:val="21"/>
                <w:szCs w:val="21"/>
              </w:rPr>
            </w:pPr>
            <w:r>
              <w:rPr>
                <w:rFonts w:ascii="宋体" w:hAnsi="宋体" w:eastAsia="宋体" w:cs="宋体"/>
                <w:spacing w:val="-7"/>
                <w:sz w:val="21"/>
                <w:szCs w:val="21"/>
              </w:rPr>
              <w:t>1</w:t>
            </w:r>
            <w:r>
              <w:rPr>
                <w:rFonts w:hint="eastAsia" w:ascii="宋体" w:hAnsi="宋体" w:eastAsia="宋体" w:cs="宋体"/>
                <w:spacing w:val="-7"/>
                <w:sz w:val="21"/>
                <w:szCs w:val="21"/>
                <w:lang w:val="en-US" w:eastAsia="zh-CN"/>
              </w:rPr>
              <w:t>4</w:t>
            </w:r>
          </w:p>
        </w:tc>
        <w:tc>
          <w:tcPr>
            <w:tcW w:w="2218" w:type="dxa"/>
            <w:noWrap w:val="0"/>
            <w:vAlign w:val="top"/>
          </w:tcPr>
          <w:p w14:paraId="0C90C13E">
            <w:pPr>
              <w:spacing w:line="248" w:lineRule="auto"/>
              <w:rPr>
                <w:rFonts w:ascii="Arial"/>
                <w:sz w:val="21"/>
                <w:szCs w:val="21"/>
              </w:rPr>
            </w:pPr>
          </w:p>
          <w:p w14:paraId="548E77A2">
            <w:pPr>
              <w:spacing w:line="248" w:lineRule="auto"/>
              <w:rPr>
                <w:rFonts w:ascii="Arial"/>
                <w:sz w:val="21"/>
                <w:szCs w:val="21"/>
              </w:rPr>
            </w:pPr>
          </w:p>
          <w:p w14:paraId="0AA99962">
            <w:pPr>
              <w:spacing w:line="248" w:lineRule="auto"/>
              <w:rPr>
                <w:rFonts w:ascii="Arial"/>
                <w:sz w:val="21"/>
                <w:szCs w:val="21"/>
              </w:rPr>
            </w:pPr>
          </w:p>
          <w:p w14:paraId="0F50A9FB">
            <w:pPr>
              <w:spacing w:line="248" w:lineRule="auto"/>
              <w:rPr>
                <w:rFonts w:ascii="Arial"/>
                <w:sz w:val="21"/>
                <w:szCs w:val="21"/>
              </w:rPr>
            </w:pPr>
          </w:p>
          <w:p w14:paraId="43C9DD4B">
            <w:pPr>
              <w:spacing w:line="248" w:lineRule="auto"/>
              <w:rPr>
                <w:rFonts w:ascii="Arial"/>
                <w:sz w:val="21"/>
                <w:szCs w:val="21"/>
              </w:rPr>
            </w:pPr>
          </w:p>
          <w:p w14:paraId="3128F7A8">
            <w:pPr>
              <w:spacing w:line="248" w:lineRule="auto"/>
              <w:rPr>
                <w:rFonts w:ascii="Arial"/>
                <w:sz w:val="21"/>
                <w:szCs w:val="21"/>
              </w:rPr>
            </w:pPr>
          </w:p>
          <w:p w14:paraId="50781652">
            <w:pPr>
              <w:spacing w:line="248" w:lineRule="auto"/>
              <w:rPr>
                <w:rFonts w:ascii="Arial"/>
                <w:sz w:val="21"/>
                <w:szCs w:val="21"/>
              </w:rPr>
            </w:pPr>
          </w:p>
          <w:p w14:paraId="3FAA52CB">
            <w:pPr>
              <w:spacing w:before="78" w:line="245" w:lineRule="auto"/>
              <w:ind w:left="140" w:right="134"/>
              <w:jc w:val="both"/>
              <w:rPr>
                <w:rFonts w:ascii="宋体" w:hAnsi="宋体" w:eastAsia="宋体" w:cs="宋体"/>
                <w:sz w:val="21"/>
                <w:szCs w:val="21"/>
              </w:rPr>
            </w:pPr>
            <w:r>
              <w:rPr>
                <w:rFonts w:ascii="宋体" w:hAnsi="宋体" w:eastAsia="宋体" w:cs="宋体"/>
                <w:spacing w:val="1"/>
                <w:sz w:val="21"/>
                <w:szCs w:val="21"/>
              </w:rPr>
              <w:t>具有甲乙类火灾危险性、粉尘爆炸危险性、中毒危险性</w:t>
            </w:r>
            <w:r>
              <w:rPr>
                <w:rFonts w:ascii="宋体" w:hAnsi="宋体" w:eastAsia="宋体" w:cs="宋体"/>
                <w:spacing w:val="8"/>
                <w:sz w:val="21"/>
                <w:szCs w:val="21"/>
              </w:rPr>
              <w:t>的厂房(含装置或车间)和仓库内设</w:t>
            </w:r>
          </w:p>
          <w:p w14:paraId="00601B7C">
            <w:pPr>
              <w:spacing w:before="15" w:line="250" w:lineRule="auto"/>
              <w:ind w:left="135" w:hanging="115"/>
              <w:rPr>
                <w:rFonts w:ascii="宋体" w:hAnsi="宋体" w:eastAsia="宋体" w:cs="宋体"/>
                <w:sz w:val="21"/>
                <w:szCs w:val="21"/>
              </w:rPr>
            </w:pPr>
            <w:r>
              <w:rPr>
                <w:rFonts w:ascii="宋体" w:hAnsi="宋体" w:eastAsia="宋体" w:cs="宋体"/>
                <w:spacing w:val="12"/>
                <w:sz w:val="21"/>
                <w:szCs w:val="21"/>
              </w:rPr>
              <w:t>置办公室、休息室、</w:t>
            </w:r>
            <w:r>
              <w:rPr>
                <w:rFonts w:ascii="宋体" w:hAnsi="宋体" w:eastAsia="宋体" w:cs="宋体"/>
                <w:spacing w:val="14"/>
                <w:sz w:val="21"/>
                <w:szCs w:val="21"/>
              </w:rPr>
              <w:t>外操室、巡检室。</w:t>
            </w:r>
          </w:p>
        </w:tc>
        <w:tc>
          <w:tcPr>
            <w:tcW w:w="3497" w:type="dxa"/>
            <w:noWrap w:val="0"/>
            <w:vAlign w:val="top"/>
          </w:tcPr>
          <w:p w14:paraId="601E1E28">
            <w:pPr>
              <w:spacing w:before="89" w:line="253" w:lineRule="auto"/>
              <w:ind w:left="143" w:firstLine="448"/>
              <w:jc w:val="both"/>
              <w:rPr>
                <w:rFonts w:ascii="宋体" w:hAnsi="宋体" w:eastAsia="宋体" w:cs="宋体"/>
                <w:sz w:val="21"/>
                <w:szCs w:val="21"/>
              </w:rPr>
            </w:pPr>
            <w:r>
              <w:rPr>
                <w:rFonts w:ascii="宋体" w:hAnsi="宋体" w:eastAsia="宋体" w:cs="宋体"/>
                <w:spacing w:val="-2"/>
                <w:sz w:val="21"/>
                <w:szCs w:val="21"/>
              </w:rPr>
              <w:t>1.《中华人民共和国安全生</w:t>
            </w:r>
            <w:r>
              <w:rPr>
                <w:rFonts w:ascii="宋体" w:hAnsi="宋体" w:eastAsia="宋体" w:cs="宋体"/>
                <w:spacing w:val="7"/>
                <w:sz w:val="21"/>
                <w:szCs w:val="21"/>
              </w:rPr>
              <w:t>产法》第四十一条第二款生产</w:t>
            </w:r>
            <w:r>
              <w:rPr>
                <w:rFonts w:ascii="宋体" w:hAnsi="宋体" w:eastAsia="宋体" w:cs="宋体"/>
                <w:spacing w:val="21"/>
                <w:sz w:val="21"/>
                <w:szCs w:val="21"/>
              </w:rPr>
              <w:t>经营单位应当建立健全并落实</w:t>
            </w:r>
            <w:r>
              <w:rPr>
                <w:rFonts w:ascii="宋体" w:hAnsi="宋体" w:eastAsia="宋体" w:cs="宋体"/>
                <w:spacing w:val="20"/>
                <w:sz w:val="21"/>
                <w:szCs w:val="21"/>
              </w:rPr>
              <w:t>生产安全事故隐患排查治理制</w:t>
            </w:r>
            <w:r>
              <w:rPr>
                <w:rFonts w:ascii="宋体" w:hAnsi="宋体" w:eastAsia="宋体" w:cs="宋体"/>
                <w:spacing w:val="8"/>
                <w:sz w:val="21"/>
                <w:szCs w:val="21"/>
              </w:rPr>
              <w:t>度，采取技术、管理措施，及时发现并消除事故隐患。事故隐患排查治理情况应当如实记录，并</w:t>
            </w:r>
            <w:r>
              <w:rPr>
                <w:rFonts w:ascii="宋体" w:hAnsi="宋体" w:eastAsia="宋体" w:cs="宋体"/>
                <w:spacing w:val="21"/>
                <w:sz w:val="21"/>
                <w:szCs w:val="21"/>
              </w:rPr>
              <w:t>通过职工大会或者职工代表大</w:t>
            </w:r>
            <w:r>
              <w:rPr>
                <w:rFonts w:ascii="宋体" w:hAnsi="宋体" w:eastAsia="宋体" w:cs="宋体"/>
                <w:spacing w:val="8"/>
                <w:sz w:val="21"/>
                <w:szCs w:val="21"/>
              </w:rPr>
              <w:t>会、信息公示栏等方式向从业人员通报。其中，重大事故隐患排</w:t>
            </w:r>
            <w:r>
              <w:rPr>
                <w:rFonts w:ascii="宋体" w:hAnsi="宋体" w:eastAsia="宋体" w:cs="宋体"/>
                <w:spacing w:val="21"/>
                <w:sz w:val="21"/>
                <w:szCs w:val="21"/>
              </w:rPr>
              <w:t>查治理情况应当及时向负有安全生产监督管理职责的部门和</w:t>
            </w:r>
            <w:r>
              <w:rPr>
                <w:rFonts w:ascii="宋体" w:hAnsi="宋体" w:eastAsia="宋体" w:cs="宋体"/>
                <w:spacing w:val="22"/>
                <w:sz w:val="21"/>
                <w:szCs w:val="21"/>
              </w:rPr>
              <w:t>职工大会或者职工代表大会报</w:t>
            </w:r>
            <w:r>
              <w:rPr>
                <w:rFonts w:ascii="宋体" w:hAnsi="宋体" w:eastAsia="宋体" w:cs="宋体"/>
                <w:spacing w:val="-3"/>
                <w:sz w:val="21"/>
                <w:szCs w:val="21"/>
              </w:rPr>
              <w:t>告。</w:t>
            </w:r>
          </w:p>
          <w:p w14:paraId="23C22D27">
            <w:pPr>
              <w:spacing w:before="58" w:line="243" w:lineRule="auto"/>
              <w:ind w:left="102" w:right="2" w:firstLine="480"/>
              <w:jc w:val="both"/>
              <w:rPr>
                <w:rFonts w:ascii="宋体" w:hAnsi="宋体" w:eastAsia="宋体" w:cs="宋体"/>
                <w:sz w:val="21"/>
                <w:szCs w:val="21"/>
              </w:rPr>
            </w:pPr>
            <w:r>
              <w:rPr>
                <w:rFonts w:ascii="宋体" w:hAnsi="宋体" w:eastAsia="宋体" w:cs="宋体"/>
                <w:spacing w:val="-1"/>
                <w:sz w:val="21"/>
                <w:szCs w:val="21"/>
              </w:rPr>
              <w:t>2.《石油化工企业设计防火</w:t>
            </w:r>
            <w:r>
              <w:rPr>
                <w:rFonts w:ascii="宋体" w:hAnsi="宋体" w:eastAsia="宋体" w:cs="宋体"/>
                <w:spacing w:val="18"/>
                <w:sz w:val="21"/>
                <w:szCs w:val="21"/>
              </w:rPr>
              <w:t>标准(2018年版)》(</w:t>
            </w:r>
            <w:r>
              <w:rPr>
                <w:rFonts w:ascii="宋体" w:hAnsi="宋体" w:eastAsia="宋体" w:cs="宋体"/>
                <w:sz w:val="21"/>
                <w:szCs w:val="21"/>
              </w:rPr>
              <w:t>GB</w:t>
            </w:r>
            <w:r>
              <w:rPr>
                <w:rFonts w:ascii="宋体" w:hAnsi="宋体" w:eastAsia="宋体" w:cs="宋体"/>
                <w:spacing w:val="57"/>
                <w:sz w:val="21"/>
                <w:szCs w:val="21"/>
              </w:rPr>
              <w:t xml:space="preserve"> </w:t>
            </w:r>
            <w:r>
              <w:rPr>
                <w:rFonts w:ascii="宋体" w:hAnsi="宋体" w:eastAsia="宋体" w:cs="宋体"/>
                <w:spacing w:val="18"/>
                <w:sz w:val="21"/>
                <w:szCs w:val="21"/>
              </w:rPr>
              <w:t>50160)</w:t>
            </w:r>
            <w:r>
              <w:rPr>
                <w:rFonts w:ascii="宋体" w:hAnsi="宋体" w:eastAsia="宋体" w:cs="宋体"/>
                <w:spacing w:val="16"/>
                <w:sz w:val="21"/>
                <w:szCs w:val="21"/>
              </w:rPr>
              <w:t>5.2.16装置的控制室、机柜</w:t>
            </w:r>
            <w:r>
              <w:rPr>
                <w:rFonts w:ascii="宋体" w:hAnsi="宋体" w:eastAsia="宋体" w:cs="宋体"/>
                <w:spacing w:val="11"/>
                <w:sz w:val="21"/>
                <w:szCs w:val="21"/>
              </w:rPr>
              <w:t>间、变配电所、化验室、办公室</w:t>
            </w:r>
          </w:p>
        </w:tc>
        <w:tc>
          <w:tcPr>
            <w:tcW w:w="2868" w:type="dxa"/>
            <w:noWrap w:val="0"/>
            <w:vAlign w:val="top"/>
          </w:tcPr>
          <w:p w14:paraId="244ECD4D">
            <w:pPr>
              <w:spacing w:line="255" w:lineRule="auto"/>
              <w:rPr>
                <w:rFonts w:ascii="Arial"/>
                <w:sz w:val="21"/>
                <w:szCs w:val="21"/>
              </w:rPr>
            </w:pPr>
          </w:p>
          <w:p w14:paraId="06E6EA0A">
            <w:pPr>
              <w:spacing w:line="255" w:lineRule="auto"/>
              <w:rPr>
                <w:rFonts w:ascii="Arial"/>
                <w:sz w:val="21"/>
                <w:szCs w:val="21"/>
              </w:rPr>
            </w:pPr>
          </w:p>
          <w:p w14:paraId="5449DDFA">
            <w:pPr>
              <w:spacing w:line="255" w:lineRule="auto"/>
              <w:rPr>
                <w:rFonts w:ascii="Arial"/>
                <w:sz w:val="21"/>
                <w:szCs w:val="21"/>
              </w:rPr>
            </w:pPr>
          </w:p>
          <w:p w14:paraId="03745772">
            <w:pPr>
              <w:spacing w:line="255" w:lineRule="auto"/>
              <w:rPr>
                <w:rFonts w:ascii="Arial"/>
                <w:sz w:val="21"/>
                <w:szCs w:val="21"/>
              </w:rPr>
            </w:pPr>
          </w:p>
          <w:p w14:paraId="3F692EE0">
            <w:pPr>
              <w:spacing w:line="256" w:lineRule="auto"/>
              <w:rPr>
                <w:rFonts w:ascii="Arial"/>
                <w:sz w:val="21"/>
                <w:szCs w:val="21"/>
              </w:rPr>
            </w:pPr>
          </w:p>
          <w:p w14:paraId="53D38CF4">
            <w:pPr>
              <w:spacing w:before="75" w:line="255" w:lineRule="auto"/>
              <w:ind w:left="146" w:firstLine="432"/>
              <w:rPr>
                <w:rFonts w:ascii="宋体" w:hAnsi="宋体" w:eastAsia="宋体" w:cs="宋体"/>
                <w:sz w:val="21"/>
                <w:szCs w:val="21"/>
              </w:rPr>
            </w:pPr>
            <w:r>
              <w:rPr>
                <w:rFonts w:ascii="宋体" w:hAnsi="宋体" w:eastAsia="宋体" w:cs="宋体"/>
                <w:spacing w:val="18"/>
                <w:sz w:val="21"/>
                <w:szCs w:val="21"/>
              </w:rPr>
              <w:t>《危险化学品安全专</w:t>
            </w:r>
            <w:r>
              <w:rPr>
                <w:rFonts w:ascii="宋体" w:hAnsi="宋体" w:eastAsia="宋体" w:cs="宋体"/>
                <w:spacing w:val="28"/>
                <w:sz w:val="21"/>
                <w:szCs w:val="21"/>
              </w:rPr>
              <w:t>项整治三年行动实施方</w:t>
            </w:r>
            <w:r>
              <w:rPr>
                <w:rFonts w:ascii="宋体" w:hAnsi="宋体" w:eastAsia="宋体" w:cs="宋体"/>
                <w:spacing w:val="17"/>
                <w:sz w:val="21"/>
                <w:szCs w:val="21"/>
              </w:rPr>
              <w:t>案》(安委〔2020〕3号)</w:t>
            </w:r>
            <w:r>
              <w:rPr>
                <w:rFonts w:ascii="宋体" w:hAnsi="宋体" w:eastAsia="宋体" w:cs="宋体"/>
                <w:spacing w:val="16"/>
                <w:sz w:val="21"/>
                <w:szCs w:val="21"/>
              </w:rPr>
              <w:t>具有甲乙类火灾危险性、</w:t>
            </w:r>
            <w:r>
              <w:rPr>
                <w:rFonts w:ascii="宋体" w:hAnsi="宋体" w:eastAsia="宋体" w:cs="宋体"/>
                <w:spacing w:val="6"/>
                <w:sz w:val="21"/>
                <w:szCs w:val="21"/>
              </w:rPr>
              <w:t>粉尘爆炸危险性、中毒危</w:t>
            </w:r>
            <w:r>
              <w:rPr>
                <w:rFonts w:ascii="宋体" w:hAnsi="宋体" w:eastAsia="宋体" w:cs="宋体"/>
                <w:spacing w:val="17"/>
                <w:sz w:val="21"/>
                <w:szCs w:val="21"/>
              </w:rPr>
              <w:t>险性的厂房(含装置或车</w:t>
            </w:r>
            <w:r>
              <w:rPr>
                <w:rFonts w:ascii="宋体" w:hAnsi="宋体" w:eastAsia="宋体" w:cs="宋体"/>
                <w:spacing w:val="16"/>
                <w:sz w:val="21"/>
                <w:szCs w:val="21"/>
              </w:rPr>
              <w:t>间)和仓库内的办公室、</w:t>
            </w:r>
            <w:r>
              <w:rPr>
                <w:rFonts w:ascii="宋体" w:hAnsi="宋体" w:eastAsia="宋体" w:cs="宋体"/>
                <w:spacing w:val="30"/>
                <w:sz w:val="21"/>
                <w:szCs w:val="21"/>
              </w:rPr>
              <w:t>休息室、外操室、巡检</w:t>
            </w:r>
            <w:r>
              <w:rPr>
                <w:rFonts w:ascii="宋体" w:hAnsi="宋体" w:eastAsia="宋体" w:cs="宋体"/>
                <w:spacing w:val="11"/>
                <w:sz w:val="21"/>
                <w:szCs w:val="21"/>
              </w:rPr>
              <w:t>室，2020年8月前必须予</w:t>
            </w:r>
            <w:r>
              <w:rPr>
                <w:rFonts w:ascii="宋体" w:hAnsi="宋体" w:eastAsia="宋体" w:cs="宋体"/>
                <w:spacing w:val="26"/>
                <w:sz w:val="21"/>
                <w:szCs w:val="21"/>
              </w:rPr>
              <w:t>以拆除。</w:t>
            </w:r>
          </w:p>
        </w:tc>
        <w:tc>
          <w:tcPr>
            <w:tcW w:w="2848" w:type="dxa"/>
            <w:noWrap w:val="0"/>
            <w:vAlign w:val="top"/>
          </w:tcPr>
          <w:p w14:paraId="0DABF010">
            <w:pPr>
              <w:spacing w:line="327" w:lineRule="auto"/>
              <w:rPr>
                <w:rFonts w:ascii="Arial"/>
                <w:sz w:val="21"/>
                <w:szCs w:val="21"/>
              </w:rPr>
            </w:pPr>
          </w:p>
          <w:p w14:paraId="72F9085D">
            <w:pPr>
              <w:spacing w:line="328" w:lineRule="auto"/>
              <w:rPr>
                <w:rFonts w:ascii="Arial"/>
                <w:sz w:val="21"/>
                <w:szCs w:val="21"/>
              </w:rPr>
            </w:pPr>
          </w:p>
          <w:p w14:paraId="7288C532">
            <w:pPr>
              <w:spacing w:before="75" w:line="254" w:lineRule="auto"/>
              <w:ind w:left="148" w:firstLine="428"/>
              <w:jc w:val="both"/>
              <w:rPr>
                <w:rFonts w:ascii="宋体" w:hAnsi="宋体" w:eastAsia="宋体" w:cs="宋体"/>
                <w:sz w:val="21"/>
                <w:szCs w:val="21"/>
              </w:rPr>
            </w:pPr>
            <w:r>
              <w:rPr>
                <w:rFonts w:ascii="宋体" w:hAnsi="宋体" w:eastAsia="宋体" w:cs="宋体"/>
                <w:spacing w:val="30"/>
                <w:sz w:val="21"/>
                <w:szCs w:val="21"/>
              </w:rPr>
              <w:t>《中华人民共和国</w:t>
            </w:r>
            <w:r>
              <w:rPr>
                <w:rFonts w:ascii="宋体" w:hAnsi="宋体" w:eastAsia="宋体" w:cs="宋体"/>
                <w:spacing w:val="5"/>
                <w:sz w:val="21"/>
                <w:szCs w:val="21"/>
              </w:rPr>
              <w:t>安全生产法》第一百零二</w:t>
            </w:r>
            <w:r>
              <w:rPr>
                <w:rFonts w:ascii="宋体" w:hAnsi="宋体" w:eastAsia="宋体" w:cs="宋体"/>
                <w:spacing w:val="18"/>
                <w:sz w:val="21"/>
                <w:szCs w:val="21"/>
              </w:rPr>
              <w:t>条生产经营单位未采</w:t>
            </w:r>
            <w:r>
              <w:rPr>
                <w:rFonts w:ascii="宋体" w:hAnsi="宋体" w:eastAsia="宋体" w:cs="宋体"/>
                <w:spacing w:val="14"/>
                <w:sz w:val="21"/>
                <w:szCs w:val="21"/>
              </w:rPr>
              <w:t>取措施消除事故隐患的，</w:t>
            </w:r>
            <w:r>
              <w:rPr>
                <w:rFonts w:ascii="宋体" w:hAnsi="宋体" w:eastAsia="宋体" w:cs="宋体"/>
                <w:spacing w:val="24"/>
                <w:sz w:val="21"/>
                <w:szCs w:val="21"/>
              </w:rPr>
              <w:t>责令立即消除或者限期</w:t>
            </w:r>
            <w:r>
              <w:rPr>
                <w:rFonts w:ascii="宋体" w:hAnsi="宋体" w:eastAsia="宋体" w:cs="宋体"/>
                <w:spacing w:val="6"/>
                <w:sz w:val="21"/>
                <w:szCs w:val="21"/>
              </w:rPr>
              <w:t>消除，处五万元以下的罚</w:t>
            </w:r>
            <w:r>
              <w:rPr>
                <w:rFonts w:ascii="宋体" w:hAnsi="宋体" w:eastAsia="宋体" w:cs="宋体"/>
                <w:spacing w:val="4"/>
                <w:sz w:val="21"/>
                <w:szCs w:val="21"/>
              </w:rPr>
              <w:t>款；生产经营单位拒不执</w:t>
            </w:r>
            <w:r>
              <w:rPr>
                <w:rFonts w:ascii="宋体" w:hAnsi="宋体" w:eastAsia="宋体" w:cs="宋体"/>
                <w:spacing w:val="24"/>
                <w:sz w:val="21"/>
                <w:szCs w:val="21"/>
              </w:rPr>
              <w:t>行的，责令停产停业整</w:t>
            </w:r>
            <w:r>
              <w:rPr>
                <w:rFonts w:ascii="宋体" w:hAnsi="宋体" w:eastAsia="宋体" w:cs="宋体"/>
                <w:spacing w:val="5"/>
                <w:sz w:val="21"/>
                <w:szCs w:val="21"/>
              </w:rPr>
              <w:t>顿，对其直接负责的主管</w:t>
            </w:r>
            <w:r>
              <w:rPr>
                <w:rFonts w:ascii="宋体" w:hAnsi="宋体" w:eastAsia="宋体" w:cs="宋体"/>
                <w:spacing w:val="24"/>
                <w:sz w:val="21"/>
                <w:szCs w:val="21"/>
              </w:rPr>
              <w:t>人员和其他直接责任人员处五万元以上十万元以下的罚款；构成犯罪</w:t>
            </w:r>
            <w:r>
              <w:rPr>
                <w:rFonts w:ascii="宋体" w:hAnsi="宋体" w:eastAsia="宋体" w:cs="宋体"/>
                <w:spacing w:val="4"/>
                <w:sz w:val="21"/>
                <w:szCs w:val="21"/>
              </w:rPr>
              <w:t>的，依照刑法有关规定追</w:t>
            </w:r>
            <w:r>
              <w:rPr>
                <w:rFonts w:ascii="宋体" w:hAnsi="宋体" w:eastAsia="宋体" w:cs="宋体"/>
                <w:spacing w:val="23"/>
                <w:sz w:val="21"/>
                <w:szCs w:val="21"/>
              </w:rPr>
              <w:t>究刑事责任。</w:t>
            </w:r>
          </w:p>
        </w:tc>
        <w:tc>
          <w:tcPr>
            <w:tcW w:w="1244" w:type="dxa"/>
            <w:noWrap w:val="0"/>
            <w:vAlign w:val="top"/>
          </w:tcPr>
          <w:p w14:paraId="72885397">
            <w:pPr>
              <w:spacing w:line="243" w:lineRule="auto"/>
              <w:rPr>
                <w:rFonts w:ascii="Arial"/>
                <w:sz w:val="21"/>
                <w:szCs w:val="21"/>
              </w:rPr>
            </w:pPr>
          </w:p>
          <w:p w14:paraId="674DC3A7">
            <w:pPr>
              <w:spacing w:line="243" w:lineRule="auto"/>
              <w:rPr>
                <w:rFonts w:ascii="Arial"/>
                <w:sz w:val="21"/>
                <w:szCs w:val="21"/>
              </w:rPr>
            </w:pPr>
          </w:p>
          <w:p w14:paraId="65DD41E2">
            <w:pPr>
              <w:spacing w:line="243" w:lineRule="auto"/>
              <w:rPr>
                <w:rFonts w:ascii="Arial"/>
                <w:sz w:val="21"/>
                <w:szCs w:val="21"/>
              </w:rPr>
            </w:pPr>
          </w:p>
          <w:p w14:paraId="26EE9A8E">
            <w:pPr>
              <w:spacing w:line="243" w:lineRule="auto"/>
              <w:rPr>
                <w:rFonts w:ascii="Arial"/>
                <w:sz w:val="21"/>
                <w:szCs w:val="21"/>
              </w:rPr>
            </w:pPr>
          </w:p>
          <w:p w14:paraId="104E5898">
            <w:pPr>
              <w:spacing w:line="243" w:lineRule="auto"/>
              <w:rPr>
                <w:rFonts w:ascii="Arial"/>
                <w:sz w:val="21"/>
                <w:szCs w:val="21"/>
              </w:rPr>
            </w:pPr>
          </w:p>
          <w:p w14:paraId="17553C1C">
            <w:pPr>
              <w:spacing w:line="243" w:lineRule="auto"/>
              <w:rPr>
                <w:rFonts w:ascii="Arial"/>
                <w:sz w:val="21"/>
                <w:szCs w:val="21"/>
              </w:rPr>
            </w:pPr>
          </w:p>
          <w:p w14:paraId="6AE1A273">
            <w:pPr>
              <w:spacing w:line="244" w:lineRule="auto"/>
              <w:rPr>
                <w:rFonts w:ascii="Arial"/>
                <w:sz w:val="21"/>
                <w:szCs w:val="21"/>
              </w:rPr>
            </w:pPr>
          </w:p>
          <w:p w14:paraId="7E117FE7">
            <w:pPr>
              <w:spacing w:line="244" w:lineRule="auto"/>
              <w:rPr>
                <w:rFonts w:ascii="Arial"/>
                <w:sz w:val="21"/>
                <w:szCs w:val="21"/>
              </w:rPr>
            </w:pPr>
          </w:p>
          <w:p w14:paraId="45188566">
            <w:pPr>
              <w:spacing w:line="244" w:lineRule="auto"/>
              <w:rPr>
                <w:rFonts w:ascii="Arial"/>
                <w:sz w:val="21"/>
                <w:szCs w:val="21"/>
              </w:rPr>
            </w:pPr>
          </w:p>
          <w:p w14:paraId="439F62F2">
            <w:pPr>
              <w:spacing w:line="244" w:lineRule="auto"/>
              <w:rPr>
                <w:rFonts w:ascii="Arial"/>
                <w:sz w:val="21"/>
                <w:szCs w:val="21"/>
              </w:rPr>
            </w:pPr>
          </w:p>
          <w:p w14:paraId="60FC4827">
            <w:pPr>
              <w:spacing w:line="244" w:lineRule="auto"/>
              <w:rPr>
                <w:rFonts w:ascii="Arial"/>
                <w:sz w:val="21"/>
                <w:szCs w:val="21"/>
              </w:rPr>
            </w:pPr>
          </w:p>
          <w:p w14:paraId="53318AAE">
            <w:pPr>
              <w:spacing w:before="78" w:line="219" w:lineRule="auto"/>
              <w:ind w:left="139"/>
              <w:rPr>
                <w:rFonts w:ascii="宋体" w:hAnsi="宋体" w:eastAsia="宋体" w:cs="宋体"/>
                <w:sz w:val="21"/>
                <w:szCs w:val="21"/>
              </w:rPr>
            </w:pPr>
            <w:r>
              <w:rPr>
                <w:rFonts w:ascii="宋体" w:hAnsi="宋体" w:eastAsia="宋体" w:cs="宋体"/>
                <w:spacing w:val="2"/>
                <w:sz w:val="21"/>
                <w:szCs w:val="21"/>
              </w:rPr>
              <w:t>隐患管理</w:t>
            </w:r>
          </w:p>
        </w:tc>
      </w:tr>
    </w:tbl>
    <w:p w14:paraId="2E8A6271">
      <w:pPr>
        <w:spacing w:line="220" w:lineRule="exact"/>
        <w:rPr>
          <w:sz w:val="21"/>
          <w:szCs w:val="21"/>
        </w:rPr>
      </w:pPr>
    </w:p>
    <w:p w14:paraId="3B4D2FAE">
      <w:pPr>
        <w:rPr>
          <w:rFonts w:ascii="Arial"/>
          <w:sz w:val="21"/>
          <w:szCs w:val="21"/>
        </w:rPr>
      </w:pPr>
    </w:p>
    <w:p w14:paraId="79A673B2">
      <w:pPr>
        <w:sectPr>
          <w:pgSz w:w="16840" w:h="11900"/>
          <w:pgMar w:top="1440" w:right="1080" w:bottom="1440" w:left="1080" w:header="0" w:footer="0" w:gutter="0"/>
          <w:pgNumType w:fmt="decimal"/>
          <w:cols w:space="720" w:num="1"/>
        </w:sectPr>
      </w:pPr>
    </w:p>
    <w:p w14:paraId="29E72560"/>
    <w:p w14:paraId="4C34B3BA">
      <w:pPr>
        <w:rPr>
          <w:sz w:val="21"/>
          <w:szCs w:val="21"/>
        </w:rPr>
      </w:pPr>
    </w:p>
    <w:tbl>
      <w:tblPr>
        <w:tblStyle w:val="12"/>
        <w:tblpPr w:leftFromText="180" w:rightFromText="180" w:vertAnchor="text" w:horzAnchor="page" w:tblpXSpec="center" w:tblpY="125"/>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39"/>
        <w:gridCol w:w="3507"/>
        <w:gridCol w:w="2858"/>
        <w:gridCol w:w="2838"/>
        <w:gridCol w:w="1254"/>
      </w:tblGrid>
      <w:tr w14:paraId="73264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64" w:type="dxa"/>
            <w:noWrap w:val="0"/>
            <w:vAlign w:val="top"/>
          </w:tcPr>
          <w:p w14:paraId="319A85C7">
            <w:pPr>
              <w:spacing w:before="212" w:line="221" w:lineRule="auto"/>
              <w:ind w:left="188"/>
              <w:rPr>
                <w:rFonts w:ascii="宋体" w:hAnsi="宋体" w:eastAsia="宋体" w:cs="宋体"/>
                <w:b/>
                <w:bCs/>
                <w:sz w:val="21"/>
                <w:szCs w:val="21"/>
              </w:rPr>
            </w:pPr>
            <w:r>
              <w:rPr>
                <w:rFonts w:ascii="宋体" w:hAnsi="宋体" w:eastAsia="宋体" w:cs="宋体"/>
                <w:b/>
                <w:bCs/>
                <w:spacing w:val="-5"/>
                <w:sz w:val="21"/>
                <w:szCs w:val="21"/>
              </w:rPr>
              <w:t>序号</w:t>
            </w:r>
          </w:p>
        </w:tc>
        <w:tc>
          <w:tcPr>
            <w:tcW w:w="2239" w:type="dxa"/>
            <w:noWrap w:val="0"/>
            <w:vAlign w:val="top"/>
          </w:tcPr>
          <w:p w14:paraId="1FE16E87">
            <w:pPr>
              <w:spacing w:before="85" w:line="219" w:lineRule="auto"/>
              <w:ind w:left="631"/>
              <w:rPr>
                <w:rFonts w:ascii="宋体" w:hAnsi="宋体" w:eastAsia="宋体" w:cs="宋体"/>
                <w:b/>
                <w:bCs/>
                <w:sz w:val="21"/>
                <w:szCs w:val="21"/>
              </w:rPr>
            </w:pPr>
            <w:r>
              <w:rPr>
                <w:rFonts w:ascii="宋体" w:hAnsi="宋体" w:eastAsia="宋体" w:cs="宋体"/>
                <w:b/>
                <w:bCs/>
                <w:spacing w:val="3"/>
                <w:sz w:val="21"/>
                <w:szCs w:val="21"/>
              </w:rPr>
              <w:t>执法检查</w:t>
            </w:r>
          </w:p>
          <w:p w14:paraId="0E2650E5">
            <w:pPr>
              <w:spacing w:before="44" w:line="192" w:lineRule="auto"/>
              <w:ind w:left="390"/>
              <w:rPr>
                <w:rFonts w:ascii="宋体" w:hAnsi="宋体" w:eastAsia="宋体" w:cs="宋体"/>
                <w:b/>
                <w:bCs/>
                <w:sz w:val="21"/>
                <w:szCs w:val="21"/>
              </w:rPr>
            </w:pPr>
            <w:r>
              <w:rPr>
                <w:rFonts w:ascii="宋体" w:hAnsi="宋体" w:eastAsia="宋体" w:cs="宋体"/>
                <w:b/>
                <w:bCs/>
                <w:spacing w:val="2"/>
                <w:sz w:val="21"/>
                <w:szCs w:val="21"/>
              </w:rPr>
              <w:t>重点事项内容</w:t>
            </w:r>
          </w:p>
        </w:tc>
        <w:tc>
          <w:tcPr>
            <w:tcW w:w="3507" w:type="dxa"/>
            <w:noWrap w:val="0"/>
            <w:vAlign w:val="top"/>
          </w:tcPr>
          <w:p w14:paraId="3C6BD215">
            <w:pPr>
              <w:spacing w:before="213" w:line="219" w:lineRule="auto"/>
              <w:ind w:left="1051"/>
              <w:rPr>
                <w:rFonts w:ascii="宋体" w:hAnsi="宋体" w:eastAsia="宋体" w:cs="宋体"/>
                <w:b/>
                <w:bCs/>
                <w:sz w:val="21"/>
                <w:szCs w:val="21"/>
              </w:rPr>
            </w:pPr>
            <w:r>
              <w:rPr>
                <w:rFonts w:ascii="宋体" w:hAnsi="宋体" w:eastAsia="宋体" w:cs="宋体"/>
                <w:b/>
                <w:bCs/>
                <w:spacing w:val="2"/>
                <w:sz w:val="21"/>
                <w:szCs w:val="21"/>
              </w:rPr>
              <w:t>执法检查依据</w:t>
            </w:r>
          </w:p>
        </w:tc>
        <w:tc>
          <w:tcPr>
            <w:tcW w:w="2858" w:type="dxa"/>
            <w:noWrap w:val="0"/>
            <w:vAlign w:val="top"/>
          </w:tcPr>
          <w:p w14:paraId="2E258E11">
            <w:pPr>
              <w:spacing w:before="55" w:line="220" w:lineRule="auto"/>
              <w:ind w:left="825"/>
              <w:rPr>
                <w:rFonts w:ascii="宋体" w:hAnsi="宋体" w:eastAsia="宋体" w:cs="宋体"/>
                <w:b/>
                <w:bCs/>
                <w:sz w:val="21"/>
                <w:szCs w:val="21"/>
              </w:rPr>
            </w:pPr>
            <w:r>
              <w:rPr>
                <w:rFonts w:ascii="宋体" w:hAnsi="宋体" w:eastAsia="宋体" w:cs="宋体"/>
                <w:b/>
                <w:bCs/>
                <w:spacing w:val="-2"/>
                <w:sz w:val="21"/>
                <w:szCs w:val="21"/>
              </w:rPr>
              <w:t>有关规范性</w:t>
            </w:r>
          </w:p>
          <w:p w14:paraId="26B5266C">
            <w:pPr>
              <w:spacing w:before="53" w:line="207" w:lineRule="auto"/>
              <w:ind w:left="585"/>
              <w:rPr>
                <w:rFonts w:ascii="宋体" w:hAnsi="宋体" w:eastAsia="宋体" w:cs="宋体"/>
                <w:b/>
                <w:bCs/>
                <w:sz w:val="21"/>
                <w:szCs w:val="21"/>
              </w:rPr>
            </w:pPr>
            <w:r>
              <w:rPr>
                <w:rFonts w:ascii="宋体" w:hAnsi="宋体" w:eastAsia="宋体" w:cs="宋体"/>
                <w:b/>
                <w:bCs/>
                <w:spacing w:val="1"/>
                <w:sz w:val="21"/>
                <w:szCs w:val="21"/>
              </w:rPr>
              <w:t>文件及标准要求</w:t>
            </w:r>
          </w:p>
        </w:tc>
        <w:tc>
          <w:tcPr>
            <w:tcW w:w="2838" w:type="dxa"/>
            <w:noWrap w:val="0"/>
            <w:vAlign w:val="top"/>
          </w:tcPr>
          <w:p w14:paraId="6C0756DB">
            <w:pPr>
              <w:spacing w:before="213" w:line="219" w:lineRule="auto"/>
              <w:ind w:left="966"/>
              <w:rPr>
                <w:rFonts w:ascii="宋体" w:hAnsi="宋体" w:eastAsia="宋体" w:cs="宋体"/>
                <w:b/>
                <w:bCs/>
                <w:sz w:val="21"/>
                <w:szCs w:val="21"/>
              </w:rPr>
            </w:pPr>
            <w:r>
              <w:rPr>
                <w:rFonts w:ascii="宋体" w:hAnsi="宋体" w:eastAsia="宋体" w:cs="宋体"/>
                <w:b/>
                <w:bCs/>
                <w:spacing w:val="3"/>
                <w:sz w:val="21"/>
                <w:szCs w:val="21"/>
              </w:rPr>
              <w:t>处罚依据</w:t>
            </w:r>
          </w:p>
        </w:tc>
        <w:tc>
          <w:tcPr>
            <w:tcW w:w="1254" w:type="dxa"/>
            <w:noWrap w:val="0"/>
            <w:vAlign w:val="top"/>
          </w:tcPr>
          <w:p w14:paraId="749309BC">
            <w:pPr>
              <w:spacing w:before="212" w:line="221" w:lineRule="auto"/>
              <w:ind w:left="392"/>
              <w:rPr>
                <w:rFonts w:ascii="宋体" w:hAnsi="宋体" w:eastAsia="宋体" w:cs="宋体"/>
                <w:b/>
                <w:bCs/>
                <w:sz w:val="21"/>
                <w:szCs w:val="21"/>
              </w:rPr>
            </w:pPr>
            <w:r>
              <w:rPr>
                <w:rFonts w:ascii="宋体" w:hAnsi="宋体" w:eastAsia="宋体" w:cs="宋体"/>
                <w:b/>
                <w:bCs/>
                <w:spacing w:val="-6"/>
                <w:sz w:val="21"/>
                <w:szCs w:val="21"/>
              </w:rPr>
              <w:t>备注</w:t>
            </w:r>
          </w:p>
        </w:tc>
      </w:tr>
      <w:tr w14:paraId="60020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5" w:hRule="atLeast"/>
          <w:jc w:val="center"/>
        </w:trPr>
        <w:tc>
          <w:tcPr>
            <w:tcW w:w="864" w:type="dxa"/>
            <w:noWrap w:val="0"/>
            <w:vAlign w:val="top"/>
          </w:tcPr>
          <w:p w14:paraId="10C82FEE">
            <w:pPr>
              <w:rPr>
                <w:rFonts w:ascii="Arial"/>
                <w:sz w:val="21"/>
                <w:szCs w:val="21"/>
              </w:rPr>
            </w:pPr>
          </w:p>
        </w:tc>
        <w:tc>
          <w:tcPr>
            <w:tcW w:w="2239" w:type="dxa"/>
            <w:noWrap w:val="0"/>
            <w:vAlign w:val="top"/>
          </w:tcPr>
          <w:p w14:paraId="485A850A">
            <w:pPr>
              <w:rPr>
                <w:rFonts w:ascii="Arial"/>
                <w:sz w:val="21"/>
                <w:szCs w:val="21"/>
              </w:rPr>
            </w:pPr>
          </w:p>
        </w:tc>
        <w:tc>
          <w:tcPr>
            <w:tcW w:w="3507" w:type="dxa"/>
            <w:noWrap w:val="0"/>
            <w:vAlign w:val="top"/>
          </w:tcPr>
          <w:p w14:paraId="52BEA55E">
            <w:pPr>
              <w:spacing w:before="93" w:line="253" w:lineRule="auto"/>
              <w:ind w:left="122"/>
              <w:jc w:val="both"/>
              <w:rPr>
                <w:rFonts w:ascii="宋体" w:hAnsi="宋体" w:eastAsia="宋体" w:cs="宋体"/>
                <w:sz w:val="21"/>
                <w:szCs w:val="21"/>
              </w:rPr>
            </w:pPr>
            <w:r>
              <w:rPr>
                <w:rFonts w:ascii="宋体" w:hAnsi="宋体" w:eastAsia="宋体" w:cs="宋体"/>
                <w:spacing w:val="4"/>
                <w:sz w:val="21"/>
                <w:szCs w:val="21"/>
              </w:rPr>
              <w:t>等不得与设有甲、乙，类设备的</w:t>
            </w:r>
            <w:r>
              <w:rPr>
                <w:rFonts w:ascii="宋体" w:hAnsi="宋体" w:eastAsia="宋体" w:cs="宋体"/>
                <w:spacing w:val="2"/>
                <w:sz w:val="21"/>
                <w:szCs w:val="21"/>
              </w:rPr>
              <w:t>房间布置在同一建筑物内。装置</w:t>
            </w:r>
            <w:r>
              <w:rPr>
                <w:rFonts w:ascii="宋体" w:hAnsi="宋体" w:eastAsia="宋体" w:cs="宋体"/>
                <w:spacing w:val="10"/>
                <w:sz w:val="21"/>
                <w:szCs w:val="21"/>
              </w:rPr>
              <w:t>的控制室与其他建筑物合建时，</w:t>
            </w:r>
            <w:r>
              <w:rPr>
                <w:rFonts w:ascii="宋体" w:hAnsi="宋体" w:eastAsia="宋体" w:cs="宋体"/>
                <w:spacing w:val="13"/>
                <w:sz w:val="21"/>
                <w:szCs w:val="21"/>
              </w:rPr>
              <w:t>应设置独立的防火分区。</w:t>
            </w:r>
          </w:p>
          <w:p w14:paraId="1D519413">
            <w:pPr>
              <w:spacing w:before="24" w:line="237" w:lineRule="auto"/>
              <w:ind w:left="122" w:firstLine="479"/>
              <w:jc w:val="both"/>
              <w:rPr>
                <w:rFonts w:ascii="宋体" w:hAnsi="宋体" w:eastAsia="宋体" w:cs="宋体"/>
                <w:sz w:val="21"/>
                <w:szCs w:val="21"/>
              </w:rPr>
            </w:pPr>
            <w:r>
              <w:rPr>
                <w:rFonts w:ascii="宋体" w:hAnsi="宋体" w:eastAsia="宋体" w:cs="宋体"/>
                <w:spacing w:val="-16"/>
                <w:sz w:val="21"/>
                <w:szCs w:val="21"/>
              </w:rPr>
              <w:t>3.《粉尘防爆安全规程》(GB</w:t>
            </w:r>
            <w:r>
              <w:rPr>
                <w:rFonts w:ascii="宋体" w:hAnsi="宋体" w:eastAsia="宋体" w:cs="宋体"/>
                <w:sz w:val="21"/>
                <w:szCs w:val="21"/>
              </w:rPr>
              <w:t xml:space="preserve"> </w:t>
            </w:r>
            <w:r>
              <w:rPr>
                <w:rFonts w:ascii="宋体" w:hAnsi="宋体" w:eastAsia="宋体" w:cs="宋体"/>
                <w:spacing w:val="21"/>
                <w:sz w:val="21"/>
                <w:szCs w:val="21"/>
              </w:rPr>
              <w:t>15577-2018)5.7粉尘爆炸危</w:t>
            </w:r>
            <w:r>
              <w:rPr>
                <w:rFonts w:ascii="宋体" w:hAnsi="宋体" w:eastAsia="宋体" w:cs="宋体"/>
                <w:spacing w:val="12"/>
                <w:sz w:val="21"/>
                <w:szCs w:val="21"/>
              </w:rPr>
              <w:t>险场所应严格控制区域内作业</w:t>
            </w:r>
            <w:r>
              <w:rPr>
                <w:rFonts w:ascii="宋体" w:hAnsi="宋体" w:eastAsia="宋体" w:cs="宋体"/>
                <w:sz w:val="21"/>
                <w:szCs w:val="21"/>
              </w:rPr>
              <w:t>人员数量，不得设有休息室、会</w:t>
            </w:r>
            <w:r>
              <w:rPr>
                <w:rFonts w:ascii="宋体" w:hAnsi="宋体" w:eastAsia="宋体" w:cs="宋体"/>
                <w:spacing w:val="1"/>
                <w:sz w:val="21"/>
                <w:szCs w:val="21"/>
              </w:rPr>
              <w:t>议室等人员密集场所，与其他厂</w:t>
            </w:r>
            <w:r>
              <w:rPr>
                <w:rFonts w:ascii="宋体" w:hAnsi="宋体" w:eastAsia="宋体" w:cs="宋体"/>
                <w:spacing w:val="37"/>
                <w:sz w:val="21"/>
                <w:szCs w:val="21"/>
              </w:rPr>
              <w:t>房、员工宿舍等应不小于</w:t>
            </w:r>
            <w:r>
              <w:rPr>
                <w:rFonts w:ascii="宋体" w:hAnsi="宋体" w:eastAsia="宋体" w:cs="宋体"/>
                <w:sz w:val="21"/>
                <w:szCs w:val="21"/>
              </w:rPr>
              <w:t xml:space="preserve">GB </w:t>
            </w:r>
            <w:r>
              <w:rPr>
                <w:rFonts w:ascii="宋体" w:hAnsi="宋体" w:eastAsia="宋体" w:cs="宋体"/>
                <w:spacing w:val="7"/>
                <w:sz w:val="21"/>
                <w:szCs w:val="21"/>
              </w:rPr>
              <w:t>50016规定的防火安全距离。</w:t>
            </w:r>
          </w:p>
        </w:tc>
        <w:tc>
          <w:tcPr>
            <w:tcW w:w="2858" w:type="dxa"/>
            <w:noWrap w:val="0"/>
            <w:vAlign w:val="top"/>
          </w:tcPr>
          <w:p w14:paraId="20131133">
            <w:pPr>
              <w:rPr>
                <w:rFonts w:ascii="Arial"/>
                <w:sz w:val="21"/>
                <w:szCs w:val="21"/>
              </w:rPr>
            </w:pPr>
          </w:p>
        </w:tc>
        <w:tc>
          <w:tcPr>
            <w:tcW w:w="2838" w:type="dxa"/>
            <w:noWrap w:val="0"/>
            <w:vAlign w:val="top"/>
          </w:tcPr>
          <w:p w14:paraId="7D859A08">
            <w:pPr>
              <w:rPr>
                <w:rFonts w:ascii="Arial"/>
                <w:sz w:val="21"/>
                <w:szCs w:val="21"/>
              </w:rPr>
            </w:pPr>
          </w:p>
        </w:tc>
        <w:tc>
          <w:tcPr>
            <w:tcW w:w="1254" w:type="dxa"/>
            <w:noWrap w:val="0"/>
            <w:vAlign w:val="top"/>
          </w:tcPr>
          <w:p w14:paraId="3BFC8C84">
            <w:pPr>
              <w:rPr>
                <w:rFonts w:ascii="Arial"/>
                <w:sz w:val="21"/>
                <w:szCs w:val="21"/>
              </w:rPr>
            </w:pPr>
          </w:p>
        </w:tc>
      </w:tr>
      <w:tr w14:paraId="705B1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atLeast"/>
          <w:jc w:val="center"/>
        </w:trPr>
        <w:tc>
          <w:tcPr>
            <w:tcW w:w="864" w:type="dxa"/>
            <w:noWrap w:val="0"/>
            <w:vAlign w:val="top"/>
          </w:tcPr>
          <w:p w14:paraId="47929B4A">
            <w:pPr>
              <w:spacing w:line="256" w:lineRule="auto"/>
              <w:rPr>
                <w:rFonts w:ascii="Arial"/>
                <w:sz w:val="21"/>
                <w:szCs w:val="21"/>
              </w:rPr>
            </w:pPr>
          </w:p>
          <w:p w14:paraId="0849014A">
            <w:pPr>
              <w:spacing w:line="256" w:lineRule="auto"/>
              <w:rPr>
                <w:rFonts w:ascii="Arial"/>
                <w:sz w:val="21"/>
                <w:szCs w:val="21"/>
              </w:rPr>
            </w:pPr>
          </w:p>
          <w:p w14:paraId="008D003F">
            <w:pPr>
              <w:spacing w:line="257" w:lineRule="auto"/>
              <w:rPr>
                <w:rFonts w:ascii="Arial"/>
                <w:sz w:val="21"/>
                <w:szCs w:val="21"/>
              </w:rPr>
            </w:pPr>
          </w:p>
          <w:p w14:paraId="55BEBC4F">
            <w:pPr>
              <w:spacing w:line="257" w:lineRule="auto"/>
              <w:rPr>
                <w:rFonts w:ascii="Arial"/>
                <w:sz w:val="21"/>
                <w:szCs w:val="21"/>
              </w:rPr>
            </w:pPr>
          </w:p>
          <w:p w14:paraId="7093B6F6">
            <w:pPr>
              <w:spacing w:line="257" w:lineRule="auto"/>
              <w:rPr>
                <w:rFonts w:ascii="Arial"/>
                <w:sz w:val="21"/>
                <w:szCs w:val="21"/>
              </w:rPr>
            </w:pPr>
          </w:p>
          <w:p w14:paraId="7BCCC054">
            <w:pPr>
              <w:spacing w:line="257" w:lineRule="auto"/>
              <w:rPr>
                <w:rFonts w:ascii="Arial"/>
                <w:sz w:val="21"/>
                <w:szCs w:val="21"/>
              </w:rPr>
            </w:pPr>
          </w:p>
          <w:p w14:paraId="5A6CAFC8">
            <w:pPr>
              <w:spacing w:line="257" w:lineRule="auto"/>
              <w:rPr>
                <w:rFonts w:ascii="Arial"/>
                <w:sz w:val="21"/>
                <w:szCs w:val="21"/>
              </w:rPr>
            </w:pPr>
          </w:p>
          <w:p w14:paraId="149BDA63">
            <w:pPr>
              <w:spacing w:before="78" w:line="184" w:lineRule="auto"/>
              <w:ind w:left="305"/>
              <w:rPr>
                <w:rFonts w:ascii="宋体" w:hAnsi="宋体" w:eastAsia="宋体" w:cs="宋体"/>
                <w:sz w:val="21"/>
                <w:szCs w:val="21"/>
              </w:rPr>
            </w:pPr>
            <w:r>
              <w:rPr>
                <w:rFonts w:ascii="宋体" w:hAnsi="宋体" w:eastAsia="宋体" w:cs="宋体"/>
                <w:spacing w:val="-7"/>
                <w:sz w:val="21"/>
                <w:szCs w:val="21"/>
              </w:rPr>
              <w:t>1</w:t>
            </w:r>
            <w:r>
              <w:rPr>
                <w:rFonts w:hint="eastAsia" w:ascii="宋体" w:hAnsi="宋体" w:eastAsia="宋体" w:cs="宋体"/>
                <w:spacing w:val="-7"/>
                <w:sz w:val="21"/>
                <w:szCs w:val="21"/>
                <w:lang w:val="en-US" w:eastAsia="zh-CN"/>
              </w:rPr>
              <w:t>5</w:t>
            </w:r>
          </w:p>
        </w:tc>
        <w:tc>
          <w:tcPr>
            <w:tcW w:w="2239" w:type="dxa"/>
            <w:noWrap w:val="0"/>
            <w:vAlign w:val="top"/>
          </w:tcPr>
          <w:p w14:paraId="7397368D">
            <w:pPr>
              <w:spacing w:line="282" w:lineRule="auto"/>
              <w:rPr>
                <w:rFonts w:ascii="Arial"/>
                <w:sz w:val="21"/>
                <w:szCs w:val="21"/>
              </w:rPr>
            </w:pPr>
          </w:p>
          <w:p w14:paraId="363B3E52">
            <w:pPr>
              <w:spacing w:line="282" w:lineRule="auto"/>
              <w:rPr>
                <w:rFonts w:ascii="Arial"/>
                <w:sz w:val="21"/>
                <w:szCs w:val="21"/>
              </w:rPr>
            </w:pPr>
          </w:p>
          <w:p w14:paraId="00B45CAC">
            <w:pPr>
              <w:spacing w:line="282" w:lineRule="auto"/>
              <w:rPr>
                <w:rFonts w:ascii="Arial"/>
                <w:sz w:val="21"/>
                <w:szCs w:val="21"/>
              </w:rPr>
            </w:pPr>
          </w:p>
          <w:p w14:paraId="16BA6952">
            <w:pPr>
              <w:spacing w:line="283" w:lineRule="auto"/>
              <w:rPr>
                <w:rFonts w:ascii="Arial"/>
                <w:sz w:val="21"/>
                <w:szCs w:val="21"/>
              </w:rPr>
            </w:pPr>
          </w:p>
          <w:p w14:paraId="2DDE8D1C">
            <w:pPr>
              <w:spacing w:before="78" w:line="244" w:lineRule="auto"/>
              <w:ind w:left="91" w:right="37" w:firstLine="59"/>
              <w:jc w:val="both"/>
              <w:rPr>
                <w:rFonts w:ascii="宋体" w:hAnsi="宋体" w:eastAsia="宋体" w:cs="宋体"/>
                <w:sz w:val="21"/>
                <w:szCs w:val="21"/>
              </w:rPr>
            </w:pPr>
            <w:r>
              <w:rPr>
                <w:rFonts w:ascii="宋体" w:hAnsi="宋体" w:eastAsia="宋体" w:cs="宋体"/>
                <w:spacing w:val="15"/>
                <w:sz w:val="21"/>
                <w:szCs w:val="21"/>
              </w:rPr>
              <w:t>危险化学品生产、</w:t>
            </w:r>
            <w:r>
              <w:rPr>
                <w:rFonts w:ascii="宋体" w:hAnsi="宋体" w:eastAsia="宋体" w:cs="宋体"/>
                <w:spacing w:val="9"/>
                <w:sz w:val="21"/>
                <w:szCs w:val="21"/>
              </w:rPr>
              <w:t>经营企业主要负责</w:t>
            </w:r>
            <w:r>
              <w:rPr>
                <w:rFonts w:ascii="宋体" w:hAnsi="宋体" w:eastAsia="宋体" w:cs="宋体"/>
                <w:spacing w:val="6"/>
                <w:sz w:val="21"/>
                <w:szCs w:val="21"/>
              </w:rPr>
              <w:t>人和安全生产管理</w:t>
            </w:r>
            <w:r>
              <w:rPr>
                <w:rFonts w:ascii="宋体" w:hAnsi="宋体" w:eastAsia="宋体" w:cs="宋体"/>
                <w:spacing w:val="9"/>
                <w:sz w:val="21"/>
                <w:szCs w:val="21"/>
              </w:rPr>
              <w:t>人员未依法经考核</w:t>
            </w:r>
            <w:r>
              <w:rPr>
                <w:rFonts w:ascii="宋体" w:hAnsi="宋体" w:eastAsia="宋体" w:cs="宋体"/>
                <w:spacing w:val="-7"/>
                <w:sz w:val="21"/>
                <w:szCs w:val="21"/>
              </w:rPr>
              <w:t>合格。</w:t>
            </w:r>
          </w:p>
        </w:tc>
        <w:tc>
          <w:tcPr>
            <w:tcW w:w="3507" w:type="dxa"/>
            <w:noWrap w:val="0"/>
            <w:vAlign w:val="top"/>
          </w:tcPr>
          <w:p w14:paraId="233D64D1">
            <w:pPr>
              <w:spacing w:before="117" w:line="241" w:lineRule="auto"/>
              <w:ind w:left="122" w:right="1" w:firstLine="489"/>
              <w:rPr>
                <w:rFonts w:ascii="宋体" w:hAnsi="宋体" w:eastAsia="宋体" w:cs="宋体"/>
                <w:sz w:val="21"/>
                <w:szCs w:val="21"/>
              </w:rPr>
            </w:pPr>
            <w:r>
              <w:rPr>
                <w:rFonts w:ascii="宋体" w:hAnsi="宋体" w:eastAsia="宋体" w:cs="宋体"/>
                <w:spacing w:val="-11"/>
                <w:sz w:val="21"/>
                <w:szCs w:val="21"/>
              </w:rPr>
              <w:t>1.《中华人民共和国安全生</w:t>
            </w:r>
            <w:r>
              <w:rPr>
                <w:rFonts w:ascii="宋体" w:hAnsi="宋体" w:eastAsia="宋体" w:cs="宋体"/>
                <w:sz w:val="21"/>
                <w:szCs w:val="21"/>
              </w:rPr>
              <w:t>产法》第二十七条第一款、第二</w:t>
            </w:r>
            <w:r>
              <w:rPr>
                <w:rFonts w:ascii="宋体" w:hAnsi="宋体" w:eastAsia="宋体" w:cs="宋体"/>
                <w:spacing w:val="8"/>
                <w:sz w:val="21"/>
                <w:szCs w:val="21"/>
              </w:rPr>
              <w:t>款生产经营单位的主要负责</w:t>
            </w:r>
            <w:r>
              <w:rPr>
                <w:rFonts w:ascii="宋体" w:hAnsi="宋体" w:eastAsia="宋体" w:cs="宋体"/>
                <w:spacing w:val="11"/>
                <w:sz w:val="21"/>
                <w:szCs w:val="21"/>
              </w:rPr>
              <w:t>人和安全生产管理人员必须具</w:t>
            </w:r>
            <w:r>
              <w:rPr>
                <w:rFonts w:ascii="宋体" w:hAnsi="宋体" w:eastAsia="宋体" w:cs="宋体"/>
                <w:spacing w:val="10"/>
                <w:sz w:val="21"/>
                <w:szCs w:val="21"/>
              </w:rPr>
              <w:t>备与本单位所从事的生产经营活动相应的安全生产知识和管</w:t>
            </w:r>
            <w:r>
              <w:rPr>
                <w:rFonts w:ascii="宋体" w:hAnsi="宋体" w:eastAsia="宋体" w:cs="宋体"/>
                <w:spacing w:val="24"/>
                <w:sz w:val="21"/>
                <w:szCs w:val="21"/>
              </w:rPr>
              <w:t>理能力。</w:t>
            </w:r>
          </w:p>
          <w:p w14:paraId="17A393CF">
            <w:pPr>
              <w:spacing w:before="57" w:line="242" w:lineRule="auto"/>
              <w:ind w:left="122" w:firstLine="479"/>
              <w:rPr>
                <w:rFonts w:ascii="宋体" w:hAnsi="宋体" w:eastAsia="宋体" w:cs="宋体"/>
                <w:sz w:val="21"/>
                <w:szCs w:val="21"/>
              </w:rPr>
            </w:pPr>
            <w:r>
              <w:rPr>
                <w:rFonts w:ascii="宋体" w:hAnsi="宋体" w:eastAsia="宋体" w:cs="宋体"/>
                <w:spacing w:val="10"/>
                <w:sz w:val="21"/>
                <w:szCs w:val="21"/>
              </w:rPr>
              <w:t>危险物品的生产、经营、储</w:t>
            </w:r>
            <w:r>
              <w:rPr>
                <w:rFonts w:ascii="宋体" w:hAnsi="宋体" w:eastAsia="宋体" w:cs="宋体"/>
                <w:spacing w:val="11"/>
                <w:sz w:val="21"/>
                <w:szCs w:val="21"/>
              </w:rPr>
              <w:t>存、装卸单位以及矿山、金属冶</w:t>
            </w:r>
            <w:r>
              <w:rPr>
                <w:rFonts w:ascii="宋体" w:hAnsi="宋体" w:eastAsia="宋体" w:cs="宋体"/>
                <w:spacing w:val="10"/>
                <w:sz w:val="21"/>
                <w:szCs w:val="21"/>
              </w:rPr>
              <w:t>炼、建筑施工、运输单位的主要负责人和安全生产管理人员，应</w:t>
            </w:r>
            <w:r>
              <w:rPr>
                <w:rFonts w:ascii="宋体" w:hAnsi="宋体" w:eastAsia="宋体" w:cs="宋体"/>
                <w:spacing w:val="21"/>
                <w:sz w:val="21"/>
                <w:szCs w:val="21"/>
              </w:rPr>
              <w:t>当由主管的负有安全生产监督</w:t>
            </w:r>
          </w:p>
        </w:tc>
        <w:tc>
          <w:tcPr>
            <w:tcW w:w="2858" w:type="dxa"/>
            <w:noWrap w:val="0"/>
            <w:vAlign w:val="top"/>
          </w:tcPr>
          <w:p w14:paraId="6B574525">
            <w:pPr>
              <w:rPr>
                <w:rFonts w:ascii="Arial"/>
                <w:sz w:val="21"/>
                <w:szCs w:val="21"/>
              </w:rPr>
            </w:pPr>
          </w:p>
        </w:tc>
        <w:tc>
          <w:tcPr>
            <w:tcW w:w="2838" w:type="dxa"/>
            <w:noWrap w:val="0"/>
            <w:vAlign w:val="top"/>
          </w:tcPr>
          <w:p w14:paraId="26AA2392">
            <w:pPr>
              <w:spacing w:before="78" w:line="254" w:lineRule="auto"/>
              <w:ind w:left="126" w:firstLine="468"/>
              <w:jc w:val="both"/>
              <w:rPr>
                <w:rFonts w:ascii="宋体" w:hAnsi="宋体" w:eastAsia="宋体" w:cs="宋体"/>
                <w:sz w:val="21"/>
                <w:szCs w:val="21"/>
              </w:rPr>
            </w:pPr>
            <w:r>
              <w:rPr>
                <w:rFonts w:ascii="宋体" w:hAnsi="宋体" w:eastAsia="宋体" w:cs="宋体"/>
                <w:spacing w:val="28"/>
                <w:sz w:val="21"/>
                <w:szCs w:val="21"/>
              </w:rPr>
              <w:t>《中华人民共和国</w:t>
            </w:r>
            <w:r>
              <w:rPr>
                <w:rFonts w:ascii="宋体" w:hAnsi="宋体" w:eastAsia="宋体" w:cs="宋体"/>
                <w:spacing w:val="5"/>
                <w:sz w:val="21"/>
                <w:szCs w:val="21"/>
              </w:rPr>
              <w:t>安全生产法》第九十七条</w:t>
            </w:r>
            <w:r>
              <w:rPr>
                <w:rFonts w:ascii="宋体" w:hAnsi="宋体" w:eastAsia="宋体" w:cs="宋体"/>
                <w:spacing w:val="19"/>
                <w:sz w:val="21"/>
                <w:szCs w:val="21"/>
              </w:rPr>
              <w:t>第二项生产经营单位</w:t>
            </w:r>
            <w:r>
              <w:rPr>
                <w:rFonts w:ascii="宋体" w:hAnsi="宋体" w:eastAsia="宋体" w:cs="宋体"/>
                <w:spacing w:val="5"/>
                <w:sz w:val="21"/>
                <w:szCs w:val="21"/>
              </w:rPr>
              <w:t>有下列行为之一的，责令</w:t>
            </w:r>
            <w:r>
              <w:rPr>
                <w:rFonts w:ascii="宋体" w:hAnsi="宋体" w:eastAsia="宋体" w:cs="宋体"/>
                <w:spacing w:val="6"/>
                <w:sz w:val="21"/>
                <w:szCs w:val="21"/>
              </w:rPr>
              <w:t>限期改正，处十万元以下</w:t>
            </w:r>
            <w:r>
              <w:rPr>
                <w:rFonts w:ascii="宋体" w:hAnsi="宋体" w:eastAsia="宋体" w:cs="宋体"/>
                <w:spacing w:val="15"/>
                <w:sz w:val="21"/>
                <w:szCs w:val="21"/>
              </w:rPr>
              <w:t>的罚款；逾期未改正的，</w:t>
            </w:r>
            <w:r>
              <w:rPr>
                <w:rFonts w:ascii="宋体" w:hAnsi="宋体" w:eastAsia="宋体" w:cs="宋体"/>
                <w:spacing w:val="5"/>
                <w:sz w:val="21"/>
                <w:szCs w:val="21"/>
              </w:rPr>
              <w:t>责令停产停业整顿，并处</w:t>
            </w:r>
            <w:r>
              <w:rPr>
                <w:rFonts w:ascii="宋体" w:hAnsi="宋体" w:eastAsia="宋体" w:cs="宋体"/>
                <w:spacing w:val="23"/>
                <w:sz w:val="21"/>
                <w:szCs w:val="21"/>
              </w:rPr>
              <w:t>十万元以上二十万元以</w:t>
            </w:r>
            <w:r>
              <w:rPr>
                <w:rFonts w:ascii="宋体" w:hAnsi="宋体" w:eastAsia="宋体" w:cs="宋体"/>
                <w:spacing w:val="6"/>
                <w:sz w:val="21"/>
                <w:szCs w:val="21"/>
              </w:rPr>
              <w:t>下的罚款，对其直接负责</w:t>
            </w:r>
            <w:r>
              <w:rPr>
                <w:rFonts w:ascii="宋体" w:hAnsi="宋体" w:eastAsia="宋体" w:cs="宋体"/>
                <w:spacing w:val="25"/>
                <w:sz w:val="21"/>
                <w:szCs w:val="21"/>
              </w:rPr>
              <w:t>的主管人员和其他直接</w:t>
            </w:r>
            <w:r>
              <w:rPr>
                <w:rFonts w:ascii="宋体" w:hAnsi="宋体" w:eastAsia="宋体" w:cs="宋体"/>
                <w:spacing w:val="21"/>
                <w:sz w:val="21"/>
                <w:szCs w:val="21"/>
              </w:rPr>
              <w:t>责任人员处二万元以上</w:t>
            </w:r>
            <w:r>
              <w:rPr>
                <w:rFonts w:ascii="宋体" w:hAnsi="宋体" w:eastAsia="宋体" w:cs="宋体"/>
                <w:spacing w:val="17"/>
                <w:sz w:val="21"/>
                <w:szCs w:val="21"/>
              </w:rPr>
              <w:t>五万元以下的罚款：</w:t>
            </w:r>
          </w:p>
        </w:tc>
        <w:tc>
          <w:tcPr>
            <w:tcW w:w="1254" w:type="dxa"/>
            <w:noWrap w:val="0"/>
            <w:vAlign w:val="top"/>
          </w:tcPr>
          <w:p w14:paraId="62E78258">
            <w:pPr>
              <w:spacing w:line="266" w:lineRule="auto"/>
              <w:rPr>
                <w:rFonts w:ascii="Arial"/>
                <w:sz w:val="21"/>
                <w:szCs w:val="21"/>
              </w:rPr>
            </w:pPr>
          </w:p>
          <w:p w14:paraId="24B8222B">
            <w:pPr>
              <w:spacing w:line="266" w:lineRule="auto"/>
              <w:rPr>
                <w:rFonts w:ascii="Arial"/>
                <w:sz w:val="21"/>
                <w:szCs w:val="21"/>
              </w:rPr>
            </w:pPr>
          </w:p>
          <w:p w14:paraId="1D39397D">
            <w:pPr>
              <w:spacing w:line="266" w:lineRule="auto"/>
              <w:rPr>
                <w:rFonts w:ascii="Arial"/>
                <w:sz w:val="21"/>
                <w:szCs w:val="21"/>
              </w:rPr>
            </w:pPr>
          </w:p>
          <w:p w14:paraId="3026D32E">
            <w:pPr>
              <w:spacing w:line="267" w:lineRule="auto"/>
              <w:rPr>
                <w:rFonts w:ascii="Arial"/>
                <w:sz w:val="21"/>
                <w:szCs w:val="21"/>
              </w:rPr>
            </w:pPr>
          </w:p>
          <w:p w14:paraId="653AF5AA">
            <w:pPr>
              <w:spacing w:line="267" w:lineRule="auto"/>
              <w:rPr>
                <w:rFonts w:ascii="Arial"/>
                <w:sz w:val="21"/>
                <w:szCs w:val="21"/>
              </w:rPr>
            </w:pPr>
          </w:p>
          <w:p w14:paraId="66CABB34">
            <w:pPr>
              <w:spacing w:line="267" w:lineRule="auto"/>
              <w:rPr>
                <w:rFonts w:ascii="Arial"/>
                <w:sz w:val="21"/>
                <w:szCs w:val="21"/>
              </w:rPr>
            </w:pPr>
          </w:p>
          <w:p w14:paraId="6B7E9B9F">
            <w:pPr>
              <w:spacing w:before="78" w:line="232" w:lineRule="auto"/>
              <w:ind w:left="129" w:right="130"/>
              <w:rPr>
                <w:rFonts w:ascii="宋体" w:hAnsi="宋体" w:eastAsia="宋体" w:cs="宋体"/>
                <w:sz w:val="21"/>
                <w:szCs w:val="21"/>
              </w:rPr>
            </w:pPr>
            <w:r>
              <w:rPr>
                <w:rFonts w:ascii="宋体" w:hAnsi="宋体" w:eastAsia="宋体" w:cs="宋体"/>
                <w:spacing w:val="6"/>
                <w:sz w:val="21"/>
                <w:szCs w:val="21"/>
              </w:rPr>
              <w:t>重大隐患</w:t>
            </w:r>
            <w:r>
              <w:rPr>
                <w:rFonts w:ascii="宋体" w:hAnsi="宋体" w:eastAsia="宋体" w:cs="宋体"/>
                <w:spacing w:val="4"/>
                <w:sz w:val="21"/>
                <w:szCs w:val="21"/>
              </w:rPr>
              <w:t>管理</w:t>
            </w:r>
          </w:p>
        </w:tc>
      </w:tr>
    </w:tbl>
    <w:p w14:paraId="3832E193">
      <w:pPr>
        <w:spacing w:line="129" w:lineRule="exact"/>
      </w:pPr>
    </w:p>
    <w:p w14:paraId="6E54D324">
      <w:pPr>
        <w:rPr>
          <w:rFonts w:ascii="Arial"/>
          <w:sz w:val="21"/>
        </w:rPr>
      </w:pPr>
    </w:p>
    <w:p w14:paraId="4C08BB54">
      <w:pPr>
        <w:sectPr>
          <w:pgSz w:w="16840" w:h="11900"/>
          <w:pgMar w:top="1440" w:right="1080" w:bottom="1440" w:left="1080" w:header="0" w:footer="0" w:gutter="0"/>
          <w:pgNumType w:fmt="decimal"/>
          <w:cols w:space="720" w:num="1"/>
        </w:sectPr>
      </w:pPr>
    </w:p>
    <w:p w14:paraId="1100529D"/>
    <w:p w14:paraId="5DD07EA6"/>
    <w:p w14:paraId="54EC6B33">
      <w:pPr>
        <w:spacing w:line="21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498"/>
        <w:gridCol w:w="2878"/>
        <w:gridCol w:w="2838"/>
        <w:gridCol w:w="1254"/>
      </w:tblGrid>
      <w:tr w14:paraId="52AE1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1D2AABEA">
            <w:pPr>
              <w:spacing w:before="226" w:line="221" w:lineRule="auto"/>
              <w:ind w:left="185"/>
              <w:rPr>
                <w:rFonts w:ascii="宋体" w:hAnsi="宋体" w:eastAsia="宋体" w:cs="宋体"/>
                <w:b/>
                <w:bCs/>
                <w:sz w:val="24"/>
                <w:szCs w:val="24"/>
              </w:rPr>
            </w:pPr>
            <w:r>
              <w:rPr>
                <w:rFonts w:ascii="宋体" w:hAnsi="宋体" w:eastAsia="宋体" w:cs="宋体"/>
                <w:b/>
                <w:bCs/>
                <w:spacing w:val="7"/>
                <w:sz w:val="24"/>
                <w:szCs w:val="24"/>
              </w:rPr>
              <w:t>序号</w:t>
            </w:r>
          </w:p>
        </w:tc>
        <w:tc>
          <w:tcPr>
            <w:tcW w:w="2228" w:type="dxa"/>
            <w:noWrap w:val="0"/>
            <w:vAlign w:val="top"/>
          </w:tcPr>
          <w:p w14:paraId="1E43EF8F">
            <w:pPr>
              <w:spacing w:before="95" w:line="219" w:lineRule="auto"/>
              <w:ind w:left="621"/>
              <w:rPr>
                <w:rFonts w:ascii="宋体" w:hAnsi="宋体" w:eastAsia="宋体" w:cs="宋体"/>
                <w:b/>
                <w:bCs/>
                <w:sz w:val="24"/>
                <w:szCs w:val="24"/>
              </w:rPr>
            </w:pPr>
            <w:r>
              <w:rPr>
                <w:rFonts w:ascii="宋体" w:hAnsi="宋体" w:eastAsia="宋体" w:cs="宋体"/>
                <w:b/>
                <w:bCs/>
                <w:spacing w:val="3"/>
                <w:sz w:val="24"/>
                <w:szCs w:val="24"/>
              </w:rPr>
              <w:t>执法检查</w:t>
            </w:r>
          </w:p>
          <w:p w14:paraId="44EDF7D4">
            <w:pPr>
              <w:spacing w:before="34" w:line="200" w:lineRule="auto"/>
              <w:ind w:left="381"/>
              <w:rPr>
                <w:rFonts w:ascii="宋体" w:hAnsi="宋体" w:eastAsia="宋体" w:cs="宋体"/>
                <w:b/>
                <w:bCs/>
                <w:sz w:val="24"/>
                <w:szCs w:val="24"/>
              </w:rPr>
            </w:pPr>
            <w:r>
              <w:rPr>
                <w:rFonts w:ascii="宋体" w:hAnsi="宋体" w:eastAsia="宋体" w:cs="宋体"/>
                <w:b/>
                <w:bCs/>
                <w:spacing w:val="2"/>
                <w:sz w:val="24"/>
                <w:szCs w:val="24"/>
              </w:rPr>
              <w:t>重点事项内容</w:t>
            </w:r>
          </w:p>
        </w:tc>
        <w:tc>
          <w:tcPr>
            <w:tcW w:w="3498" w:type="dxa"/>
            <w:noWrap w:val="0"/>
            <w:vAlign w:val="top"/>
          </w:tcPr>
          <w:p w14:paraId="7D85360D">
            <w:pPr>
              <w:spacing w:before="223" w:line="219" w:lineRule="auto"/>
              <w:ind w:left="1033"/>
              <w:rPr>
                <w:rFonts w:ascii="宋体" w:hAnsi="宋体" w:eastAsia="宋体" w:cs="宋体"/>
                <w:b/>
                <w:bCs/>
                <w:sz w:val="24"/>
                <w:szCs w:val="24"/>
              </w:rPr>
            </w:pPr>
            <w:r>
              <w:rPr>
                <w:rFonts w:ascii="宋体" w:hAnsi="宋体" w:eastAsia="宋体" w:cs="宋体"/>
                <w:b/>
                <w:bCs/>
                <w:spacing w:val="2"/>
                <w:sz w:val="24"/>
                <w:szCs w:val="24"/>
              </w:rPr>
              <w:t>执法检查依据</w:t>
            </w:r>
          </w:p>
        </w:tc>
        <w:tc>
          <w:tcPr>
            <w:tcW w:w="2878" w:type="dxa"/>
            <w:noWrap w:val="0"/>
            <w:vAlign w:val="top"/>
          </w:tcPr>
          <w:p w14:paraId="14FC02A3">
            <w:pPr>
              <w:spacing w:before="95" w:line="220" w:lineRule="auto"/>
              <w:ind w:left="834"/>
              <w:rPr>
                <w:rFonts w:ascii="宋体" w:hAnsi="宋体" w:eastAsia="宋体" w:cs="宋体"/>
                <w:b/>
                <w:bCs/>
                <w:sz w:val="24"/>
                <w:szCs w:val="24"/>
              </w:rPr>
            </w:pPr>
            <w:r>
              <w:rPr>
                <w:rFonts w:ascii="宋体" w:hAnsi="宋体" w:eastAsia="宋体" w:cs="宋体"/>
                <w:b/>
                <w:bCs/>
                <w:spacing w:val="-2"/>
                <w:sz w:val="24"/>
                <w:szCs w:val="24"/>
              </w:rPr>
              <w:t>有关规范性</w:t>
            </w:r>
          </w:p>
          <w:p w14:paraId="11310153">
            <w:pPr>
              <w:spacing w:before="23" w:line="207" w:lineRule="auto"/>
              <w:ind w:left="59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838" w:type="dxa"/>
            <w:noWrap w:val="0"/>
            <w:vAlign w:val="top"/>
          </w:tcPr>
          <w:p w14:paraId="1B45683A">
            <w:pPr>
              <w:spacing w:before="223" w:line="219" w:lineRule="auto"/>
              <w:ind w:left="936"/>
              <w:rPr>
                <w:rFonts w:ascii="宋体" w:hAnsi="宋体" w:eastAsia="宋体" w:cs="宋体"/>
                <w:b/>
                <w:bCs/>
                <w:sz w:val="24"/>
                <w:szCs w:val="24"/>
              </w:rPr>
            </w:pPr>
            <w:r>
              <w:rPr>
                <w:rFonts w:ascii="宋体" w:hAnsi="宋体" w:eastAsia="宋体" w:cs="宋体"/>
                <w:b/>
                <w:bCs/>
                <w:spacing w:val="8"/>
                <w:sz w:val="24"/>
                <w:szCs w:val="24"/>
              </w:rPr>
              <w:t>处罚依据</w:t>
            </w:r>
          </w:p>
        </w:tc>
        <w:tc>
          <w:tcPr>
            <w:tcW w:w="1254" w:type="dxa"/>
            <w:noWrap w:val="0"/>
            <w:vAlign w:val="top"/>
          </w:tcPr>
          <w:p w14:paraId="5D96FFF9">
            <w:pPr>
              <w:spacing w:before="222" w:line="221" w:lineRule="auto"/>
              <w:ind w:left="392"/>
              <w:rPr>
                <w:rFonts w:ascii="宋体" w:hAnsi="宋体" w:eastAsia="宋体" w:cs="宋体"/>
                <w:b/>
                <w:bCs/>
                <w:sz w:val="24"/>
                <w:szCs w:val="24"/>
              </w:rPr>
            </w:pPr>
            <w:r>
              <w:rPr>
                <w:rFonts w:ascii="宋体" w:hAnsi="宋体" w:eastAsia="宋体" w:cs="宋体"/>
                <w:b/>
                <w:bCs/>
                <w:spacing w:val="-6"/>
                <w:sz w:val="24"/>
                <w:szCs w:val="24"/>
              </w:rPr>
              <w:t>备注</w:t>
            </w:r>
          </w:p>
        </w:tc>
      </w:tr>
      <w:tr w14:paraId="227A3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6" w:hRule="atLeast"/>
          <w:jc w:val="center"/>
        </w:trPr>
        <w:tc>
          <w:tcPr>
            <w:tcW w:w="864" w:type="dxa"/>
            <w:noWrap w:val="0"/>
            <w:vAlign w:val="top"/>
          </w:tcPr>
          <w:p w14:paraId="6FEAD8E0">
            <w:pPr>
              <w:rPr>
                <w:rFonts w:ascii="Arial"/>
                <w:sz w:val="21"/>
              </w:rPr>
            </w:pPr>
          </w:p>
        </w:tc>
        <w:tc>
          <w:tcPr>
            <w:tcW w:w="2228" w:type="dxa"/>
            <w:noWrap w:val="0"/>
            <w:vAlign w:val="top"/>
          </w:tcPr>
          <w:p w14:paraId="5EF7C465">
            <w:pPr>
              <w:rPr>
                <w:rFonts w:ascii="Arial"/>
                <w:sz w:val="21"/>
                <w:szCs w:val="21"/>
              </w:rPr>
            </w:pPr>
          </w:p>
        </w:tc>
        <w:tc>
          <w:tcPr>
            <w:tcW w:w="3498" w:type="dxa"/>
            <w:noWrap w:val="0"/>
            <w:vAlign w:val="top"/>
          </w:tcPr>
          <w:p w14:paraId="240E3A5E">
            <w:pPr>
              <w:spacing w:before="90" w:line="213" w:lineRule="auto"/>
              <w:ind w:left="143"/>
              <w:rPr>
                <w:rFonts w:ascii="宋体" w:hAnsi="宋体" w:eastAsia="宋体" w:cs="宋体"/>
                <w:spacing w:val="10"/>
                <w:sz w:val="21"/>
                <w:szCs w:val="21"/>
              </w:rPr>
            </w:pPr>
            <w:r>
              <w:rPr>
                <w:rFonts w:ascii="宋体" w:hAnsi="宋体" w:eastAsia="宋体" w:cs="宋体"/>
                <w:spacing w:val="10"/>
                <w:sz w:val="21"/>
                <w:szCs w:val="21"/>
              </w:rPr>
              <w:t>管理职责的部门对其安全生产</w:t>
            </w:r>
          </w:p>
          <w:p w14:paraId="09661BE1">
            <w:pPr>
              <w:spacing w:before="63" w:line="204" w:lineRule="auto"/>
              <w:ind w:left="143"/>
              <w:rPr>
                <w:rFonts w:ascii="宋体" w:hAnsi="宋体" w:eastAsia="宋体" w:cs="宋体"/>
                <w:sz w:val="21"/>
                <w:szCs w:val="21"/>
              </w:rPr>
            </w:pPr>
            <w:r>
              <w:rPr>
                <w:rFonts w:ascii="宋体" w:hAnsi="宋体" w:eastAsia="宋体" w:cs="宋体"/>
                <w:spacing w:val="10"/>
                <w:sz w:val="21"/>
                <w:szCs w:val="21"/>
              </w:rPr>
              <w:t>知识和管理能力考核合格。</w:t>
            </w:r>
          </w:p>
          <w:p w14:paraId="40E219AC">
            <w:pPr>
              <w:spacing w:before="34" w:line="212" w:lineRule="auto"/>
              <w:ind w:left="583"/>
              <w:rPr>
                <w:rFonts w:ascii="宋体" w:hAnsi="宋体" w:eastAsia="宋体" w:cs="宋体"/>
                <w:sz w:val="21"/>
                <w:szCs w:val="21"/>
              </w:rPr>
            </w:pPr>
            <w:r>
              <w:rPr>
                <w:rFonts w:ascii="宋体" w:hAnsi="宋体" w:eastAsia="宋体" w:cs="宋体"/>
                <w:spacing w:val="-10"/>
                <w:sz w:val="21"/>
                <w:szCs w:val="21"/>
              </w:rPr>
              <w:t>2.《化工和危险化学品生产</w:t>
            </w:r>
          </w:p>
          <w:p w14:paraId="31DD8716">
            <w:pPr>
              <w:spacing w:before="44" w:line="212" w:lineRule="auto"/>
              <w:ind w:left="143"/>
              <w:rPr>
                <w:rFonts w:ascii="宋体" w:hAnsi="宋体" w:eastAsia="宋体" w:cs="宋体"/>
                <w:sz w:val="21"/>
                <w:szCs w:val="21"/>
              </w:rPr>
            </w:pPr>
            <w:r>
              <w:rPr>
                <w:rFonts w:ascii="宋体" w:hAnsi="宋体" w:eastAsia="宋体" w:cs="宋体"/>
                <w:spacing w:val="13"/>
                <w:sz w:val="21"/>
                <w:szCs w:val="21"/>
              </w:rPr>
              <w:t>经营单位重大生产安全事故隐</w:t>
            </w:r>
          </w:p>
          <w:p w14:paraId="631CEFCE">
            <w:pPr>
              <w:spacing w:before="46" w:line="210" w:lineRule="auto"/>
              <w:ind w:left="143"/>
              <w:rPr>
                <w:rFonts w:ascii="宋体" w:hAnsi="宋体" w:eastAsia="宋体" w:cs="宋体"/>
                <w:sz w:val="21"/>
                <w:szCs w:val="21"/>
              </w:rPr>
            </w:pPr>
            <w:r>
              <w:rPr>
                <w:rFonts w:ascii="宋体" w:hAnsi="宋体" w:eastAsia="宋体" w:cs="宋体"/>
                <w:spacing w:val="18"/>
                <w:sz w:val="21"/>
                <w:szCs w:val="21"/>
              </w:rPr>
              <w:t>患判定标准(试行)》(安监总</w:t>
            </w:r>
          </w:p>
          <w:p w14:paraId="75D0356E">
            <w:pPr>
              <w:spacing w:before="45" w:line="215" w:lineRule="auto"/>
              <w:ind w:left="143"/>
              <w:rPr>
                <w:rFonts w:ascii="宋体" w:hAnsi="宋体" w:eastAsia="宋体" w:cs="宋体"/>
                <w:sz w:val="21"/>
                <w:szCs w:val="21"/>
              </w:rPr>
            </w:pPr>
            <w:r>
              <w:rPr>
                <w:rFonts w:ascii="宋体" w:hAnsi="宋体" w:eastAsia="宋体" w:cs="宋体"/>
                <w:spacing w:val="1"/>
                <w:sz w:val="21"/>
                <w:szCs w:val="21"/>
              </w:rPr>
              <w:t>管三〔2017〕121号)第一条危</w:t>
            </w:r>
          </w:p>
          <w:p w14:paraId="5280CED5">
            <w:pPr>
              <w:spacing w:before="61" w:line="211" w:lineRule="auto"/>
              <w:ind w:left="143"/>
              <w:rPr>
                <w:rFonts w:ascii="宋体" w:hAnsi="宋体" w:eastAsia="宋体" w:cs="宋体"/>
                <w:sz w:val="21"/>
                <w:szCs w:val="21"/>
              </w:rPr>
            </w:pPr>
            <w:r>
              <w:rPr>
                <w:rFonts w:ascii="宋体" w:hAnsi="宋体" w:eastAsia="宋体" w:cs="宋体"/>
                <w:spacing w:val="8"/>
                <w:sz w:val="21"/>
                <w:szCs w:val="21"/>
              </w:rPr>
              <w:t>险化学品生产、经营单位主要负</w:t>
            </w:r>
          </w:p>
          <w:p w14:paraId="172D4CC6">
            <w:pPr>
              <w:spacing w:before="35" w:line="215" w:lineRule="auto"/>
              <w:ind w:left="143"/>
              <w:rPr>
                <w:rFonts w:ascii="宋体" w:hAnsi="宋体" w:eastAsia="宋体" w:cs="宋体"/>
                <w:sz w:val="21"/>
                <w:szCs w:val="21"/>
              </w:rPr>
            </w:pPr>
            <w:r>
              <w:rPr>
                <w:rFonts w:ascii="宋体" w:hAnsi="宋体" w:eastAsia="宋体" w:cs="宋体"/>
                <w:spacing w:val="11"/>
                <w:sz w:val="21"/>
                <w:szCs w:val="21"/>
              </w:rPr>
              <w:t>责人和安全生产管理人员未依</w:t>
            </w:r>
          </w:p>
          <w:p w14:paraId="1DAC4959">
            <w:pPr>
              <w:spacing w:before="51" w:line="189" w:lineRule="auto"/>
              <w:ind w:left="143"/>
              <w:rPr>
                <w:rFonts w:ascii="宋体" w:hAnsi="宋体" w:eastAsia="宋体" w:cs="宋体"/>
                <w:sz w:val="21"/>
                <w:szCs w:val="21"/>
              </w:rPr>
            </w:pPr>
            <w:r>
              <w:rPr>
                <w:rFonts w:ascii="宋体" w:hAnsi="宋体" w:eastAsia="宋体" w:cs="宋体"/>
                <w:spacing w:val="17"/>
                <w:sz w:val="21"/>
                <w:szCs w:val="21"/>
              </w:rPr>
              <w:t>法经考核合格。</w:t>
            </w:r>
          </w:p>
        </w:tc>
        <w:tc>
          <w:tcPr>
            <w:tcW w:w="2878" w:type="dxa"/>
            <w:noWrap w:val="0"/>
            <w:vAlign w:val="top"/>
          </w:tcPr>
          <w:p w14:paraId="669E470B">
            <w:pPr>
              <w:rPr>
                <w:rFonts w:ascii="Arial"/>
                <w:sz w:val="21"/>
                <w:szCs w:val="21"/>
              </w:rPr>
            </w:pPr>
          </w:p>
        </w:tc>
        <w:tc>
          <w:tcPr>
            <w:tcW w:w="2838" w:type="dxa"/>
            <w:noWrap w:val="0"/>
            <w:vAlign w:val="top"/>
          </w:tcPr>
          <w:p w14:paraId="46A3AA1F">
            <w:pPr>
              <w:spacing w:before="91" w:line="212" w:lineRule="auto"/>
              <w:ind w:left="687"/>
              <w:rPr>
                <w:rFonts w:ascii="宋体" w:hAnsi="宋体" w:eastAsia="宋体" w:cs="宋体"/>
                <w:spacing w:val="14"/>
                <w:sz w:val="21"/>
                <w:szCs w:val="21"/>
              </w:rPr>
            </w:pPr>
            <w:r>
              <w:rPr>
                <w:rFonts w:ascii="宋体" w:hAnsi="宋体" w:eastAsia="宋体" w:cs="宋体"/>
                <w:spacing w:val="14"/>
                <w:sz w:val="21"/>
                <w:szCs w:val="21"/>
              </w:rPr>
              <w:t>(二)危险物品的生</w:t>
            </w:r>
          </w:p>
          <w:p w14:paraId="1ABDC203">
            <w:pPr>
              <w:spacing w:before="43" w:line="219" w:lineRule="auto"/>
              <w:ind w:left="147"/>
              <w:rPr>
                <w:rFonts w:ascii="宋体" w:hAnsi="宋体" w:eastAsia="宋体" w:cs="宋体"/>
                <w:sz w:val="21"/>
                <w:szCs w:val="21"/>
              </w:rPr>
            </w:pPr>
            <w:r>
              <w:rPr>
                <w:rFonts w:ascii="宋体" w:hAnsi="宋体" w:eastAsia="宋体" w:cs="宋体"/>
                <w:spacing w:val="-1"/>
                <w:sz w:val="21"/>
                <w:szCs w:val="21"/>
              </w:rPr>
              <w:t>产、经营、储存、装卸单</w:t>
            </w:r>
          </w:p>
          <w:p w14:paraId="78E5E5B3">
            <w:pPr>
              <w:spacing w:before="34" w:line="221" w:lineRule="auto"/>
              <w:ind w:left="147"/>
              <w:rPr>
                <w:rFonts w:ascii="宋体" w:hAnsi="宋体" w:eastAsia="宋体" w:cs="宋体"/>
                <w:sz w:val="21"/>
                <w:szCs w:val="21"/>
              </w:rPr>
            </w:pPr>
            <w:r>
              <w:rPr>
                <w:rFonts w:ascii="宋体" w:hAnsi="宋体" w:eastAsia="宋体" w:cs="宋体"/>
                <w:spacing w:val="13"/>
                <w:sz w:val="21"/>
                <w:szCs w:val="21"/>
              </w:rPr>
              <w:t>位以及矿山、金属冶炼、</w:t>
            </w:r>
          </w:p>
          <w:p w14:paraId="6509E9AE">
            <w:pPr>
              <w:spacing w:before="44" w:line="212" w:lineRule="auto"/>
              <w:ind w:left="147"/>
              <w:rPr>
                <w:rFonts w:ascii="宋体" w:hAnsi="宋体" w:eastAsia="宋体" w:cs="宋体"/>
                <w:sz w:val="21"/>
                <w:szCs w:val="21"/>
              </w:rPr>
            </w:pPr>
            <w:r>
              <w:rPr>
                <w:rFonts w:ascii="宋体" w:hAnsi="宋体" w:eastAsia="宋体" w:cs="宋体"/>
                <w:spacing w:val="1"/>
                <w:sz w:val="21"/>
                <w:szCs w:val="21"/>
              </w:rPr>
              <w:t>建筑施工、运输单位的主</w:t>
            </w:r>
          </w:p>
          <w:p w14:paraId="5787FEDA">
            <w:pPr>
              <w:spacing w:before="44" w:line="211" w:lineRule="auto"/>
              <w:ind w:left="147"/>
              <w:rPr>
                <w:rFonts w:ascii="宋体" w:hAnsi="宋体" w:eastAsia="宋体" w:cs="宋体"/>
                <w:sz w:val="21"/>
                <w:szCs w:val="21"/>
              </w:rPr>
            </w:pPr>
            <w:r>
              <w:rPr>
                <w:rFonts w:ascii="宋体" w:hAnsi="宋体" w:eastAsia="宋体" w:cs="宋体"/>
                <w:spacing w:val="21"/>
                <w:sz w:val="21"/>
                <w:szCs w:val="21"/>
              </w:rPr>
              <w:t>要负责人和安全生产管</w:t>
            </w:r>
          </w:p>
          <w:p w14:paraId="09457A68">
            <w:pPr>
              <w:spacing w:before="45" w:line="215" w:lineRule="auto"/>
              <w:ind w:left="147"/>
              <w:rPr>
                <w:rFonts w:ascii="宋体" w:hAnsi="宋体" w:eastAsia="宋体" w:cs="宋体"/>
                <w:sz w:val="21"/>
                <w:szCs w:val="21"/>
              </w:rPr>
            </w:pPr>
            <w:r>
              <w:rPr>
                <w:rFonts w:ascii="宋体" w:hAnsi="宋体" w:eastAsia="宋体" w:cs="宋体"/>
                <w:spacing w:val="20"/>
                <w:sz w:val="21"/>
                <w:szCs w:val="21"/>
              </w:rPr>
              <w:t>理人员未按照规定经考</w:t>
            </w:r>
          </w:p>
          <w:p w14:paraId="4D186EEC">
            <w:pPr>
              <w:spacing w:before="51" w:line="210" w:lineRule="auto"/>
              <w:ind w:left="147"/>
              <w:rPr>
                <w:rFonts w:ascii="宋体" w:hAnsi="宋体" w:eastAsia="宋体" w:cs="宋体"/>
                <w:sz w:val="21"/>
                <w:szCs w:val="21"/>
              </w:rPr>
            </w:pPr>
            <w:r>
              <w:rPr>
                <w:rFonts w:ascii="宋体" w:hAnsi="宋体" w:eastAsia="宋体" w:cs="宋体"/>
                <w:spacing w:val="24"/>
                <w:sz w:val="21"/>
                <w:szCs w:val="21"/>
              </w:rPr>
              <w:t>核合格的。</w:t>
            </w:r>
          </w:p>
        </w:tc>
        <w:tc>
          <w:tcPr>
            <w:tcW w:w="1254" w:type="dxa"/>
            <w:noWrap w:val="0"/>
            <w:vAlign w:val="top"/>
          </w:tcPr>
          <w:p w14:paraId="039F413E">
            <w:pPr>
              <w:rPr>
                <w:rFonts w:ascii="Arial"/>
                <w:sz w:val="21"/>
              </w:rPr>
            </w:pPr>
          </w:p>
        </w:tc>
      </w:tr>
      <w:tr w14:paraId="78D7C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9" w:hRule="atLeast"/>
          <w:jc w:val="center"/>
        </w:trPr>
        <w:tc>
          <w:tcPr>
            <w:tcW w:w="864" w:type="dxa"/>
            <w:noWrap w:val="0"/>
            <w:vAlign w:val="top"/>
          </w:tcPr>
          <w:p w14:paraId="1FB64D4E">
            <w:pPr>
              <w:spacing w:line="264" w:lineRule="auto"/>
              <w:rPr>
                <w:rFonts w:ascii="Arial"/>
                <w:sz w:val="21"/>
                <w:szCs w:val="21"/>
              </w:rPr>
            </w:pPr>
          </w:p>
          <w:p w14:paraId="34FA7E8B">
            <w:pPr>
              <w:spacing w:line="264" w:lineRule="auto"/>
              <w:rPr>
                <w:rFonts w:ascii="Arial"/>
                <w:sz w:val="21"/>
                <w:szCs w:val="21"/>
              </w:rPr>
            </w:pPr>
          </w:p>
          <w:p w14:paraId="3D20B4B3">
            <w:pPr>
              <w:spacing w:line="264" w:lineRule="auto"/>
              <w:rPr>
                <w:rFonts w:ascii="Arial"/>
                <w:sz w:val="21"/>
                <w:szCs w:val="21"/>
              </w:rPr>
            </w:pPr>
          </w:p>
          <w:p w14:paraId="16D134DA">
            <w:pPr>
              <w:spacing w:line="264" w:lineRule="auto"/>
              <w:rPr>
                <w:rFonts w:ascii="Arial"/>
                <w:sz w:val="21"/>
                <w:szCs w:val="21"/>
              </w:rPr>
            </w:pPr>
          </w:p>
          <w:p w14:paraId="3CF599BA">
            <w:pPr>
              <w:spacing w:line="264" w:lineRule="auto"/>
              <w:rPr>
                <w:rFonts w:ascii="Arial"/>
                <w:sz w:val="21"/>
                <w:szCs w:val="21"/>
              </w:rPr>
            </w:pPr>
          </w:p>
          <w:p w14:paraId="55E3D218">
            <w:pPr>
              <w:spacing w:line="264" w:lineRule="auto"/>
              <w:rPr>
                <w:rFonts w:ascii="Arial"/>
                <w:sz w:val="21"/>
                <w:szCs w:val="21"/>
              </w:rPr>
            </w:pPr>
          </w:p>
          <w:p w14:paraId="60F0BEA1">
            <w:pPr>
              <w:spacing w:line="265" w:lineRule="auto"/>
              <w:rPr>
                <w:rFonts w:ascii="Arial"/>
                <w:sz w:val="21"/>
                <w:szCs w:val="21"/>
              </w:rPr>
            </w:pPr>
          </w:p>
          <w:p w14:paraId="5B168391">
            <w:pPr>
              <w:spacing w:line="265" w:lineRule="auto"/>
              <w:rPr>
                <w:rFonts w:ascii="Arial"/>
                <w:sz w:val="21"/>
                <w:szCs w:val="21"/>
              </w:rPr>
            </w:pPr>
          </w:p>
          <w:p w14:paraId="3E74AC0F">
            <w:pPr>
              <w:spacing w:before="78" w:line="184" w:lineRule="auto"/>
              <w:ind w:left="305"/>
              <w:rPr>
                <w:rFonts w:ascii="宋体" w:hAnsi="宋体" w:eastAsia="宋体" w:cs="宋体"/>
                <w:sz w:val="21"/>
                <w:szCs w:val="21"/>
              </w:rPr>
            </w:pPr>
            <w:r>
              <w:rPr>
                <w:rFonts w:ascii="宋体" w:hAnsi="宋体" w:eastAsia="宋体" w:cs="宋体"/>
                <w:spacing w:val="-7"/>
                <w:sz w:val="21"/>
                <w:szCs w:val="21"/>
              </w:rPr>
              <w:t>1</w:t>
            </w:r>
            <w:r>
              <w:rPr>
                <w:rFonts w:hint="eastAsia" w:ascii="宋体" w:hAnsi="宋体" w:eastAsia="宋体" w:cs="宋体"/>
                <w:spacing w:val="-7"/>
                <w:sz w:val="21"/>
                <w:szCs w:val="21"/>
                <w:lang w:val="en-US" w:eastAsia="zh-CN"/>
              </w:rPr>
              <w:t>6</w:t>
            </w:r>
          </w:p>
        </w:tc>
        <w:tc>
          <w:tcPr>
            <w:tcW w:w="2228" w:type="dxa"/>
            <w:noWrap w:val="0"/>
            <w:vAlign w:val="top"/>
          </w:tcPr>
          <w:p w14:paraId="1364F722">
            <w:pPr>
              <w:spacing w:line="268" w:lineRule="auto"/>
              <w:rPr>
                <w:rFonts w:ascii="Arial"/>
                <w:sz w:val="21"/>
                <w:szCs w:val="21"/>
              </w:rPr>
            </w:pPr>
          </w:p>
          <w:p w14:paraId="0591F386">
            <w:pPr>
              <w:spacing w:line="268" w:lineRule="auto"/>
              <w:rPr>
                <w:rFonts w:ascii="Arial"/>
                <w:sz w:val="21"/>
                <w:szCs w:val="21"/>
              </w:rPr>
            </w:pPr>
          </w:p>
          <w:p w14:paraId="7338D344">
            <w:pPr>
              <w:spacing w:line="268" w:lineRule="auto"/>
              <w:rPr>
                <w:rFonts w:ascii="Arial"/>
                <w:sz w:val="21"/>
                <w:szCs w:val="21"/>
              </w:rPr>
            </w:pPr>
          </w:p>
          <w:p w14:paraId="614645FE">
            <w:pPr>
              <w:spacing w:line="268" w:lineRule="auto"/>
              <w:rPr>
                <w:rFonts w:ascii="Arial"/>
                <w:sz w:val="21"/>
                <w:szCs w:val="21"/>
              </w:rPr>
            </w:pPr>
          </w:p>
          <w:p w14:paraId="6EDA22E6">
            <w:pPr>
              <w:spacing w:line="268" w:lineRule="auto"/>
              <w:rPr>
                <w:rFonts w:ascii="Arial"/>
                <w:sz w:val="21"/>
                <w:szCs w:val="21"/>
              </w:rPr>
            </w:pPr>
          </w:p>
          <w:p w14:paraId="23B98647">
            <w:pPr>
              <w:spacing w:line="268" w:lineRule="auto"/>
              <w:rPr>
                <w:rFonts w:ascii="Arial"/>
                <w:sz w:val="21"/>
                <w:szCs w:val="21"/>
              </w:rPr>
            </w:pPr>
          </w:p>
          <w:p w14:paraId="78D3A744">
            <w:pPr>
              <w:spacing w:before="78" w:line="243" w:lineRule="auto"/>
              <w:ind w:left="131" w:right="141" w:firstLine="9"/>
              <w:jc w:val="both"/>
              <w:rPr>
                <w:rFonts w:ascii="宋体" w:hAnsi="宋体" w:eastAsia="宋体" w:cs="宋体"/>
                <w:sz w:val="21"/>
                <w:szCs w:val="21"/>
              </w:rPr>
            </w:pPr>
            <w:r>
              <w:rPr>
                <w:rFonts w:ascii="宋体" w:hAnsi="宋体" w:eastAsia="宋体" w:cs="宋体"/>
                <w:spacing w:val="1"/>
                <w:sz w:val="21"/>
                <w:szCs w:val="21"/>
              </w:rPr>
              <w:t>涉及危险化工工艺</w:t>
            </w:r>
            <w:r>
              <w:rPr>
                <w:rFonts w:ascii="宋体" w:hAnsi="宋体" w:eastAsia="宋体" w:cs="宋体"/>
                <w:spacing w:val="2"/>
                <w:sz w:val="21"/>
                <w:szCs w:val="21"/>
              </w:rPr>
              <w:t>的特种作业人员未</w:t>
            </w:r>
            <w:r>
              <w:rPr>
                <w:rFonts w:ascii="宋体" w:hAnsi="宋体" w:eastAsia="宋体" w:cs="宋体"/>
                <w:spacing w:val="3"/>
                <w:sz w:val="21"/>
                <w:szCs w:val="21"/>
              </w:rPr>
              <w:t>取得特种作业操作</w:t>
            </w:r>
            <w:r>
              <w:rPr>
                <w:rFonts w:ascii="宋体" w:hAnsi="宋体" w:eastAsia="宋体" w:cs="宋体"/>
                <w:spacing w:val="17"/>
                <w:sz w:val="21"/>
                <w:szCs w:val="21"/>
              </w:rPr>
              <w:t>证而上岗操作。</w:t>
            </w:r>
          </w:p>
        </w:tc>
        <w:tc>
          <w:tcPr>
            <w:tcW w:w="3498" w:type="dxa"/>
            <w:noWrap w:val="0"/>
            <w:vAlign w:val="top"/>
          </w:tcPr>
          <w:p w14:paraId="4C1FD2EF">
            <w:pPr>
              <w:spacing w:line="257" w:lineRule="auto"/>
              <w:rPr>
                <w:rFonts w:ascii="Arial"/>
                <w:sz w:val="21"/>
                <w:szCs w:val="21"/>
              </w:rPr>
            </w:pPr>
          </w:p>
          <w:p w14:paraId="771D0E3F">
            <w:pPr>
              <w:spacing w:line="258" w:lineRule="auto"/>
              <w:rPr>
                <w:rFonts w:ascii="Arial"/>
                <w:sz w:val="21"/>
                <w:szCs w:val="21"/>
              </w:rPr>
            </w:pPr>
          </w:p>
          <w:p w14:paraId="3E5C086D">
            <w:pPr>
              <w:spacing w:before="75" w:line="251" w:lineRule="auto"/>
              <w:ind w:left="143" w:firstLine="459"/>
              <w:jc w:val="both"/>
              <w:rPr>
                <w:rFonts w:ascii="宋体" w:hAnsi="宋体" w:eastAsia="宋体" w:cs="宋体"/>
                <w:sz w:val="21"/>
                <w:szCs w:val="21"/>
              </w:rPr>
            </w:pPr>
            <w:r>
              <w:rPr>
                <w:rFonts w:ascii="宋体" w:hAnsi="宋体" w:eastAsia="宋体" w:cs="宋体"/>
                <w:spacing w:val="-2"/>
                <w:sz w:val="21"/>
                <w:szCs w:val="21"/>
              </w:rPr>
              <w:t>1.《中华人民共和国安全生</w:t>
            </w:r>
            <w:r>
              <w:rPr>
                <w:rFonts w:ascii="宋体" w:hAnsi="宋体" w:eastAsia="宋体" w:cs="宋体"/>
                <w:spacing w:val="8"/>
                <w:sz w:val="21"/>
                <w:szCs w:val="21"/>
              </w:rPr>
              <w:t>产法》第三十条第一款生产经</w:t>
            </w:r>
            <w:r>
              <w:rPr>
                <w:rFonts w:ascii="宋体" w:hAnsi="宋体" w:eastAsia="宋体" w:cs="宋体"/>
                <w:spacing w:val="21"/>
                <w:sz w:val="21"/>
                <w:szCs w:val="21"/>
              </w:rPr>
              <w:t>营单位的特种作业人员必须按照国家有关规定经专门的安全</w:t>
            </w:r>
            <w:r>
              <w:rPr>
                <w:rFonts w:ascii="宋体" w:hAnsi="宋体" w:eastAsia="宋体" w:cs="宋体"/>
                <w:spacing w:val="8"/>
                <w:sz w:val="21"/>
                <w:szCs w:val="21"/>
              </w:rPr>
              <w:t>作业培训，取得相应资格，方可</w:t>
            </w:r>
            <w:r>
              <w:rPr>
                <w:rFonts w:ascii="宋体" w:hAnsi="宋体" w:eastAsia="宋体" w:cs="宋体"/>
                <w:spacing w:val="32"/>
                <w:sz w:val="21"/>
                <w:szCs w:val="21"/>
              </w:rPr>
              <w:t>上岗作业。</w:t>
            </w:r>
          </w:p>
          <w:p w14:paraId="1461FF37">
            <w:pPr>
              <w:spacing w:before="46" w:line="242" w:lineRule="auto"/>
              <w:ind w:left="143" w:firstLine="449"/>
              <w:jc w:val="both"/>
              <w:rPr>
                <w:rFonts w:ascii="宋体" w:hAnsi="宋体" w:eastAsia="宋体" w:cs="宋体"/>
                <w:sz w:val="21"/>
                <w:szCs w:val="21"/>
              </w:rPr>
            </w:pPr>
            <w:r>
              <w:rPr>
                <w:rFonts w:ascii="宋体" w:hAnsi="宋体" w:eastAsia="宋体" w:cs="宋体"/>
                <w:spacing w:val="-11"/>
                <w:sz w:val="21"/>
                <w:szCs w:val="21"/>
              </w:rPr>
              <w:t>2.《化工和危险化学品生产</w:t>
            </w:r>
            <w:r>
              <w:rPr>
                <w:rFonts w:ascii="宋体" w:hAnsi="宋体" w:eastAsia="宋体" w:cs="宋体"/>
                <w:spacing w:val="13"/>
                <w:sz w:val="21"/>
                <w:szCs w:val="21"/>
              </w:rPr>
              <w:t>经营单位重大生产安全事故隐</w:t>
            </w:r>
            <w:r>
              <w:rPr>
                <w:rFonts w:ascii="宋体" w:hAnsi="宋体" w:eastAsia="宋体" w:cs="宋体"/>
                <w:spacing w:val="20"/>
                <w:sz w:val="21"/>
                <w:szCs w:val="21"/>
              </w:rPr>
              <w:t>患判定标准(试行)》(安监总</w:t>
            </w:r>
            <w:r>
              <w:rPr>
                <w:rFonts w:ascii="宋体" w:hAnsi="宋体" w:eastAsia="宋体" w:cs="宋体"/>
                <w:spacing w:val="-2"/>
                <w:sz w:val="21"/>
                <w:szCs w:val="21"/>
              </w:rPr>
              <w:t>管三〔2017〕121号)第二条特</w:t>
            </w:r>
            <w:r>
              <w:rPr>
                <w:rFonts w:ascii="宋体" w:hAnsi="宋体" w:eastAsia="宋体" w:cs="宋体"/>
                <w:spacing w:val="10"/>
                <w:sz w:val="21"/>
                <w:szCs w:val="21"/>
              </w:rPr>
              <w:t>种作业人员未持证上岗。</w:t>
            </w:r>
          </w:p>
        </w:tc>
        <w:tc>
          <w:tcPr>
            <w:tcW w:w="2878" w:type="dxa"/>
            <w:noWrap w:val="0"/>
            <w:vAlign w:val="top"/>
          </w:tcPr>
          <w:p w14:paraId="27839D15">
            <w:pPr>
              <w:rPr>
                <w:rFonts w:ascii="Arial"/>
                <w:sz w:val="21"/>
                <w:szCs w:val="21"/>
              </w:rPr>
            </w:pPr>
          </w:p>
        </w:tc>
        <w:tc>
          <w:tcPr>
            <w:tcW w:w="2838" w:type="dxa"/>
            <w:noWrap w:val="0"/>
            <w:vAlign w:val="top"/>
          </w:tcPr>
          <w:p w14:paraId="30BD22F4">
            <w:pPr>
              <w:spacing w:before="107" w:line="255" w:lineRule="auto"/>
              <w:ind w:left="117" w:firstLine="446"/>
              <w:jc w:val="both"/>
              <w:rPr>
                <w:rFonts w:ascii="宋体" w:hAnsi="宋体" w:eastAsia="宋体" w:cs="宋体"/>
                <w:sz w:val="21"/>
                <w:szCs w:val="21"/>
              </w:rPr>
            </w:pPr>
            <w:r>
              <w:rPr>
                <w:rFonts w:ascii="宋体" w:hAnsi="宋体" w:eastAsia="宋体" w:cs="宋体"/>
                <w:spacing w:val="32"/>
                <w:sz w:val="21"/>
                <w:szCs w:val="21"/>
              </w:rPr>
              <w:t>《中华人民共和国</w:t>
            </w:r>
            <w:r>
              <w:rPr>
                <w:rFonts w:ascii="宋体" w:hAnsi="宋体" w:eastAsia="宋体" w:cs="宋体"/>
                <w:spacing w:val="6"/>
                <w:sz w:val="21"/>
                <w:szCs w:val="21"/>
              </w:rPr>
              <w:t>安全生产法》第九十七条</w:t>
            </w:r>
            <w:r>
              <w:rPr>
                <w:rFonts w:ascii="宋体" w:hAnsi="宋体" w:eastAsia="宋体" w:cs="宋体"/>
                <w:spacing w:val="20"/>
                <w:sz w:val="21"/>
                <w:szCs w:val="21"/>
              </w:rPr>
              <w:t>第七项生产经营单位</w:t>
            </w:r>
            <w:r>
              <w:rPr>
                <w:rFonts w:ascii="宋体" w:hAnsi="宋体" w:eastAsia="宋体" w:cs="宋体"/>
                <w:spacing w:val="6"/>
                <w:sz w:val="21"/>
                <w:szCs w:val="21"/>
              </w:rPr>
              <w:t>有下列行为之一的，责令</w:t>
            </w:r>
            <w:r>
              <w:rPr>
                <w:rFonts w:ascii="宋体" w:hAnsi="宋体" w:eastAsia="宋体" w:cs="宋体"/>
                <w:spacing w:val="4"/>
                <w:sz w:val="21"/>
                <w:szCs w:val="21"/>
              </w:rPr>
              <w:t>限期改正，处十万元以下</w:t>
            </w:r>
            <w:r>
              <w:rPr>
                <w:rFonts w:ascii="宋体" w:hAnsi="宋体" w:eastAsia="宋体" w:cs="宋体"/>
                <w:spacing w:val="16"/>
                <w:sz w:val="21"/>
                <w:szCs w:val="21"/>
              </w:rPr>
              <w:t>的罚款；逾期未改正的，</w:t>
            </w:r>
            <w:r>
              <w:rPr>
                <w:rFonts w:ascii="宋体" w:hAnsi="宋体" w:eastAsia="宋体" w:cs="宋体"/>
                <w:spacing w:val="6"/>
                <w:sz w:val="21"/>
                <w:szCs w:val="21"/>
              </w:rPr>
              <w:t>责令停产停业整顿，并处</w:t>
            </w:r>
            <w:r>
              <w:rPr>
                <w:rFonts w:ascii="宋体" w:hAnsi="宋体" w:eastAsia="宋体" w:cs="宋体"/>
                <w:spacing w:val="27"/>
                <w:sz w:val="21"/>
                <w:szCs w:val="21"/>
              </w:rPr>
              <w:t>十万元以上二十万元以</w:t>
            </w:r>
            <w:r>
              <w:rPr>
                <w:rFonts w:ascii="宋体" w:hAnsi="宋体" w:eastAsia="宋体" w:cs="宋体"/>
                <w:spacing w:val="7"/>
                <w:sz w:val="21"/>
                <w:szCs w:val="21"/>
              </w:rPr>
              <w:t>下的罚款，对其直接负责</w:t>
            </w:r>
            <w:r>
              <w:rPr>
                <w:rFonts w:ascii="宋体" w:hAnsi="宋体" w:eastAsia="宋体" w:cs="宋体"/>
                <w:spacing w:val="26"/>
                <w:sz w:val="21"/>
                <w:szCs w:val="21"/>
              </w:rPr>
              <w:t>的主管人员和其他直接责任人员处二万元以上</w:t>
            </w:r>
            <w:r>
              <w:rPr>
                <w:rFonts w:ascii="宋体" w:hAnsi="宋体" w:eastAsia="宋体" w:cs="宋体"/>
                <w:spacing w:val="19"/>
                <w:sz w:val="21"/>
                <w:szCs w:val="21"/>
              </w:rPr>
              <w:t>五万元以下的罚款：</w:t>
            </w:r>
          </w:p>
          <w:p w14:paraId="72ADF7C3">
            <w:pPr>
              <w:spacing w:before="45" w:line="213" w:lineRule="auto"/>
              <w:ind w:left="147" w:right="58" w:firstLine="549"/>
              <w:jc w:val="both"/>
              <w:rPr>
                <w:rFonts w:ascii="宋体" w:hAnsi="宋体" w:eastAsia="宋体" w:cs="宋体"/>
                <w:sz w:val="21"/>
                <w:szCs w:val="21"/>
              </w:rPr>
            </w:pPr>
            <w:r>
              <w:rPr>
                <w:rFonts w:ascii="宋体" w:hAnsi="宋体" w:eastAsia="宋体" w:cs="宋体"/>
                <w:spacing w:val="16"/>
                <w:sz w:val="21"/>
                <w:szCs w:val="21"/>
              </w:rPr>
              <w:t>(七)特种作业人员</w:t>
            </w:r>
            <w:r>
              <w:rPr>
                <w:rFonts w:ascii="宋体" w:hAnsi="宋体" w:eastAsia="宋体" w:cs="宋体"/>
                <w:spacing w:val="21"/>
                <w:sz w:val="21"/>
                <w:szCs w:val="21"/>
              </w:rPr>
              <w:t>未按照规定经专门的安</w:t>
            </w:r>
          </w:p>
        </w:tc>
        <w:tc>
          <w:tcPr>
            <w:tcW w:w="1254" w:type="dxa"/>
            <w:noWrap w:val="0"/>
            <w:vAlign w:val="top"/>
          </w:tcPr>
          <w:p w14:paraId="05FD28F2">
            <w:pPr>
              <w:rPr>
                <w:rFonts w:ascii="Arial"/>
                <w:sz w:val="21"/>
                <w:szCs w:val="21"/>
              </w:rPr>
            </w:pPr>
          </w:p>
          <w:p w14:paraId="7D709419">
            <w:pPr>
              <w:rPr>
                <w:rFonts w:ascii="Arial"/>
                <w:sz w:val="21"/>
                <w:szCs w:val="21"/>
              </w:rPr>
            </w:pPr>
          </w:p>
          <w:p w14:paraId="7CA1A557">
            <w:pPr>
              <w:rPr>
                <w:rFonts w:ascii="Arial"/>
                <w:sz w:val="21"/>
                <w:szCs w:val="21"/>
              </w:rPr>
            </w:pPr>
          </w:p>
          <w:p w14:paraId="5E19BCE9">
            <w:pPr>
              <w:spacing w:line="241" w:lineRule="auto"/>
              <w:rPr>
                <w:rFonts w:ascii="Arial"/>
                <w:sz w:val="21"/>
                <w:szCs w:val="21"/>
              </w:rPr>
            </w:pPr>
          </w:p>
          <w:p w14:paraId="6EFD6ED5">
            <w:pPr>
              <w:spacing w:line="241" w:lineRule="auto"/>
              <w:rPr>
                <w:rFonts w:ascii="Arial"/>
                <w:sz w:val="21"/>
                <w:szCs w:val="21"/>
              </w:rPr>
            </w:pPr>
          </w:p>
          <w:p w14:paraId="0B553629">
            <w:pPr>
              <w:spacing w:line="241" w:lineRule="auto"/>
              <w:rPr>
                <w:rFonts w:ascii="Arial"/>
                <w:sz w:val="21"/>
                <w:szCs w:val="21"/>
              </w:rPr>
            </w:pPr>
          </w:p>
          <w:p w14:paraId="7453A569">
            <w:pPr>
              <w:spacing w:line="241" w:lineRule="auto"/>
              <w:rPr>
                <w:rFonts w:ascii="Arial"/>
                <w:sz w:val="21"/>
                <w:szCs w:val="21"/>
              </w:rPr>
            </w:pPr>
          </w:p>
          <w:p w14:paraId="4275F343">
            <w:pPr>
              <w:spacing w:line="241" w:lineRule="auto"/>
              <w:rPr>
                <w:rFonts w:ascii="Arial"/>
                <w:sz w:val="21"/>
                <w:szCs w:val="21"/>
              </w:rPr>
            </w:pPr>
          </w:p>
          <w:p w14:paraId="03BDB96F">
            <w:pPr>
              <w:spacing w:before="78"/>
              <w:ind w:left="138" w:right="120"/>
              <w:rPr>
                <w:rFonts w:ascii="宋体" w:hAnsi="宋体" w:eastAsia="宋体" w:cs="宋体"/>
                <w:sz w:val="21"/>
                <w:szCs w:val="21"/>
              </w:rPr>
            </w:pPr>
            <w:r>
              <w:rPr>
                <w:rFonts w:ascii="宋体" w:hAnsi="宋体" w:eastAsia="宋体" w:cs="宋体"/>
                <w:spacing w:val="6"/>
                <w:sz w:val="21"/>
                <w:szCs w:val="21"/>
              </w:rPr>
              <w:t>重大隐患</w:t>
            </w:r>
            <w:r>
              <w:rPr>
                <w:rFonts w:ascii="宋体" w:hAnsi="宋体" w:eastAsia="宋体" w:cs="宋体"/>
                <w:spacing w:val="4"/>
                <w:sz w:val="21"/>
                <w:szCs w:val="21"/>
              </w:rPr>
              <w:t>管理</w:t>
            </w:r>
          </w:p>
        </w:tc>
      </w:tr>
    </w:tbl>
    <w:p w14:paraId="713B72BE"/>
    <w:p w14:paraId="4DB34B41"/>
    <w:p w14:paraId="369517F2">
      <w:pPr>
        <w:spacing w:line="10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2238"/>
        <w:gridCol w:w="3497"/>
        <w:gridCol w:w="2868"/>
        <w:gridCol w:w="2838"/>
        <w:gridCol w:w="1254"/>
      </w:tblGrid>
      <w:tr w14:paraId="426BD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875" w:type="dxa"/>
            <w:noWrap w:val="0"/>
            <w:vAlign w:val="top"/>
          </w:tcPr>
          <w:p w14:paraId="49E235BE">
            <w:pPr>
              <w:spacing w:before="216" w:line="221" w:lineRule="auto"/>
              <w:ind w:left="185"/>
              <w:rPr>
                <w:rFonts w:ascii="宋体" w:hAnsi="宋体" w:eastAsia="宋体" w:cs="宋体"/>
                <w:b/>
                <w:bCs/>
                <w:sz w:val="24"/>
                <w:szCs w:val="24"/>
              </w:rPr>
            </w:pPr>
            <w:r>
              <w:rPr>
                <w:rFonts w:ascii="宋体" w:hAnsi="宋体" w:eastAsia="宋体" w:cs="宋体"/>
                <w:b/>
                <w:bCs/>
                <w:spacing w:val="7"/>
                <w:sz w:val="24"/>
                <w:szCs w:val="24"/>
              </w:rPr>
              <w:t>序号</w:t>
            </w:r>
          </w:p>
        </w:tc>
        <w:tc>
          <w:tcPr>
            <w:tcW w:w="2238" w:type="dxa"/>
            <w:noWrap w:val="0"/>
            <w:vAlign w:val="top"/>
          </w:tcPr>
          <w:p w14:paraId="61BC935D">
            <w:pPr>
              <w:spacing w:before="65" w:line="219" w:lineRule="auto"/>
              <w:ind w:left="630"/>
              <w:rPr>
                <w:rFonts w:ascii="宋体" w:hAnsi="宋体" w:eastAsia="宋体" w:cs="宋体"/>
                <w:b/>
                <w:bCs/>
                <w:sz w:val="24"/>
                <w:szCs w:val="24"/>
              </w:rPr>
            </w:pPr>
            <w:r>
              <w:rPr>
                <w:rFonts w:ascii="宋体" w:hAnsi="宋体" w:eastAsia="宋体" w:cs="宋体"/>
                <w:b/>
                <w:bCs/>
                <w:spacing w:val="3"/>
                <w:sz w:val="24"/>
                <w:szCs w:val="24"/>
              </w:rPr>
              <w:t>执法检查</w:t>
            </w:r>
          </w:p>
          <w:p w14:paraId="0AB63AFB">
            <w:pPr>
              <w:spacing w:before="44" w:line="200" w:lineRule="auto"/>
              <w:ind w:left="390"/>
              <w:rPr>
                <w:rFonts w:ascii="宋体" w:hAnsi="宋体" w:eastAsia="宋体" w:cs="宋体"/>
                <w:b/>
                <w:bCs/>
                <w:sz w:val="24"/>
                <w:szCs w:val="24"/>
              </w:rPr>
            </w:pPr>
            <w:r>
              <w:rPr>
                <w:rFonts w:ascii="宋体" w:hAnsi="宋体" w:eastAsia="宋体" w:cs="宋体"/>
                <w:b/>
                <w:bCs/>
                <w:spacing w:val="2"/>
                <w:sz w:val="24"/>
                <w:szCs w:val="24"/>
              </w:rPr>
              <w:t>重点事项内容</w:t>
            </w:r>
          </w:p>
        </w:tc>
        <w:tc>
          <w:tcPr>
            <w:tcW w:w="3497" w:type="dxa"/>
            <w:noWrap w:val="0"/>
            <w:vAlign w:val="top"/>
          </w:tcPr>
          <w:p w14:paraId="08B010E1">
            <w:pPr>
              <w:spacing w:before="213" w:line="219" w:lineRule="auto"/>
              <w:ind w:left="1032"/>
              <w:rPr>
                <w:rFonts w:ascii="宋体" w:hAnsi="宋体" w:eastAsia="宋体" w:cs="宋体"/>
                <w:b/>
                <w:bCs/>
                <w:sz w:val="24"/>
                <w:szCs w:val="24"/>
              </w:rPr>
            </w:pPr>
            <w:r>
              <w:rPr>
                <w:rFonts w:ascii="宋体" w:hAnsi="宋体" w:eastAsia="宋体" w:cs="宋体"/>
                <w:b/>
                <w:bCs/>
                <w:spacing w:val="5"/>
                <w:sz w:val="24"/>
                <w:szCs w:val="24"/>
              </w:rPr>
              <w:t>执法检查依据</w:t>
            </w:r>
          </w:p>
        </w:tc>
        <w:tc>
          <w:tcPr>
            <w:tcW w:w="2868" w:type="dxa"/>
            <w:noWrap w:val="0"/>
            <w:vAlign w:val="top"/>
          </w:tcPr>
          <w:p w14:paraId="7F1C2847">
            <w:pPr>
              <w:spacing w:before="65" w:line="220" w:lineRule="auto"/>
              <w:ind w:left="825"/>
              <w:rPr>
                <w:rFonts w:ascii="宋体" w:hAnsi="宋体" w:eastAsia="宋体" w:cs="宋体"/>
                <w:b/>
                <w:bCs/>
                <w:sz w:val="24"/>
                <w:szCs w:val="24"/>
              </w:rPr>
            </w:pPr>
            <w:r>
              <w:rPr>
                <w:rFonts w:ascii="宋体" w:hAnsi="宋体" w:eastAsia="宋体" w:cs="宋体"/>
                <w:b/>
                <w:bCs/>
                <w:spacing w:val="-2"/>
                <w:sz w:val="24"/>
                <w:szCs w:val="24"/>
              </w:rPr>
              <w:t>有关规范性</w:t>
            </w:r>
          </w:p>
          <w:p w14:paraId="522024A9">
            <w:pPr>
              <w:spacing w:before="52" w:line="192" w:lineRule="auto"/>
              <w:ind w:left="58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838" w:type="dxa"/>
            <w:noWrap w:val="0"/>
            <w:vAlign w:val="top"/>
          </w:tcPr>
          <w:p w14:paraId="4B9DF33D">
            <w:pPr>
              <w:spacing w:before="210" w:line="219" w:lineRule="auto"/>
              <w:ind w:left="960"/>
              <w:rPr>
                <w:rFonts w:ascii="宋体" w:hAnsi="宋体" w:eastAsia="宋体" w:cs="宋体"/>
                <w:b/>
                <w:bCs/>
                <w:sz w:val="24"/>
                <w:szCs w:val="24"/>
              </w:rPr>
            </w:pPr>
            <w:r>
              <w:rPr>
                <w:rFonts w:ascii="宋体" w:hAnsi="宋体" w:eastAsia="宋体" w:cs="宋体"/>
                <w:b/>
                <w:bCs/>
                <w:spacing w:val="9"/>
                <w:sz w:val="24"/>
                <w:szCs w:val="24"/>
              </w:rPr>
              <w:t>处罚依据</w:t>
            </w:r>
          </w:p>
        </w:tc>
        <w:tc>
          <w:tcPr>
            <w:tcW w:w="1254" w:type="dxa"/>
            <w:noWrap w:val="0"/>
            <w:vAlign w:val="top"/>
          </w:tcPr>
          <w:p w14:paraId="4CAB5D5F">
            <w:pPr>
              <w:spacing w:before="212" w:line="221" w:lineRule="auto"/>
              <w:ind w:left="392"/>
              <w:rPr>
                <w:rFonts w:ascii="宋体" w:hAnsi="宋体" w:eastAsia="宋体" w:cs="宋体"/>
                <w:b/>
                <w:bCs/>
                <w:sz w:val="24"/>
                <w:szCs w:val="24"/>
              </w:rPr>
            </w:pPr>
            <w:r>
              <w:rPr>
                <w:rFonts w:ascii="宋体" w:hAnsi="宋体" w:eastAsia="宋体" w:cs="宋体"/>
                <w:b/>
                <w:bCs/>
                <w:spacing w:val="-6"/>
                <w:sz w:val="24"/>
                <w:szCs w:val="24"/>
              </w:rPr>
              <w:t>备注</w:t>
            </w:r>
          </w:p>
        </w:tc>
      </w:tr>
      <w:tr w14:paraId="2FACD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875" w:type="dxa"/>
            <w:noWrap w:val="0"/>
            <w:vAlign w:val="top"/>
          </w:tcPr>
          <w:p w14:paraId="6DDE4CE0">
            <w:pPr>
              <w:rPr>
                <w:rFonts w:hint="eastAsia" w:ascii="宋体" w:hAnsi="宋体" w:eastAsia="宋体" w:cs="宋体"/>
                <w:sz w:val="21"/>
                <w:szCs w:val="21"/>
              </w:rPr>
            </w:pPr>
          </w:p>
        </w:tc>
        <w:tc>
          <w:tcPr>
            <w:tcW w:w="2238" w:type="dxa"/>
            <w:noWrap w:val="0"/>
            <w:vAlign w:val="top"/>
          </w:tcPr>
          <w:p w14:paraId="4B7C4295">
            <w:pPr>
              <w:rPr>
                <w:rFonts w:hint="eastAsia" w:ascii="宋体" w:hAnsi="宋体" w:eastAsia="宋体" w:cs="宋体"/>
                <w:sz w:val="21"/>
                <w:szCs w:val="21"/>
              </w:rPr>
            </w:pPr>
          </w:p>
        </w:tc>
        <w:tc>
          <w:tcPr>
            <w:tcW w:w="3497" w:type="dxa"/>
            <w:noWrap w:val="0"/>
            <w:vAlign w:val="top"/>
          </w:tcPr>
          <w:p w14:paraId="71B02C1C">
            <w:pPr>
              <w:rPr>
                <w:rFonts w:hint="eastAsia" w:ascii="宋体" w:hAnsi="宋体" w:eastAsia="宋体" w:cs="宋体"/>
                <w:sz w:val="21"/>
                <w:szCs w:val="21"/>
              </w:rPr>
            </w:pPr>
          </w:p>
        </w:tc>
        <w:tc>
          <w:tcPr>
            <w:tcW w:w="2868" w:type="dxa"/>
            <w:noWrap w:val="0"/>
            <w:vAlign w:val="top"/>
          </w:tcPr>
          <w:p w14:paraId="018806CB">
            <w:pPr>
              <w:rPr>
                <w:rFonts w:hint="eastAsia" w:ascii="宋体" w:hAnsi="宋体" w:eastAsia="宋体" w:cs="宋体"/>
                <w:sz w:val="21"/>
                <w:szCs w:val="21"/>
              </w:rPr>
            </w:pPr>
          </w:p>
        </w:tc>
        <w:tc>
          <w:tcPr>
            <w:tcW w:w="2838" w:type="dxa"/>
            <w:noWrap w:val="0"/>
            <w:vAlign w:val="top"/>
          </w:tcPr>
          <w:p w14:paraId="2D4F55CB">
            <w:pPr>
              <w:spacing w:before="91" w:line="222" w:lineRule="auto"/>
              <w:ind w:left="127" w:right="110"/>
              <w:rPr>
                <w:rFonts w:hint="eastAsia" w:ascii="宋体" w:hAnsi="宋体" w:eastAsia="宋体" w:cs="宋体"/>
                <w:sz w:val="21"/>
                <w:szCs w:val="21"/>
              </w:rPr>
            </w:pPr>
            <w:r>
              <w:rPr>
                <w:rFonts w:hint="eastAsia" w:ascii="宋体" w:hAnsi="宋体" w:eastAsia="宋体" w:cs="宋体"/>
                <w:spacing w:val="19"/>
                <w:sz w:val="21"/>
                <w:szCs w:val="21"/>
              </w:rPr>
              <w:t>全作业培训并取得相应</w:t>
            </w:r>
            <w:r>
              <w:rPr>
                <w:rFonts w:hint="eastAsia" w:ascii="宋体" w:hAnsi="宋体" w:eastAsia="宋体" w:cs="宋体"/>
                <w:spacing w:val="13"/>
                <w:sz w:val="21"/>
                <w:szCs w:val="21"/>
              </w:rPr>
              <w:t>资格，上岗作业的。</w:t>
            </w:r>
          </w:p>
        </w:tc>
        <w:tc>
          <w:tcPr>
            <w:tcW w:w="1254" w:type="dxa"/>
            <w:noWrap w:val="0"/>
            <w:vAlign w:val="top"/>
          </w:tcPr>
          <w:p w14:paraId="0F87E6B9">
            <w:pPr>
              <w:rPr>
                <w:rFonts w:hint="eastAsia" w:ascii="宋体" w:hAnsi="宋体" w:eastAsia="宋体" w:cs="宋体"/>
                <w:sz w:val="21"/>
                <w:szCs w:val="21"/>
              </w:rPr>
            </w:pPr>
          </w:p>
        </w:tc>
      </w:tr>
      <w:tr w14:paraId="1FCDB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6" w:hRule="atLeast"/>
          <w:jc w:val="center"/>
        </w:trPr>
        <w:tc>
          <w:tcPr>
            <w:tcW w:w="875" w:type="dxa"/>
            <w:noWrap w:val="0"/>
            <w:vAlign w:val="top"/>
          </w:tcPr>
          <w:p w14:paraId="31D11F41">
            <w:pPr>
              <w:spacing w:line="247" w:lineRule="auto"/>
              <w:rPr>
                <w:rFonts w:hint="eastAsia" w:ascii="宋体" w:hAnsi="宋体" w:eastAsia="宋体" w:cs="宋体"/>
                <w:sz w:val="21"/>
                <w:szCs w:val="21"/>
              </w:rPr>
            </w:pPr>
          </w:p>
          <w:p w14:paraId="68DC965D">
            <w:pPr>
              <w:spacing w:line="247" w:lineRule="auto"/>
              <w:rPr>
                <w:rFonts w:hint="eastAsia" w:ascii="宋体" w:hAnsi="宋体" w:eastAsia="宋体" w:cs="宋体"/>
                <w:sz w:val="21"/>
                <w:szCs w:val="21"/>
              </w:rPr>
            </w:pPr>
          </w:p>
          <w:p w14:paraId="4DBEC353">
            <w:pPr>
              <w:spacing w:line="247" w:lineRule="auto"/>
              <w:rPr>
                <w:rFonts w:hint="eastAsia" w:ascii="宋体" w:hAnsi="宋体" w:eastAsia="宋体" w:cs="宋体"/>
                <w:sz w:val="21"/>
                <w:szCs w:val="21"/>
              </w:rPr>
            </w:pPr>
          </w:p>
          <w:p w14:paraId="50AEFF64">
            <w:pPr>
              <w:spacing w:line="247" w:lineRule="auto"/>
              <w:rPr>
                <w:rFonts w:hint="eastAsia" w:ascii="宋体" w:hAnsi="宋体" w:eastAsia="宋体" w:cs="宋体"/>
                <w:sz w:val="21"/>
                <w:szCs w:val="21"/>
              </w:rPr>
            </w:pPr>
          </w:p>
          <w:p w14:paraId="49023237">
            <w:pPr>
              <w:spacing w:line="247" w:lineRule="auto"/>
              <w:rPr>
                <w:rFonts w:hint="eastAsia" w:ascii="宋体" w:hAnsi="宋体" w:eastAsia="宋体" w:cs="宋体"/>
                <w:sz w:val="21"/>
                <w:szCs w:val="21"/>
              </w:rPr>
            </w:pPr>
          </w:p>
          <w:p w14:paraId="03366812">
            <w:pPr>
              <w:spacing w:line="247" w:lineRule="auto"/>
              <w:rPr>
                <w:rFonts w:hint="eastAsia" w:ascii="宋体" w:hAnsi="宋体" w:eastAsia="宋体" w:cs="宋体"/>
                <w:sz w:val="21"/>
                <w:szCs w:val="21"/>
              </w:rPr>
            </w:pPr>
          </w:p>
          <w:p w14:paraId="7FEF86AF">
            <w:pPr>
              <w:spacing w:line="247" w:lineRule="auto"/>
              <w:rPr>
                <w:rFonts w:hint="eastAsia" w:ascii="宋体" w:hAnsi="宋体" w:eastAsia="宋体" w:cs="宋体"/>
                <w:sz w:val="21"/>
                <w:szCs w:val="21"/>
              </w:rPr>
            </w:pPr>
          </w:p>
          <w:p w14:paraId="0C7F641A">
            <w:pPr>
              <w:spacing w:line="247" w:lineRule="auto"/>
              <w:rPr>
                <w:rFonts w:hint="eastAsia" w:ascii="宋体" w:hAnsi="宋体" w:eastAsia="宋体" w:cs="宋体"/>
                <w:sz w:val="21"/>
                <w:szCs w:val="21"/>
              </w:rPr>
            </w:pPr>
          </w:p>
          <w:p w14:paraId="1924662A">
            <w:pPr>
              <w:spacing w:line="247" w:lineRule="auto"/>
              <w:rPr>
                <w:rFonts w:hint="eastAsia" w:ascii="宋体" w:hAnsi="宋体" w:eastAsia="宋体" w:cs="宋体"/>
                <w:sz w:val="21"/>
                <w:szCs w:val="21"/>
              </w:rPr>
            </w:pPr>
          </w:p>
          <w:p w14:paraId="1608B1E7">
            <w:pPr>
              <w:spacing w:line="247" w:lineRule="auto"/>
              <w:rPr>
                <w:rFonts w:hint="eastAsia" w:ascii="宋体" w:hAnsi="宋体" w:eastAsia="宋体" w:cs="宋体"/>
                <w:sz w:val="21"/>
                <w:szCs w:val="21"/>
              </w:rPr>
            </w:pPr>
          </w:p>
          <w:p w14:paraId="548E7503">
            <w:pPr>
              <w:spacing w:line="248" w:lineRule="auto"/>
              <w:rPr>
                <w:rFonts w:hint="eastAsia" w:ascii="宋体" w:hAnsi="宋体" w:eastAsia="宋体" w:cs="宋体"/>
                <w:sz w:val="21"/>
                <w:szCs w:val="21"/>
              </w:rPr>
            </w:pPr>
          </w:p>
          <w:p w14:paraId="42808367">
            <w:pPr>
              <w:spacing w:line="248" w:lineRule="auto"/>
              <w:rPr>
                <w:rFonts w:hint="eastAsia" w:ascii="宋体" w:hAnsi="宋体" w:eastAsia="宋体" w:cs="宋体"/>
                <w:sz w:val="21"/>
                <w:szCs w:val="21"/>
              </w:rPr>
            </w:pPr>
          </w:p>
          <w:p w14:paraId="115F0695">
            <w:pPr>
              <w:spacing w:line="248" w:lineRule="auto"/>
              <w:rPr>
                <w:rFonts w:hint="eastAsia" w:ascii="宋体" w:hAnsi="宋体" w:eastAsia="宋体" w:cs="宋体"/>
                <w:sz w:val="21"/>
                <w:szCs w:val="21"/>
              </w:rPr>
            </w:pPr>
          </w:p>
          <w:p w14:paraId="63ACF9BF">
            <w:pPr>
              <w:spacing w:before="78" w:line="184" w:lineRule="auto"/>
              <w:ind w:left="305"/>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7</w:t>
            </w:r>
          </w:p>
        </w:tc>
        <w:tc>
          <w:tcPr>
            <w:tcW w:w="2238" w:type="dxa"/>
            <w:noWrap w:val="0"/>
            <w:vAlign w:val="top"/>
          </w:tcPr>
          <w:p w14:paraId="4F3A5418">
            <w:pPr>
              <w:spacing w:line="258" w:lineRule="auto"/>
              <w:rPr>
                <w:rFonts w:hint="eastAsia" w:ascii="宋体" w:hAnsi="宋体" w:eastAsia="宋体" w:cs="宋体"/>
                <w:sz w:val="21"/>
                <w:szCs w:val="21"/>
              </w:rPr>
            </w:pPr>
          </w:p>
          <w:p w14:paraId="67D35D42">
            <w:pPr>
              <w:spacing w:line="258" w:lineRule="auto"/>
              <w:rPr>
                <w:rFonts w:hint="eastAsia" w:ascii="宋体" w:hAnsi="宋体" w:eastAsia="宋体" w:cs="宋体"/>
                <w:sz w:val="21"/>
                <w:szCs w:val="21"/>
              </w:rPr>
            </w:pPr>
          </w:p>
          <w:p w14:paraId="0C2AF919">
            <w:pPr>
              <w:spacing w:line="258" w:lineRule="auto"/>
              <w:rPr>
                <w:rFonts w:hint="eastAsia" w:ascii="宋体" w:hAnsi="宋体" w:eastAsia="宋体" w:cs="宋体"/>
                <w:sz w:val="21"/>
                <w:szCs w:val="21"/>
              </w:rPr>
            </w:pPr>
          </w:p>
          <w:p w14:paraId="2A010FE5">
            <w:pPr>
              <w:spacing w:line="258" w:lineRule="auto"/>
              <w:rPr>
                <w:rFonts w:hint="eastAsia" w:ascii="宋体" w:hAnsi="宋体" w:eastAsia="宋体" w:cs="宋体"/>
                <w:sz w:val="21"/>
                <w:szCs w:val="21"/>
              </w:rPr>
            </w:pPr>
          </w:p>
          <w:p w14:paraId="27A01559">
            <w:pPr>
              <w:spacing w:line="258" w:lineRule="auto"/>
              <w:rPr>
                <w:rFonts w:hint="eastAsia" w:ascii="宋体" w:hAnsi="宋体" w:eastAsia="宋体" w:cs="宋体"/>
                <w:sz w:val="21"/>
                <w:szCs w:val="21"/>
              </w:rPr>
            </w:pPr>
          </w:p>
          <w:p w14:paraId="724759BF">
            <w:pPr>
              <w:spacing w:line="258" w:lineRule="auto"/>
              <w:rPr>
                <w:rFonts w:hint="eastAsia" w:ascii="宋体" w:hAnsi="宋体" w:eastAsia="宋体" w:cs="宋体"/>
                <w:sz w:val="21"/>
                <w:szCs w:val="21"/>
              </w:rPr>
            </w:pPr>
          </w:p>
          <w:p w14:paraId="5F57E050">
            <w:pPr>
              <w:spacing w:line="258" w:lineRule="auto"/>
              <w:rPr>
                <w:rFonts w:hint="eastAsia" w:ascii="宋体" w:hAnsi="宋体" w:eastAsia="宋体" w:cs="宋体"/>
                <w:sz w:val="21"/>
                <w:szCs w:val="21"/>
              </w:rPr>
            </w:pPr>
          </w:p>
          <w:p w14:paraId="6D0C337E">
            <w:pPr>
              <w:spacing w:line="258" w:lineRule="auto"/>
              <w:rPr>
                <w:rFonts w:hint="eastAsia" w:ascii="宋体" w:hAnsi="宋体" w:eastAsia="宋体" w:cs="宋体"/>
                <w:sz w:val="21"/>
                <w:szCs w:val="21"/>
              </w:rPr>
            </w:pPr>
          </w:p>
          <w:p w14:paraId="6B13C8FD">
            <w:pPr>
              <w:spacing w:line="258" w:lineRule="auto"/>
              <w:rPr>
                <w:rFonts w:hint="eastAsia" w:ascii="宋体" w:hAnsi="宋体" w:eastAsia="宋体" w:cs="宋体"/>
                <w:sz w:val="21"/>
                <w:szCs w:val="21"/>
              </w:rPr>
            </w:pPr>
          </w:p>
          <w:p w14:paraId="3B58B67D">
            <w:pPr>
              <w:spacing w:line="258" w:lineRule="auto"/>
              <w:rPr>
                <w:rFonts w:hint="eastAsia" w:ascii="宋体" w:hAnsi="宋体" w:eastAsia="宋体" w:cs="宋体"/>
                <w:sz w:val="21"/>
                <w:szCs w:val="21"/>
              </w:rPr>
            </w:pPr>
          </w:p>
          <w:p w14:paraId="5A387535">
            <w:pPr>
              <w:spacing w:before="78" w:line="236" w:lineRule="auto"/>
              <w:ind w:left="120" w:right="37" w:firstLine="29"/>
              <w:jc w:val="both"/>
              <w:rPr>
                <w:rFonts w:hint="eastAsia" w:ascii="宋体" w:hAnsi="宋体" w:eastAsia="宋体" w:cs="宋体"/>
                <w:sz w:val="21"/>
                <w:szCs w:val="21"/>
              </w:rPr>
            </w:pPr>
            <w:r>
              <w:rPr>
                <w:rFonts w:hint="eastAsia" w:ascii="宋体" w:hAnsi="宋体" w:eastAsia="宋体" w:cs="宋体"/>
                <w:spacing w:val="1"/>
                <w:sz w:val="21"/>
                <w:szCs w:val="21"/>
              </w:rPr>
              <w:t>涉及“两重点一重</w:t>
            </w:r>
            <w:r>
              <w:rPr>
                <w:rFonts w:hint="eastAsia" w:ascii="宋体" w:hAnsi="宋体" w:eastAsia="宋体" w:cs="宋体"/>
                <w:spacing w:val="18"/>
                <w:sz w:val="21"/>
                <w:szCs w:val="21"/>
              </w:rPr>
              <w:t>大”的生产装置、</w:t>
            </w:r>
            <w:r>
              <w:rPr>
                <w:rFonts w:hint="eastAsia" w:ascii="宋体" w:hAnsi="宋体" w:eastAsia="宋体" w:cs="宋体"/>
                <w:spacing w:val="2"/>
                <w:sz w:val="21"/>
                <w:szCs w:val="21"/>
              </w:rPr>
              <w:t>储存设施外部安全</w:t>
            </w:r>
            <w:r>
              <w:rPr>
                <w:rFonts w:hint="eastAsia" w:ascii="宋体" w:hAnsi="宋体" w:eastAsia="宋体" w:cs="宋体"/>
                <w:spacing w:val="6"/>
                <w:sz w:val="21"/>
                <w:szCs w:val="21"/>
              </w:rPr>
              <w:t>防护距离不符合国</w:t>
            </w:r>
            <w:r>
              <w:rPr>
                <w:rFonts w:hint="eastAsia" w:ascii="宋体" w:hAnsi="宋体" w:eastAsia="宋体" w:cs="宋体"/>
                <w:spacing w:val="20"/>
                <w:sz w:val="21"/>
                <w:szCs w:val="21"/>
              </w:rPr>
              <w:t>家标准要求。</w:t>
            </w:r>
          </w:p>
        </w:tc>
        <w:tc>
          <w:tcPr>
            <w:tcW w:w="3497" w:type="dxa"/>
            <w:noWrap w:val="0"/>
            <w:vAlign w:val="top"/>
          </w:tcPr>
          <w:p w14:paraId="54F2C0FC">
            <w:pPr>
              <w:spacing w:before="108" w:line="253" w:lineRule="auto"/>
              <w:ind w:left="112" w:firstLine="488"/>
              <w:rPr>
                <w:rFonts w:hint="eastAsia" w:ascii="宋体" w:hAnsi="宋体" w:eastAsia="宋体" w:cs="宋体"/>
                <w:sz w:val="21"/>
                <w:szCs w:val="21"/>
              </w:rPr>
            </w:pPr>
            <w:r>
              <w:rPr>
                <w:rFonts w:hint="eastAsia" w:ascii="宋体" w:hAnsi="宋体" w:eastAsia="宋体" w:cs="宋体"/>
                <w:spacing w:val="-2"/>
                <w:sz w:val="21"/>
                <w:szCs w:val="21"/>
              </w:rPr>
              <w:t>1.《中华人民共和国安全生</w:t>
            </w:r>
            <w:r>
              <w:rPr>
                <w:rFonts w:hint="eastAsia" w:ascii="宋体" w:hAnsi="宋体" w:eastAsia="宋体" w:cs="宋体"/>
                <w:spacing w:val="9"/>
                <w:sz w:val="21"/>
                <w:szCs w:val="21"/>
              </w:rPr>
              <w:t>产法》第四十一条第二款生产</w:t>
            </w:r>
            <w:r>
              <w:rPr>
                <w:rFonts w:hint="eastAsia" w:ascii="宋体" w:hAnsi="宋体" w:eastAsia="宋体" w:cs="宋体"/>
                <w:spacing w:val="19"/>
                <w:sz w:val="21"/>
                <w:szCs w:val="21"/>
              </w:rPr>
              <w:t>经营单位应当建立健全并落实</w:t>
            </w:r>
            <w:r>
              <w:rPr>
                <w:rFonts w:hint="eastAsia" w:ascii="宋体" w:hAnsi="宋体" w:eastAsia="宋体" w:cs="宋体"/>
                <w:spacing w:val="18"/>
                <w:sz w:val="21"/>
                <w:szCs w:val="21"/>
              </w:rPr>
              <w:t>生产安全事故隐患排查治理制</w:t>
            </w:r>
            <w:r>
              <w:rPr>
                <w:rFonts w:hint="eastAsia" w:ascii="宋体" w:hAnsi="宋体" w:eastAsia="宋体" w:cs="宋体"/>
                <w:spacing w:val="10"/>
                <w:sz w:val="21"/>
                <w:szCs w:val="21"/>
              </w:rPr>
              <w:t>度，采取技术、管理措施，及时</w:t>
            </w:r>
            <w:r>
              <w:rPr>
                <w:rFonts w:hint="eastAsia" w:ascii="宋体" w:hAnsi="宋体" w:eastAsia="宋体" w:cs="宋体"/>
                <w:spacing w:val="11"/>
                <w:sz w:val="21"/>
                <w:szCs w:val="21"/>
              </w:rPr>
              <w:t>发现并消除事故隐患。事故隐患</w:t>
            </w:r>
            <w:r>
              <w:rPr>
                <w:rFonts w:hint="eastAsia" w:ascii="宋体" w:hAnsi="宋体" w:eastAsia="宋体" w:cs="宋体"/>
                <w:spacing w:val="8"/>
                <w:sz w:val="21"/>
                <w:szCs w:val="21"/>
              </w:rPr>
              <w:t>排查治理情况应当如实记录，并</w:t>
            </w:r>
            <w:r>
              <w:rPr>
                <w:rFonts w:hint="eastAsia" w:ascii="宋体" w:hAnsi="宋体" w:eastAsia="宋体" w:cs="宋体"/>
                <w:spacing w:val="19"/>
                <w:sz w:val="21"/>
                <w:szCs w:val="21"/>
              </w:rPr>
              <w:t>通过职工大会或者职工代表大</w:t>
            </w:r>
            <w:r>
              <w:rPr>
                <w:rFonts w:hint="eastAsia" w:ascii="宋体" w:hAnsi="宋体" w:eastAsia="宋体" w:cs="宋体"/>
                <w:spacing w:val="8"/>
                <w:sz w:val="21"/>
                <w:szCs w:val="21"/>
              </w:rPr>
              <w:t>会、信息公示栏等方式向从业人</w:t>
            </w:r>
            <w:r>
              <w:rPr>
                <w:rFonts w:hint="eastAsia" w:ascii="宋体" w:hAnsi="宋体" w:eastAsia="宋体" w:cs="宋体"/>
                <w:spacing w:val="9"/>
                <w:sz w:val="21"/>
                <w:szCs w:val="21"/>
              </w:rPr>
              <w:t>员通报。其中，重大事故隐患排</w:t>
            </w:r>
            <w:r>
              <w:rPr>
                <w:rFonts w:hint="eastAsia" w:ascii="宋体" w:hAnsi="宋体" w:eastAsia="宋体" w:cs="宋体"/>
                <w:spacing w:val="19"/>
                <w:sz w:val="21"/>
                <w:szCs w:val="21"/>
              </w:rPr>
              <w:t>查治理情况应当及时向负有安</w:t>
            </w:r>
            <w:r>
              <w:rPr>
                <w:rFonts w:hint="eastAsia" w:ascii="宋体" w:hAnsi="宋体" w:eastAsia="宋体" w:cs="宋体"/>
                <w:spacing w:val="20"/>
                <w:sz w:val="21"/>
                <w:szCs w:val="21"/>
              </w:rPr>
              <w:t>全生产监督管理职责的部门和</w:t>
            </w:r>
            <w:r>
              <w:rPr>
                <w:rFonts w:hint="eastAsia" w:ascii="宋体" w:hAnsi="宋体" w:eastAsia="宋体" w:cs="宋体"/>
                <w:spacing w:val="19"/>
                <w:sz w:val="21"/>
                <w:szCs w:val="21"/>
              </w:rPr>
              <w:t>职工大会或者职工代表大会报</w:t>
            </w:r>
            <w:r>
              <w:rPr>
                <w:rFonts w:hint="eastAsia" w:ascii="宋体" w:hAnsi="宋体" w:eastAsia="宋体" w:cs="宋体"/>
                <w:spacing w:val="-3"/>
                <w:sz w:val="21"/>
                <w:szCs w:val="21"/>
              </w:rPr>
              <w:t>告。</w:t>
            </w:r>
          </w:p>
          <w:p w14:paraId="0A8BA0E6">
            <w:pPr>
              <w:spacing w:before="77" w:line="245" w:lineRule="auto"/>
              <w:ind w:left="112" w:firstLine="455"/>
              <w:rPr>
                <w:rFonts w:hint="eastAsia" w:ascii="宋体" w:hAnsi="宋体" w:eastAsia="宋体" w:cs="宋体"/>
                <w:sz w:val="21"/>
                <w:szCs w:val="21"/>
              </w:rPr>
            </w:pPr>
            <w:r>
              <w:rPr>
                <w:rFonts w:hint="eastAsia" w:ascii="宋体" w:hAnsi="宋体" w:eastAsia="宋体" w:cs="宋体"/>
                <w:spacing w:val="-8"/>
                <w:sz w:val="21"/>
                <w:szCs w:val="21"/>
              </w:rPr>
              <w:t>2.《化工和危险化学品生产</w:t>
            </w:r>
            <w:r>
              <w:rPr>
                <w:rFonts w:hint="eastAsia" w:ascii="宋体" w:hAnsi="宋体" w:eastAsia="宋体" w:cs="宋体"/>
                <w:spacing w:val="13"/>
                <w:sz w:val="21"/>
                <w:szCs w:val="21"/>
              </w:rPr>
              <w:t>经营单位重大生产安全事故隐</w:t>
            </w:r>
            <w:r>
              <w:rPr>
                <w:rFonts w:hint="eastAsia" w:ascii="宋体" w:hAnsi="宋体" w:eastAsia="宋体" w:cs="宋体"/>
                <w:spacing w:val="20"/>
                <w:sz w:val="21"/>
                <w:szCs w:val="21"/>
              </w:rPr>
              <w:t>患判定标准(试行)》(安监总</w:t>
            </w:r>
            <w:r>
              <w:rPr>
                <w:rFonts w:hint="eastAsia" w:ascii="宋体" w:hAnsi="宋体" w:eastAsia="宋体" w:cs="宋体"/>
                <w:spacing w:val="1"/>
                <w:sz w:val="21"/>
                <w:szCs w:val="21"/>
              </w:rPr>
              <w:t>管三〔2017〕121号)第三条涉</w:t>
            </w:r>
            <w:r>
              <w:rPr>
                <w:rFonts w:hint="eastAsia" w:ascii="宋体" w:hAnsi="宋体" w:eastAsia="宋体" w:cs="宋体"/>
                <w:spacing w:val="10"/>
                <w:sz w:val="21"/>
                <w:szCs w:val="21"/>
              </w:rPr>
              <w:t>及"两重点一重大"的生产装置、</w:t>
            </w:r>
            <w:r>
              <w:rPr>
                <w:rFonts w:hint="eastAsia" w:ascii="宋体" w:hAnsi="宋体" w:eastAsia="宋体" w:cs="宋体"/>
                <w:spacing w:val="15"/>
                <w:sz w:val="21"/>
                <w:szCs w:val="21"/>
              </w:rPr>
              <w:t>储存设施外部安全防护距离不符合国家标准要求。</w:t>
            </w:r>
          </w:p>
        </w:tc>
        <w:tc>
          <w:tcPr>
            <w:tcW w:w="2868" w:type="dxa"/>
            <w:noWrap w:val="0"/>
            <w:vAlign w:val="top"/>
          </w:tcPr>
          <w:p w14:paraId="3C345DF4">
            <w:pPr>
              <w:rPr>
                <w:rFonts w:hint="eastAsia" w:ascii="宋体" w:hAnsi="宋体" w:eastAsia="宋体" w:cs="宋体"/>
                <w:sz w:val="21"/>
                <w:szCs w:val="21"/>
              </w:rPr>
            </w:pPr>
          </w:p>
        </w:tc>
        <w:tc>
          <w:tcPr>
            <w:tcW w:w="2838" w:type="dxa"/>
            <w:noWrap w:val="0"/>
            <w:vAlign w:val="top"/>
          </w:tcPr>
          <w:p w14:paraId="4601B9D3">
            <w:pPr>
              <w:spacing w:line="287" w:lineRule="auto"/>
              <w:rPr>
                <w:rFonts w:hint="eastAsia" w:ascii="宋体" w:hAnsi="宋体" w:eastAsia="宋体" w:cs="宋体"/>
                <w:sz w:val="21"/>
                <w:szCs w:val="21"/>
              </w:rPr>
            </w:pPr>
          </w:p>
          <w:p w14:paraId="705E8CC8">
            <w:pPr>
              <w:spacing w:line="287" w:lineRule="auto"/>
              <w:rPr>
                <w:rFonts w:hint="eastAsia" w:ascii="宋体" w:hAnsi="宋体" w:eastAsia="宋体" w:cs="宋体"/>
                <w:sz w:val="21"/>
                <w:szCs w:val="21"/>
              </w:rPr>
            </w:pPr>
          </w:p>
          <w:p w14:paraId="2062CD5F">
            <w:pPr>
              <w:spacing w:line="287" w:lineRule="auto"/>
              <w:rPr>
                <w:rFonts w:hint="eastAsia" w:ascii="宋体" w:hAnsi="宋体" w:eastAsia="宋体" w:cs="宋体"/>
                <w:sz w:val="21"/>
                <w:szCs w:val="21"/>
              </w:rPr>
            </w:pPr>
          </w:p>
          <w:p w14:paraId="37D9311F">
            <w:pPr>
              <w:spacing w:line="287" w:lineRule="auto"/>
              <w:rPr>
                <w:rFonts w:hint="eastAsia" w:ascii="宋体" w:hAnsi="宋体" w:eastAsia="宋体" w:cs="宋体"/>
                <w:sz w:val="21"/>
                <w:szCs w:val="21"/>
              </w:rPr>
            </w:pPr>
          </w:p>
          <w:p w14:paraId="214354BE">
            <w:pPr>
              <w:spacing w:before="75" w:line="253" w:lineRule="auto"/>
              <w:ind w:left="116" w:firstLine="469"/>
              <w:jc w:val="both"/>
              <w:rPr>
                <w:rFonts w:hint="eastAsia" w:ascii="宋体" w:hAnsi="宋体" w:eastAsia="宋体" w:cs="宋体"/>
                <w:sz w:val="21"/>
                <w:szCs w:val="21"/>
              </w:rPr>
            </w:pPr>
            <w:r>
              <w:rPr>
                <w:rFonts w:hint="eastAsia" w:ascii="宋体" w:hAnsi="宋体" w:eastAsia="宋体" w:cs="宋体"/>
                <w:spacing w:val="29"/>
                <w:sz w:val="21"/>
                <w:szCs w:val="21"/>
              </w:rPr>
              <w:t>《中华人民共和国</w:t>
            </w:r>
            <w:r>
              <w:rPr>
                <w:rFonts w:hint="eastAsia" w:ascii="宋体" w:hAnsi="宋体" w:eastAsia="宋体" w:cs="宋体"/>
                <w:spacing w:val="6"/>
                <w:sz w:val="21"/>
                <w:szCs w:val="21"/>
              </w:rPr>
              <w:t>安全生产法》第一百零二</w:t>
            </w:r>
            <w:r>
              <w:rPr>
                <w:rFonts w:hint="eastAsia" w:ascii="宋体" w:hAnsi="宋体" w:eastAsia="宋体" w:cs="宋体"/>
                <w:spacing w:val="18"/>
                <w:sz w:val="21"/>
                <w:szCs w:val="21"/>
              </w:rPr>
              <w:t>条生产经营单位未采</w:t>
            </w:r>
            <w:r>
              <w:rPr>
                <w:rFonts w:hint="eastAsia" w:ascii="宋体" w:hAnsi="宋体" w:eastAsia="宋体" w:cs="宋体"/>
                <w:spacing w:val="16"/>
                <w:sz w:val="21"/>
                <w:szCs w:val="21"/>
              </w:rPr>
              <w:t>取措施消除事故隐患的，</w:t>
            </w:r>
            <w:r>
              <w:rPr>
                <w:rFonts w:hint="eastAsia" w:ascii="宋体" w:hAnsi="宋体" w:eastAsia="宋体" w:cs="宋体"/>
                <w:spacing w:val="23"/>
                <w:sz w:val="21"/>
                <w:szCs w:val="21"/>
              </w:rPr>
              <w:t>责令立即消除或者限期</w:t>
            </w:r>
            <w:r>
              <w:rPr>
                <w:rFonts w:hint="eastAsia" w:ascii="宋体" w:hAnsi="宋体" w:eastAsia="宋体" w:cs="宋体"/>
                <w:spacing w:val="8"/>
                <w:sz w:val="21"/>
                <w:szCs w:val="21"/>
              </w:rPr>
              <w:t>消除，处五万元以下的罚</w:t>
            </w:r>
            <w:r>
              <w:rPr>
                <w:rFonts w:hint="eastAsia" w:ascii="宋体" w:hAnsi="宋体" w:eastAsia="宋体" w:cs="宋体"/>
                <w:spacing w:val="6"/>
                <w:sz w:val="21"/>
                <w:szCs w:val="21"/>
              </w:rPr>
              <w:t>款；生产经营单位拒不执</w:t>
            </w:r>
            <w:r>
              <w:rPr>
                <w:rFonts w:hint="eastAsia" w:ascii="宋体" w:hAnsi="宋体" w:eastAsia="宋体" w:cs="宋体"/>
                <w:spacing w:val="24"/>
                <w:sz w:val="21"/>
                <w:szCs w:val="21"/>
              </w:rPr>
              <w:t>行的，责令停产停业整</w:t>
            </w:r>
            <w:r>
              <w:rPr>
                <w:rFonts w:hint="eastAsia" w:ascii="宋体" w:hAnsi="宋体" w:eastAsia="宋体" w:cs="宋体"/>
                <w:spacing w:val="6"/>
                <w:sz w:val="21"/>
                <w:szCs w:val="21"/>
              </w:rPr>
              <w:t>顿，对其直接负责的主管</w:t>
            </w:r>
            <w:r>
              <w:rPr>
                <w:rFonts w:hint="eastAsia" w:ascii="宋体" w:hAnsi="宋体" w:eastAsia="宋体" w:cs="宋体"/>
                <w:spacing w:val="26"/>
                <w:sz w:val="21"/>
                <w:szCs w:val="21"/>
              </w:rPr>
              <w:t>人员和其他直接责任人员处五万元以上十万元</w:t>
            </w:r>
            <w:r>
              <w:rPr>
                <w:rFonts w:hint="eastAsia" w:ascii="宋体" w:hAnsi="宋体" w:eastAsia="宋体" w:cs="宋体"/>
                <w:spacing w:val="25"/>
                <w:sz w:val="21"/>
                <w:szCs w:val="21"/>
              </w:rPr>
              <w:t>以下的罚款；构成犯罪</w:t>
            </w:r>
            <w:r>
              <w:rPr>
                <w:rFonts w:hint="eastAsia" w:ascii="宋体" w:hAnsi="宋体" w:eastAsia="宋体" w:cs="宋体"/>
                <w:spacing w:val="6"/>
                <w:sz w:val="21"/>
                <w:szCs w:val="21"/>
              </w:rPr>
              <w:t>的，依照刑法有关规定追</w:t>
            </w:r>
            <w:r>
              <w:rPr>
                <w:rFonts w:hint="eastAsia" w:ascii="宋体" w:hAnsi="宋体" w:eastAsia="宋体" w:cs="宋体"/>
                <w:spacing w:val="25"/>
                <w:sz w:val="21"/>
                <w:szCs w:val="21"/>
              </w:rPr>
              <w:t>究刑事责任。</w:t>
            </w:r>
          </w:p>
        </w:tc>
        <w:tc>
          <w:tcPr>
            <w:tcW w:w="1254" w:type="dxa"/>
            <w:noWrap w:val="0"/>
            <w:vAlign w:val="top"/>
          </w:tcPr>
          <w:p w14:paraId="54A554D1">
            <w:pPr>
              <w:spacing w:line="252" w:lineRule="auto"/>
              <w:rPr>
                <w:rFonts w:hint="eastAsia" w:ascii="宋体" w:hAnsi="宋体" w:eastAsia="宋体" w:cs="宋体"/>
                <w:sz w:val="21"/>
                <w:szCs w:val="21"/>
              </w:rPr>
            </w:pPr>
          </w:p>
          <w:p w14:paraId="5098535A">
            <w:pPr>
              <w:spacing w:line="253" w:lineRule="auto"/>
              <w:rPr>
                <w:rFonts w:hint="eastAsia" w:ascii="宋体" w:hAnsi="宋体" w:eastAsia="宋体" w:cs="宋体"/>
                <w:sz w:val="21"/>
                <w:szCs w:val="21"/>
              </w:rPr>
            </w:pPr>
          </w:p>
          <w:p w14:paraId="6CC61C77">
            <w:pPr>
              <w:spacing w:line="253" w:lineRule="auto"/>
              <w:rPr>
                <w:rFonts w:hint="eastAsia" w:ascii="宋体" w:hAnsi="宋体" w:eastAsia="宋体" w:cs="宋体"/>
                <w:sz w:val="21"/>
                <w:szCs w:val="21"/>
              </w:rPr>
            </w:pPr>
          </w:p>
          <w:p w14:paraId="52F5C853">
            <w:pPr>
              <w:spacing w:line="253" w:lineRule="auto"/>
              <w:rPr>
                <w:rFonts w:hint="eastAsia" w:ascii="宋体" w:hAnsi="宋体" w:eastAsia="宋体" w:cs="宋体"/>
                <w:sz w:val="21"/>
                <w:szCs w:val="21"/>
              </w:rPr>
            </w:pPr>
          </w:p>
          <w:p w14:paraId="3E3EACDA">
            <w:pPr>
              <w:spacing w:line="253" w:lineRule="auto"/>
              <w:rPr>
                <w:rFonts w:hint="eastAsia" w:ascii="宋体" w:hAnsi="宋体" w:eastAsia="宋体" w:cs="宋体"/>
                <w:sz w:val="21"/>
                <w:szCs w:val="21"/>
              </w:rPr>
            </w:pPr>
          </w:p>
          <w:p w14:paraId="52643AC9">
            <w:pPr>
              <w:spacing w:line="253" w:lineRule="auto"/>
              <w:rPr>
                <w:rFonts w:hint="eastAsia" w:ascii="宋体" w:hAnsi="宋体" w:eastAsia="宋体" w:cs="宋体"/>
                <w:sz w:val="21"/>
                <w:szCs w:val="21"/>
              </w:rPr>
            </w:pPr>
          </w:p>
          <w:p w14:paraId="64F9EBB6">
            <w:pPr>
              <w:spacing w:line="253" w:lineRule="auto"/>
              <w:rPr>
                <w:rFonts w:hint="eastAsia" w:ascii="宋体" w:hAnsi="宋体" w:eastAsia="宋体" w:cs="宋体"/>
                <w:sz w:val="21"/>
                <w:szCs w:val="21"/>
              </w:rPr>
            </w:pPr>
          </w:p>
          <w:p w14:paraId="10A552F4">
            <w:pPr>
              <w:spacing w:line="253" w:lineRule="auto"/>
              <w:rPr>
                <w:rFonts w:hint="eastAsia" w:ascii="宋体" w:hAnsi="宋体" w:eastAsia="宋体" w:cs="宋体"/>
                <w:sz w:val="21"/>
                <w:szCs w:val="21"/>
              </w:rPr>
            </w:pPr>
          </w:p>
          <w:p w14:paraId="055026F3">
            <w:pPr>
              <w:spacing w:line="253" w:lineRule="auto"/>
              <w:rPr>
                <w:rFonts w:hint="eastAsia" w:ascii="宋体" w:hAnsi="宋体" w:eastAsia="宋体" w:cs="宋体"/>
                <w:sz w:val="21"/>
                <w:szCs w:val="21"/>
              </w:rPr>
            </w:pPr>
          </w:p>
          <w:p w14:paraId="7A8352EE">
            <w:pPr>
              <w:spacing w:line="253" w:lineRule="auto"/>
              <w:rPr>
                <w:rFonts w:hint="eastAsia" w:ascii="宋体" w:hAnsi="宋体" w:eastAsia="宋体" w:cs="宋体"/>
                <w:sz w:val="21"/>
                <w:szCs w:val="21"/>
              </w:rPr>
            </w:pPr>
          </w:p>
          <w:p w14:paraId="139AFB8C">
            <w:pPr>
              <w:spacing w:line="253" w:lineRule="auto"/>
              <w:rPr>
                <w:rFonts w:hint="eastAsia" w:ascii="宋体" w:hAnsi="宋体" w:eastAsia="宋体" w:cs="宋体"/>
                <w:sz w:val="21"/>
                <w:szCs w:val="21"/>
              </w:rPr>
            </w:pPr>
          </w:p>
          <w:p w14:paraId="78186C0D">
            <w:pPr>
              <w:spacing w:line="253" w:lineRule="auto"/>
              <w:rPr>
                <w:rFonts w:hint="eastAsia" w:ascii="宋体" w:hAnsi="宋体" w:eastAsia="宋体" w:cs="宋体"/>
                <w:sz w:val="21"/>
                <w:szCs w:val="21"/>
              </w:rPr>
            </w:pPr>
          </w:p>
          <w:p w14:paraId="6C00E749">
            <w:pPr>
              <w:spacing w:before="78" w:line="225" w:lineRule="auto"/>
              <w:ind w:left="99" w:right="160"/>
              <w:rPr>
                <w:rFonts w:hint="eastAsia" w:ascii="宋体" w:hAnsi="宋体" w:eastAsia="宋体" w:cs="宋体"/>
                <w:sz w:val="21"/>
                <w:szCs w:val="21"/>
              </w:rPr>
            </w:pPr>
            <w:r>
              <w:rPr>
                <w:rFonts w:hint="eastAsia" w:ascii="宋体" w:hAnsi="宋体" w:eastAsia="宋体" w:cs="宋体"/>
                <w:spacing w:val="6"/>
                <w:sz w:val="21"/>
                <w:szCs w:val="21"/>
              </w:rPr>
              <w:t>重大隐患</w:t>
            </w:r>
            <w:r>
              <w:rPr>
                <w:rFonts w:hint="eastAsia" w:ascii="宋体" w:hAnsi="宋体" w:eastAsia="宋体" w:cs="宋体"/>
                <w:spacing w:val="4"/>
                <w:sz w:val="21"/>
                <w:szCs w:val="21"/>
              </w:rPr>
              <w:t>管理</w:t>
            </w:r>
          </w:p>
        </w:tc>
      </w:tr>
    </w:tbl>
    <w:p w14:paraId="514D0CC6">
      <w:pPr>
        <w:rPr>
          <w:rFonts w:hint="eastAsia" w:ascii="宋体" w:hAnsi="宋体" w:eastAsia="宋体" w:cs="宋体"/>
          <w:sz w:val="21"/>
          <w:szCs w:val="21"/>
        </w:rPr>
      </w:pPr>
    </w:p>
    <w:p w14:paraId="125C2A50">
      <w:pPr>
        <w:sectPr>
          <w:pgSz w:w="16840" w:h="11900"/>
          <w:pgMar w:top="1440" w:right="1080" w:bottom="1440" w:left="1080" w:header="0" w:footer="0" w:gutter="0"/>
          <w:pgNumType w:fmt="decimal"/>
          <w:cols w:space="720" w:num="1"/>
        </w:sectPr>
      </w:pPr>
    </w:p>
    <w:p w14:paraId="536279FF"/>
    <w:p w14:paraId="25D6419D"/>
    <w:p w14:paraId="4D32F691">
      <w:pPr>
        <w:spacing w:line="22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507"/>
        <w:gridCol w:w="2868"/>
        <w:gridCol w:w="2848"/>
        <w:gridCol w:w="1244"/>
      </w:tblGrid>
      <w:tr w14:paraId="1B480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3692FB3D">
            <w:pPr>
              <w:spacing w:before="22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28" w:type="dxa"/>
            <w:noWrap w:val="0"/>
            <w:vAlign w:val="top"/>
          </w:tcPr>
          <w:p w14:paraId="5DAAC452">
            <w:pPr>
              <w:spacing w:before="81" w:line="219" w:lineRule="auto"/>
              <w:ind w:left="624"/>
              <w:rPr>
                <w:rFonts w:ascii="宋体" w:hAnsi="宋体" w:eastAsia="宋体" w:cs="宋体"/>
                <w:b/>
                <w:bCs/>
                <w:sz w:val="24"/>
                <w:szCs w:val="24"/>
              </w:rPr>
            </w:pPr>
            <w:r>
              <w:rPr>
                <w:rFonts w:ascii="宋体" w:hAnsi="宋体" w:eastAsia="宋体" w:cs="宋体"/>
                <w:b/>
                <w:bCs/>
                <w:spacing w:val="-5"/>
                <w:sz w:val="24"/>
                <w:szCs w:val="24"/>
              </w:rPr>
              <w:t>执法检查</w:t>
            </w:r>
          </w:p>
          <w:p w14:paraId="07FC16B0">
            <w:pPr>
              <w:spacing w:before="34" w:line="210" w:lineRule="auto"/>
              <w:ind w:left="384"/>
              <w:rPr>
                <w:rFonts w:ascii="宋体" w:hAnsi="宋体" w:eastAsia="宋体" w:cs="宋体"/>
                <w:b/>
                <w:bCs/>
                <w:sz w:val="24"/>
                <w:szCs w:val="24"/>
              </w:rPr>
            </w:pPr>
            <w:r>
              <w:rPr>
                <w:rFonts w:ascii="宋体" w:hAnsi="宋体" w:eastAsia="宋体" w:cs="宋体"/>
                <w:b/>
                <w:bCs/>
                <w:spacing w:val="-4"/>
                <w:sz w:val="24"/>
                <w:szCs w:val="24"/>
              </w:rPr>
              <w:t>重点事项内容</w:t>
            </w:r>
          </w:p>
        </w:tc>
        <w:tc>
          <w:tcPr>
            <w:tcW w:w="3507" w:type="dxa"/>
            <w:noWrap w:val="0"/>
            <w:vAlign w:val="top"/>
          </w:tcPr>
          <w:p w14:paraId="5D767206">
            <w:pPr>
              <w:spacing w:before="219" w:line="219" w:lineRule="auto"/>
              <w:ind w:left="1026"/>
              <w:rPr>
                <w:rFonts w:ascii="宋体" w:hAnsi="宋体" w:eastAsia="宋体" w:cs="宋体"/>
                <w:b/>
                <w:bCs/>
                <w:sz w:val="24"/>
                <w:szCs w:val="24"/>
              </w:rPr>
            </w:pPr>
            <w:r>
              <w:rPr>
                <w:rFonts w:ascii="宋体" w:hAnsi="宋体" w:eastAsia="宋体" w:cs="宋体"/>
                <w:b/>
                <w:bCs/>
                <w:spacing w:val="5"/>
                <w:sz w:val="24"/>
                <w:szCs w:val="24"/>
              </w:rPr>
              <w:t>执法检查依据</w:t>
            </w:r>
          </w:p>
        </w:tc>
        <w:tc>
          <w:tcPr>
            <w:tcW w:w="2868" w:type="dxa"/>
            <w:noWrap w:val="0"/>
            <w:vAlign w:val="top"/>
          </w:tcPr>
          <w:p w14:paraId="1FCDE271">
            <w:pPr>
              <w:spacing w:before="95" w:line="220" w:lineRule="auto"/>
              <w:ind w:left="825"/>
              <w:rPr>
                <w:rFonts w:ascii="宋体" w:hAnsi="宋体" w:eastAsia="宋体" w:cs="宋体"/>
                <w:b/>
                <w:bCs/>
                <w:sz w:val="24"/>
                <w:szCs w:val="24"/>
              </w:rPr>
            </w:pPr>
            <w:r>
              <w:rPr>
                <w:rFonts w:ascii="宋体" w:hAnsi="宋体" w:eastAsia="宋体" w:cs="宋体"/>
                <w:b/>
                <w:bCs/>
                <w:spacing w:val="-2"/>
                <w:sz w:val="24"/>
                <w:szCs w:val="24"/>
              </w:rPr>
              <w:t>有关规范性</w:t>
            </w:r>
          </w:p>
          <w:p w14:paraId="5C058889">
            <w:pPr>
              <w:spacing w:before="49" w:line="187" w:lineRule="auto"/>
              <w:ind w:left="589"/>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2848" w:type="dxa"/>
            <w:noWrap w:val="0"/>
            <w:vAlign w:val="top"/>
          </w:tcPr>
          <w:p w14:paraId="63B8F18B">
            <w:pPr>
              <w:spacing w:before="223" w:line="219" w:lineRule="auto"/>
              <w:ind w:left="908"/>
              <w:rPr>
                <w:rFonts w:ascii="宋体" w:hAnsi="宋体" w:eastAsia="宋体" w:cs="宋体"/>
                <w:b/>
                <w:bCs/>
                <w:sz w:val="24"/>
                <w:szCs w:val="24"/>
              </w:rPr>
            </w:pPr>
            <w:r>
              <w:rPr>
                <w:rFonts w:ascii="宋体" w:hAnsi="宋体" w:eastAsia="宋体" w:cs="宋体"/>
                <w:b/>
                <w:bCs/>
                <w:spacing w:val="13"/>
                <w:sz w:val="24"/>
                <w:szCs w:val="24"/>
              </w:rPr>
              <w:t>处罚依据</w:t>
            </w:r>
          </w:p>
        </w:tc>
        <w:tc>
          <w:tcPr>
            <w:tcW w:w="1244" w:type="dxa"/>
            <w:noWrap w:val="0"/>
            <w:vAlign w:val="top"/>
          </w:tcPr>
          <w:p w14:paraId="46DD4D04">
            <w:pPr>
              <w:spacing w:before="222" w:line="221" w:lineRule="auto"/>
              <w:ind w:left="383"/>
              <w:rPr>
                <w:rFonts w:ascii="宋体" w:hAnsi="宋体" w:eastAsia="宋体" w:cs="宋体"/>
                <w:b/>
                <w:bCs/>
                <w:sz w:val="24"/>
                <w:szCs w:val="24"/>
              </w:rPr>
            </w:pPr>
            <w:r>
              <w:rPr>
                <w:rFonts w:ascii="宋体" w:hAnsi="宋体" w:eastAsia="宋体" w:cs="宋体"/>
                <w:b/>
                <w:bCs/>
                <w:spacing w:val="-6"/>
                <w:sz w:val="24"/>
                <w:szCs w:val="24"/>
              </w:rPr>
              <w:t>备注</w:t>
            </w:r>
          </w:p>
        </w:tc>
      </w:tr>
      <w:tr w14:paraId="71488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5" w:hRule="atLeast"/>
          <w:jc w:val="center"/>
        </w:trPr>
        <w:tc>
          <w:tcPr>
            <w:tcW w:w="864" w:type="dxa"/>
            <w:noWrap w:val="0"/>
            <w:vAlign w:val="top"/>
          </w:tcPr>
          <w:p w14:paraId="68D9FEE6">
            <w:pPr>
              <w:spacing w:line="252" w:lineRule="auto"/>
              <w:rPr>
                <w:rFonts w:hint="eastAsia" w:ascii="宋体" w:hAnsi="宋体" w:eastAsia="宋体" w:cs="宋体"/>
                <w:sz w:val="21"/>
                <w:szCs w:val="21"/>
              </w:rPr>
            </w:pPr>
          </w:p>
          <w:p w14:paraId="26EF11EA">
            <w:pPr>
              <w:spacing w:line="253" w:lineRule="auto"/>
              <w:rPr>
                <w:rFonts w:hint="eastAsia" w:ascii="宋体" w:hAnsi="宋体" w:eastAsia="宋体" w:cs="宋体"/>
                <w:sz w:val="21"/>
                <w:szCs w:val="21"/>
              </w:rPr>
            </w:pPr>
          </w:p>
          <w:p w14:paraId="00A833F2">
            <w:pPr>
              <w:spacing w:line="253" w:lineRule="auto"/>
              <w:rPr>
                <w:rFonts w:hint="eastAsia" w:ascii="宋体" w:hAnsi="宋体" w:eastAsia="宋体" w:cs="宋体"/>
                <w:sz w:val="21"/>
                <w:szCs w:val="21"/>
              </w:rPr>
            </w:pPr>
          </w:p>
          <w:p w14:paraId="2EA4314C">
            <w:pPr>
              <w:spacing w:line="253" w:lineRule="auto"/>
              <w:rPr>
                <w:rFonts w:hint="eastAsia" w:ascii="宋体" w:hAnsi="宋体" w:eastAsia="宋体" w:cs="宋体"/>
                <w:sz w:val="21"/>
                <w:szCs w:val="21"/>
              </w:rPr>
            </w:pPr>
          </w:p>
          <w:p w14:paraId="7E4F9B41">
            <w:pPr>
              <w:spacing w:line="253" w:lineRule="auto"/>
              <w:rPr>
                <w:rFonts w:hint="eastAsia" w:ascii="宋体" w:hAnsi="宋体" w:eastAsia="宋体" w:cs="宋体"/>
                <w:sz w:val="21"/>
                <w:szCs w:val="21"/>
              </w:rPr>
            </w:pPr>
          </w:p>
          <w:p w14:paraId="1FCD92FD">
            <w:pPr>
              <w:spacing w:line="253" w:lineRule="auto"/>
              <w:rPr>
                <w:rFonts w:hint="eastAsia" w:ascii="宋体" w:hAnsi="宋体" w:eastAsia="宋体" w:cs="宋体"/>
                <w:sz w:val="21"/>
                <w:szCs w:val="21"/>
              </w:rPr>
            </w:pPr>
          </w:p>
          <w:p w14:paraId="38DDF116">
            <w:pPr>
              <w:spacing w:line="253" w:lineRule="auto"/>
              <w:rPr>
                <w:rFonts w:hint="eastAsia" w:ascii="宋体" w:hAnsi="宋体" w:eastAsia="宋体" w:cs="宋体"/>
                <w:sz w:val="21"/>
                <w:szCs w:val="21"/>
              </w:rPr>
            </w:pPr>
          </w:p>
          <w:p w14:paraId="6F859F7B">
            <w:pPr>
              <w:spacing w:line="253" w:lineRule="auto"/>
              <w:rPr>
                <w:rFonts w:hint="eastAsia" w:ascii="宋体" w:hAnsi="宋体" w:eastAsia="宋体" w:cs="宋体"/>
                <w:sz w:val="21"/>
                <w:szCs w:val="21"/>
              </w:rPr>
            </w:pPr>
          </w:p>
          <w:p w14:paraId="1A25EC50">
            <w:pPr>
              <w:spacing w:line="253" w:lineRule="auto"/>
              <w:rPr>
                <w:rFonts w:hint="eastAsia" w:ascii="宋体" w:hAnsi="宋体" w:eastAsia="宋体" w:cs="宋体"/>
                <w:sz w:val="21"/>
                <w:szCs w:val="21"/>
              </w:rPr>
            </w:pPr>
          </w:p>
          <w:p w14:paraId="72491AB5">
            <w:pPr>
              <w:spacing w:line="253" w:lineRule="auto"/>
              <w:rPr>
                <w:rFonts w:hint="eastAsia" w:ascii="宋体" w:hAnsi="宋体" w:eastAsia="宋体" w:cs="宋体"/>
                <w:sz w:val="21"/>
                <w:szCs w:val="21"/>
              </w:rPr>
            </w:pPr>
          </w:p>
          <w:p w14:paraId="5FD2E23E">
            <w:pPr>
              <w:spacing w:line="253" w:lineRule="auto"/>
              <w:rPr>
                <w:rFonts w:hint="eastAsia" w:ascii="宋体" w:hAnsi="宋体" w:eastAsia="宋体" w:cs="宋体"/>
                <w:sz w:val="21"/>
                <w:szCs w:val="21"/>
              </w:rPr>
            </w:pPr>
          </w:p>
          <w:p w14:paraId="755F37FE">
            <w:pPr>
              <w:spacing w:line="253" w:lineRule="auto"/>
              <w:rPr>
                <w:rFonts w:hint="eastAsia" w:ascii="宋体" w:hAnsi="宋体" w:eastAsia="宋体" w:cs="宋体"/>
                <w:sz w:val="21"/>
                <w:szCs w:val="21"/>
              </w:rPr>
            </w:pPr>
          </w:p>
          <w:p w14:paraId="4D01FB75">
            <w:pPr>
              <w:spacing w:line="253" w:lineRule="auto"/>
              <w:rPr>
                <w:rFonts w:hint="eastAsia" w:ascii="宋体" w:hAnsi="宋体" w:eastAsia="宋体" w:cs="宋体"/>
                <w:sz w:val="21"/>
                <w:szCs w:val="21"/>
              </w:rPr>
            </w:pPr>
          </w:p>
          <w:p w14:paraId="79072269">
            <w:pPr>
              <w:spacing w:line="253" w:lineRule="auto"/>
              <w:rPr>
                <w:rFonts w:hint="eastAsia" w:ascii="宋体" w:hAnsi="宋体" w:eastAsia="宋体" w:cs="宋体"/>
                <w:sz w:val="21"/>
                <w:szCs w:val="21"/>
              </w:rPr>
            </w:pPr>
          </w:p>
          <w:p w14:paraId="1ADB2BD1">
            <w:pPr>
              <w:spacing w:before="78" w:line="184" w:lineRule="auto"/>
              <w:ind w:left="305"/>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8</w:t>
            </w:r>
          </w:p>
        </w:tc>
        <w:tc>
          <w:tcPr>
            <w:tcW w:w="2228" w:type="dxa"/>
            <w:noWrap w:val="0"/>
            <w:vAlign w:val="top"/>
          </w:tcPr>
          <w:p w14:paraId="272288D4">
            <w:pPr>
              <w:spacing w:line="241" w:lineRule="auto"/>
              <w:rPr>
                <w:rFonts w:hint="eastAsia" w:ascii="宋体" w:hAnsi="宋体" w:eastAsia="宋体" w:cs="宋体"/>
                <w:sz w:val="21"/>
                <w:szCs w:val="21"/>
              </w:rPr>
            </w:pPr>
          </w:p>
          <w:p w14:paraId="37AFB604">
            <w:pPr>
              <w:spacing w:line="241" w:lineRule="auto"/>
              <w:rPr>
                <w:rFonts w:hint="eastAsia" w:ascii="宋体" w:hAnsi="宋体" w:eastAsia="宋体" w:cs="宋体"/>
                <w:sz w:val="21"/>
                <w:szCs w:val="21"/>
              </w:rPr>
            </w:pPr>
          </w:p>
          <w:p w14:paraId="11695FF4">
            <w:pPr>
              <w:spacing w:line="241" w:lineRule="auto"/>
              <w:rPr>
                <w:rFonts w:hint="eastAsia" w:ascii="宋体" w:hAnsi="宋体" w:eastAsia="宋体" w:cs="宋体"/>
                <w:sz w:val="21"/>
                <w:szCs w:val="21"/>
              </w:rPr>
            </w:pPr>
          </w:p>
          <w:p w14:paraId="1F604659">
            <w:pPr>
              <w:spacing w:line="241" w:lineRule="auto"/>
              <w:rPr>
                <w:rFonts w:hint="eastAsia" w:ascii="宋体" w:hAnsi="宋体" w:eastAsia="宋体" w:cs="宋体"/>
                <w:sz w:val="21"/>
                <w:szCs w:val="21"/>
              </w:rPr>
            </w:pPr>
          </w:p>
          <w:p w14:paraId="5CC454A6">
            <w:pPr>
              <w:spacing w:line="242" w:lineRule="auto"/>
              <w:rPr>
                <w:rFonts w:hint="eastAsia" w:ascii="宋体" w:hAnsi="宋体" w:eastAsia="宋体" w:cs="宋体"/>
                <w:sz w:val="21"/>
                <w:szCs w:val="21"/>
              </w:rPr>
            </w:pPr>
          </w:p>
          <w:p w14:paraId="67770B32">
            <w:pPr>
              <w:spacing w:line="242" w:lineRule="auto"/>
              <w:rPr>
                <w:rFonts w:hint="eastAsia" w:ascii="宋体" w:hAnsi="宋体" w:eastAsia="宋体" w:cs="宋体"/>
                <w:sz w:val="21"/>
                <w:szCs w:val="21"/>
              </w:rPr>
            </w:pPr>
          </w:p>
          <w:p w14:paraId="29D7468F">
            <w:pPr>
              <w:spacing w:line="242" w:lineRule="auto"/>
              <w:rPr>
                <w:rFonts w:hint="eastAsia" w:ascii="宋体" w:hAnsi="宋体" w:eastAsia="宋体" w:cs="宋体"/>
                <w:sz w:val="21"/>
                <w:szCs w:val="21"/>
              </w:rPr>
            </w:pPr>
          </w:p>
          <w:p w14:paraId="09A34589">
            <w:pPr>
              <w:spacing w:line="242" w:lineRule="auto"/>
              <w:rPr>
                <w:rFonts w:hint="eastAsia" w:ascii="宋体" w:hAnsi="宋体" w:eastAsia="宋体" w:cs="宋体"/>
                <w:sz w:val="21"/>
                <w:szCs w:val="21"/>
              </w:rPr>
            </w:pPr>
          </w:p>
          <w:p w14:paraId="1C7D2050">
            <w:pPr>
              <w:spacing w:line="242" w:lineRule="auto"/>
              <w:rPr>
                <w:rFonts w:hint="eastAsia" w:ascii="宋体" w:hAnsi="宋体" w:eastAsia="宋体" w:cs="宋体"/>
                <w:sz w:val="21"/>
                <w:szCs w:val="21"/>
              </w:rPr>
            </w:pPr>
          </w:p>
          <w:p w14:paraId="5EFC7147">
            <w:pPr>
              <w:spacing w:line="242" w:lineRule="auto"/>
              <w:rPr>
                <w:rFonts w:hint="eastAsia" w:ascii="宋体" w:hAnsi="宋体" w:eastAsia="宋体" w:cs="宋体"/>
                <w:sz w:val="21"/>
                <w:szCs w:val="21"/>
              </w:rPr>
            </w:pPr>
          </w:p>
          <w:p w14:paraId="181DB746">
            <w:pPr>
              <w:spacing w:before="78"/>
              <w:ind w:left="110" w:right="37" w:firstLine="29"/>
              <w:jc w:val="both"/>
              <w:rPr>
                <w:rFonts w:hint="eastAsia" w:ascii="宋体" w:hAnsi="宋体" w:eastAsia="宋体" w:cs="宋体"/>
                <w:sz w:val="21"/>
                <w:szCs w:val="21"/>
              </w:rPr>
            </w:pPr>
            <w:r>
              <w:rPr>
                <w:rFonts w:hint="eastAsia" w:ascii="宋体" w:hAnsi="宋体" w:eastAsia="宋体" w:cs="宋体"/>
                <w:spacing w:val="1"/>
                <w:sz w:val="21"/>
                <w:szCs w:val="21"/>
              </w:rPr>
              <w:t>涉及重点监管危险</w:t>
            </w:r>
            <w:r>
              <w:rPr>
                <w:rFonts w:hint="eastAsia" w:ascii="宋体" w:hAnsi="宋体" w:eastAsia="宋体" w:cs="宋体"/>
                <w:spacing w:val="5"/>
                <w:sz w:val="21"/>
                <w:szCs w:val="21"/>
              </w:rPr>
              <w:t>化工工艺的装置未</w:t>
            </w:r>
            <w:r>
              <w:rPr>
                <w:rFonts w:hint="eastAsia" w:ascii="宋体" w:hAnsi="宋体" w:eastAsia="宋体" w:cs="宋体"/>
                <w:spacing w:val="18"/>
                <w:sz w:val="21"/>
                <w:szCs w:val="21"/>
              </w:rPr>
              <w:t>实现自动化控制，</w:t>
            </w:r>
            <w:r>
              <w:rPr>
                <w:rFonts w:hint="eastAsia" w:ascii="宋体" w:hAnsi="宋体" w:eastAsia="宋体" w:cs="宋体"/>
                <w:spacing w:val="5"/>
                <w:sz w:val="21"/>
                <w:szCs w:val="21"/>
              </w:rPr>
              <w:t>系统未实现紧急停</w:t>
            </w:r>
            <w:r>
              <w:rPr>
                <w:rFonts w:hint="eastAsia" w:ascii="宋体" w:hAnsi="宋体" w:eastAsia="宋体" w:cs="宋体"/>
                <w:spacing w:val="8"/>
                <w:sz w:val="21"/>
                <w:szCs w:val="21"/>
              </w:rPr>
              <w:t>车功能，装备的自</w:t>
            </w:r>
            <w:r>
              <w:rPr>
                <w:rFonts w:hint="eastAsia" w:ascii="宋体" w:hAnsi="宋体" w:eastAsia="宋体" w:cs="宋体"/>
                <w:spacing w:val="5"/>
                <w:sz w:val="21"/>
                <w:szCs w:val="21"/>
              </w:rPr>
              <w:t>动化控制系统、紧急停车系统未投入</w:t>
            </w:r>
            <w:r>
              <w:rPr>
                <w:rFonts w:hint="eastAsia" w:ascii="宋体" w:hAnsi="宋体" w:eastAsia="宋体" w:cs="宋体"/>
                <w:spacing w:val="-8"/>
                <w:sz w:val="21"/>
                <w:szCs w:val="21"/>
              </w:rPr>
              <w:t>使用。</w:t>
            </w:r>
          </w:p>
        </w:tc>
        <w:tc>
          <w:tcPr>
            <w:tcW w:w="3507" w:type="dxa"/>
            <w:noWrap w:val="0"/>
            <w:vAlign w:val="top"/>
          </w:tcPr>
          <w:p w14:paraId="3A25B94D">
            <w:pPr>
              <w:spacing w:before="100" w:line="254" w:lineRule="auto"/>
              <w:ind w:left="152" w:firstLine="448"/>
              <w:jc w:val="both"/>
              <w:rPr>
                <w:rFonts w:hint="eastAsia" w:ascii="宋体" w:hAnsi="宋体" w:eastAsia="宋体" w:cs="宋体"/>
                <w:sz w:val="21"/>
                <w:szCs w:val="21"/>
              </w:rPr>
            </w:pPr>
            <w:r>
              <w:rPr>
                <w:rFonts w:hint="eastAsia" w:ascii="宋体" w:hAnsi="宋体" w:eastAsia="宋体" w:cs="宋体"/>
                <w:spacing w:val="-2"/>
                <w:sz w:val="21"/>
                <w:szCs w:val="21"/>
              </w:rPr>
              <w:t>1.《中华人民共和国安全生</w:t>
            </w:r>
            <w:r>
              <w:rPr>
                <w:rFonts w:hint="eastAsia" w:ascii="宋体" w:hAnsi="宋体" w:eastAsia="宋体" w:cs="宋体"/>
                <w:spacing w:val="7"/>
                <w:sz w:val="21"/>
                <w:szCs w:val="21"/>
              </w:rPr>
              <w:t>产法》第四十一条第二款生产</w:t>
            </w:r>
            <w:r>
              <w:rPr>
                <w:rFonts w:hint="eastAsia" w:ascii="宋体" w:hAnsi="宋体" w:eastAsia="宋体" w:cs="宋体"/>
                <w:spacing w:val="22"/>
                <w:sz w:val="21"/>
                <w:szCs w:val="21"/>
              </w:rPr>
              <w:t>经营单位应当建立健全并落实</w:t>
            </w:r>
            <w:r>
              <w:rPr>
                <w:rFonts w:hint="eastAsia" w:ascii="宋体" w:hAnsi="宋体" w:eastAsia="宋体" w:cs="宋体"/>
                <w:spacing w:val="21"/>
                <w:sz w:val="21"/>
                <w:szCs w:val="21"/>
              </w:rPr>
              <w:t>生产安全事故隐患排查治理制</w:t>
            </w:r>
            <w:r>
              <w:rPr>
                <w:rFonts w:hint="eastAsia" w:ascii="宋体" w:hAnsi="宋体" w:eastAsia="宋体" w:cs="宋体"/>
                <w:spacing w:val="8"/>
                <w:sz w:val="21"/>
                <w:szCs w:val="21"/>
              </w:rPr>
              <w:t>度，采取技术、管理措施，及时发现并消除事故隐患。事故隐患排查治理情况应当如实记录，并</w:t>
            </w:r>
            <w:r>
              <w:rPr>
                <w:rFonts w:hint="eastAsia" w:ascii="宋体" w:hAnsi="宋体" w:eastAsia="宋体" w:cs="宋体"/>
                <w:spacing w:val="21"/>
                <w:sz w:val="21"/>
                <w:szCs w:val="21"/>
              </w:rPr>
              <w:t>通过职工大会或者职工代表大</w:t>
            </w:r>
            <w:r>
              <w:rPr>
                <w:rFonts w:hint="eastAsia" w:ascii="宋体" w:hAnsi="宋体" w:eastAsia="宋体" w:cs="宋体"/>
                <w:spacing w:val="8"/>
                <w:sz w:val="21"/>
                <w:szCs w:val="21"/>
              </w:rPr>
              <w:t>会、信息公示栏等方式向从业人员通报。其中，重大事故隐患排</w:t>
            </w:r>
            <w:r>
              <w:rPr>
                <w:rFonts w:hint="eastAsia" w:ascii="宋体" w:hAnsi="宋体" w:eastAsia="宋体" w:cs="宋体"/>
                <w:spacing w:val="19"/>
                <w:sz w:val="21"/>
                <w:szCs w:val="21"/>
              </w:rPr>
              <w:t>查治理情况应当及时向负有安</w:t>
            </w:r>
            <w:r>
              <w:rPr>
                <w:rFonts w:hint="eastAsia" w:ascii="宋体" w:hAnsi="宋体" w:eastAsia="宋体" w:cs="宋体"/>
                <w:spacing w:val="21"/>
                <w:sz w:val="21"/>
                <w:szCs w:val="21"/>
              </w:rPr>
              <w:t>全生产监督管理职责的部门和职工大会或者职工代表大会报</w:t>
            </w:r>
            <w:r>
              <w:rPr>
                <w:rFonts w:hint="eastAsia" w:ascii="宋体" w:hAnsi="宋体" w:eastAsia="宋体" w:cs="宋体"/>
                <w:spacing w:val="-3"/>
                <w:sz w:val="21"/>
                <w:szCs w:val="21"/>
              </w:rPr>
              <w:t>告。</w:t>
            </w:r>
          </w:p>
          <w:p w14:paraId="17FAA2C0">
            <w:pPr>
              <w:spacing w:before="58" w:line="251" w:lineRule="auto"/>
              <w:ind w:left="152" w:firstLine="415"/>
              <w:jc w:val="both"/>
              <w:rPr>
                <w:rFonts w:hint="eastAsia" w:ascii="宋体" w:hAnsi="宋体" w:eastAsia="宋体" w:cs="宋体"/>
                <w:sz w:val="21"/>
                <w:szCs w:val="21"/>
              </w:rPr>
            </w:pPr>
            <w:r>
              <w:rPr>
                <w:rFonts w:hint="eastAsia" w:ascii="宋体" w:hAnsi="宋体" w:eastAsia="宋体" w:cs="宋体"/>
                <w:spacing w:val="-9"/>
                <w:sz w:val="21"/>
                <w:szCs w:val="21"/>
              </w:rPr>
              <w:t>2.《危险化学品生产企业安</w:t>
            </w:r>
            <w:r>
              <w:rPr>
                <w:rFonts w:hint="eastAsia" w:ascii="宋体" w:hAnsi="宋体" w:eastAsia="宋体" w:cs="宋体"/>
                <w:spacing w:val="4"/>
                <w:sz w:val="21"/>
                <w:szCs w:val="21"/>
              </w:rPr>
              <w:t>全生产许可证实施办法》(国家</w:t>
            </w:r>
            <w:r>
              <w:rPr>
                <w:rFonts w:hint="eastAsia" w:ascii="宋体" w:hAnsi="宋体" w:eastAsia="宋体" w:cs="宋体"/>
                <w:spacing w:val="21"/>
                <w:sz w:val="21"/>
                <w:szCs w:val="21"/>
              </w:rPr>
              <w:t>安全监管总局令第41号)第九</w:t>
            </w:r>
            <w:r>
              <w:rPr>
                <w:rFonts w:hint="eastAsia" w:ascii="宋体" w:hAnsi="宋体" w:eastAsia="宋体" w:cs="宋体"/>
                <w:spacing w:val="6"/>
                <w:sz w:val="21"/>
                <w:szCs w:val="21"/>
              </w:rPr>
              <w:t>条第一款第三项企业的厂房、</w:t>
            </w:r>
            <w:r>
              <w:rPr>
                <w:rFonts w:hint="eastAsia" w:ascii="宋体" w:hAnsi="宋体" w:eastAsia="宋体" w:cs="宋体"/>
                <w:spacing w:val="14"/>
                <w:sz w:val="21"/>
                <w:szCs w:val="21"/>
              </w:rPr>
              <w:t>作业场所、储存设施和安全设</w:t>
            </w:r>
            <w:r>
              <w:rPr>
                <w:rFonts w:hint="eastAsia" w:ascii="宋体" w:hAnsi="宋体" w:eastAsia="宋体" w:cs="宋体"/>
                <w:spacing w:val="1"/>
                <w:sz w:val="21"/>
                <w:szCs w:val="21"/>
              </w:rPr>
              <w:t>施、设备、工艺应当符合下列要</w:t>
            </w:r>
            <w:r>
              <w:rPr>
                <w:rFonts w:hint="eastAsia" w:ascii="宋体" w:hAnsi="宋体" w:eastAsia="宋体" w:cs="宋体"/>
                <w:spacing w:val="-5"/>
                <w:sz w:val="21"/>
                <w:szCs w:val="21"/>
              </w:rPr>
              <w:t>求：</w:t>
            </w:r>
          </w:p>
          <w:p w14:paraId="44791AB7">
            <w:pPr>
              <w:spacing w:before="64" w:line="218" w:lineRule="auto"/>
              <w:ind w:left="152" w:right="34" w:firstLine="549"/>
              <w:jc w:val="both"/>
              <w:rPr>
                <w:rFonts w:hint="eastAsia" w:ascii="宋体" w:hAnsi="宋体" w:eastAsia="宋体" w:cs="宋体"/>
                <w:sz w:val="21"/>
                <w:szCs w:val="21"/>
              </w:rPr>
            </w:pPr>
            <w:r>
              <w:rPr>
                <w:rFonts w:hint="eastAsia" w:ascii="宋体" w:hAnsi="宋体" w:eastAsia="宋体" w:cs="宋体"/>
                <w:spacing w:val="18"/>
                <w:sz w:val="21"/>
                <w:szCs w:val="21"/>
              </w:rPr>
              <w:t>(三)涉及危险化工工艺、</w:t>
            </w:r>
            <w:r>
              <w:rPr>
                <w:rFonts w:hint="eastAsia" w:ascii="宋体" w:hAnsi="宋体" w:eastAsia="宋体" w:cs="宋体"/>
                <w:spacing w:val="20"/>
                <w:sz w:val="21"/>
                <w:szCs w:val="21"/>
              </w:rPr>
              <w:t>重点监管危险化学品的装置装</w:t>
            </w:r>
          </w:p>
        </w:tc>
        <w:tc>
          <w:tcPr>
            <w:tcW w:w="2868" w:type="dxa"/>
            <w:noWrap w:val="0"/>
            <w:vAlign w:val="top"/>
          </w:tcPr>
          <w:p w14:paraId="5D90088B">
            <w:pPr>
              <w:rPr>
                <w:rFonts w:hint="eastAsia" w:ascii="宋体" w:hAnsi="宋体" w:eastAsia="宋体" w:cs="宋体"/>
                <w:sz w:val="21"/>
                <w:szCs w:val="21"/>
              </w:rPr>
            </w:pPr>
          </w:p>
        </w:tc>
        <w:tc>
          <w:tcPr>
            <w:tcW w:w="2848" w:type="dxa"/>
            <w:noWrap w:val="0"/>
            <w:vAlign w:val="top"/>
          </w:tcPr>
          <w:p w14:paraId="0D4A8A1C">
            <w:pPr>
              <w:spacing w:line="241" w:lineRule="auto"/>
              <w:rPr>
                <w:rFonts w:hint="eastAsia" w:ascii="宋体" w:hAnsi="宋体" w:eastAsia="宋体" w:cs="宋体"/>
                <w:sz w:val="21"/>
                <w:szCs w:val="21"/>
              </w:rPr>
            </w:pPr>
          </w:p>
          <w:p w14:paraId="78F03702">
            <w:pPr>
              <w:spacing w:line="241" w:lineRule="auto"/>
              <w:rPr>
                <w:rFonts w:hint="eastAsia" w:ascii="宋体" w:hAnsi="宋体" w:eastAsia="宋体" w:cs="宋体"/>
                <w:sz w:val="21"/>
                <w:szCs w:val="21"/>
              </w:rPr>
            </w:pPr>
          </w:p>
          <w:p w14:paraId="0D17E3C6">
            <w:pPr>
              <w:spacing w:line="242" w:lineRule="auto"/>
              <w:rPr>
                <w:rFonts w:hint="eastAsia" w:ascii="宋体" w:hAnsi="宋体" w:eastAsia="宋体" w:cs="宋体"/>
                <w:sz w:val="21"/>
                <w:szCs w:val="21"/>
              </w:rPr>
            </w:pPr>
          </w:p>
          <w:p w14:paraId="69282733">
            <w:pPr>
              <w:spacing w:line="242" w:lineRule="auto"/>
              <w:rPr>
                <w:rFonts w:hint="eastAsia" w:ascii="宋体" w:hAnsi="宋体" w:eastAsia="宋体" w:cs="宋体"/>
                <w:sz w:val="21"/>
                <w:szCs w:val="21"/>
              </w:rPr>
            </w:pPr>
          </w:p>
          <w:p w14:paraId="6E27FA94">
            <w:pPr>
              <w:spacing w:line="242" w:lineRule="auto"/>
              <w:rPr>
                <w:rFonts w:hint="eastAsia" w:ascii="宋体" w:hAnsi="宋体" w:eastAsia="宋体" w:cs="宋体"/>
                <w:sz w:val="21"/>
                <w:szCs w:val="21"/>
              </w:rPr>
            </w:pPr>
          </w:p>
          <w:p w14:paraId="1BD80808">
            <w:pPr>
              <w:spacing w:line="242" w:lineRule="auto"/>
              <w:rPr>
                <w:rFonts w:hint="eastAsia" w:ascii="宋体" w:hAnsi="宋体" w:eastAsia="宋体" w:cs="宋体"/>
                <w:sz w:val="21"/>
                <w:szCs w:val="21"/>
              </w:rPr>
            </w:pPr>
          </w:p>
          <w:p w14:paraId="245CF4F3">
            <w:pPr>
              <w:spacing w:before="75" w:line="255" w:lineRule="auto"/>
              <w:ind w:left="148" w:firstLine="428"/>
              <w:jc w:val="both"/>
              <w:rPr>
                <w:rFonts w:hint="eastAsia" w:ascii="宋体" w:hAnsi="宋体" w:eastAsia="宋体" w:cs="宋体"/>
                <w:sz w:val="21"/>
                <w:szCs w:val="21"/>
              </w:rPr>
            </w:pPr>
            <w:r>
              <w:rPr>
                <w:rFonts w:hint="eastAsia" w:ascii="宋体" w:hAnsi="宋体" w:eastAsia="宋体" w:cs="宋体"/>
                <w:spacing w:val="33"/>
                <w:sz w:val="21"/>
                <w:szCs w:val="21"/>
              </w:rPr>
              <w:t>《中华人民共和国</w:t>
            </w:r>
            <w:r>
              <w:rPr>
                <w:rFonts w:hint="eastAsia" w:ascii="宋体" w:hAnsi="宋体" w:eastAsia="宋体" w:cs="宋体"/>
                <w:spacing w:val="5"/>
                <w:sz w:val="21"/>
                <w:szCs w:val="21"/>
              </w:rPr>
              <w:t>安全生产法》第一百零二</w:t>
            </w:r>
            <w:r>
              <w:rPr>
                <w:rFonts w:hint="eastAsia" w:ascii="宋体" w:hAnsi="宋体" w:eastAsia="宋体" w:cs="宋体"/>
                <w:spacing w:val="18"/>
                <w:sz w:val="21"/>
                <w:szCs w:val="21"/>
              </w:rPr>
              <w:t>条生产经营单位未采</w:t>
            </w:r>
            <w:r>
              <w:rPr>
                <w:rFonts w:hint="eastAsia" w:ascii="宋体" w:hAnsi="宋体" w:eastAsia="宋体" w:cs="宋体"/>
                <w:spacing w:val="14"/>
                <w:sz w:val="21"/>
                <w:szCs w:val="21"/>
              </w:rPr>
              <w:t>取措施消除事故隐患的，</w:t>
            </w:r>
            <w:r>
              <w:rPr>
                <w:rFonts w:hint="eastAsia" w:ascii="宋体" w:hAnsi="宋体" w:eastAsia="宋体" w:cs="宋体"/>
                <w:spacing w:val="24"/>
                <w:sz w:val="21"/>
                <w:szCs w:val="21"/>
              </w:rPr>
              <w:t>责令立即消除或者限期</w:t>
            </w:r>
            <w:r>
              <w:rPr>
                <w:rFonts w:hint="eastAsia" w:ascii="宋体" w:hAnsi="宋体" w:eastAsia="宋体" w:cs="宋体"/>
                <w:spacing w:val="6"/>
                <w:sz w:val="21"/>
                <w:szCs w:val="21"/>
              </w:rPr>
              <w:t>消除，处五万元以下的罚</w:t>
            </w:r>
            <w:r>
              <w:rPr>
                <w:rFonts w:hint="eastAsia" w:ascii="宋体" w:hAnsi="宋体" w:eastAsia="宋体" w:cs="宋体"/>
                <w:spacing w:val="4"/>
                <w:sz w:val="21"/>
                <w:szCs w:val="21"/>
              </w:rPr>
              <w:t>款；生产经营单位拒不执</w:t>
            </w:r>
            <w:r>
              <w:rPr>
                <w:rFonts w:hint="eastAsia" w:ascii="宋体" w:hAnsi="宋体" w:eastAsia="宋体" w:cs="宋体"/>
                <w:spacing w:val="26"/>
                <w:sz w:val="21"/>
                <w:szCs w:val="21"/>
              </w:rPr>
              <w:t>行的，责令停产停业整</w:t>
            </w:r>
            <w:r>
              <w:rPr>
                <w:rFonts w:hint="eastAsia" w:ascii="宋体" w:hAnsi="宋体" w:eastAsia="宋体" w:cs="宋体"/>
                <w:spacing w:val="5"/>
                <w:sz w:val="21"/>
                <w:szCs w:val="21"/>
              </w:rPr>
              <w:t>顿，对其直接负责的主管</w:t>
            </w:r>
            <w:r>
              <w:rPr>
                <w:rFonts w:hint="eastAsia" w:ascii="宋体" w:hAnsi="宋体" w:eastAsia="宋体" w:cs="宋体"/>
                <w:spacing w:val="24"/>
                <w:sz w:val="21"/>
                <w:szCs w:val="21"/>
              </w:rPr>
              <w:t>人员和其他直接责任人员处五万元以上十万元以下的罚款；构成犯罪</w:t>
            </w:r>
            <w:r>
              <w:rPr>
                <w:rFonts w:hint="eastAsia" w:ascii="宋体" w:hAnsi="宋体" w:eastAsia="宋体" w:cs="宋体"/>
                <w:spacing w:val="4"/>
                <w:sz w:val="21"/>
                <w:szCs w:val="21"/>
              </w:rPr>
              <w:t>的，依照刑法有关规定追</w:t>
            </w:r>
            <w:r>
              <w:rPr>
                <w:rFonts w:hint="eastAsia" w:ascii="宋体" w:hAnsi="宋体" w:eastAsia="宋体" w:cs="宋体"/>
                <w:spacing w:val="23"/>
                <w:sz w:val="21"/>
                <w:szCs w:val="21"/>
              </w:rPr>
              <w:t>究刑事责任。</w:t>
            </w:r>
          </w:p>
        </w:tc>
        <w:tc>
          <w:tcPr>
            <w:tcW w:w="1244" w:type="dxa"/>
            <w:noWrap w:val="0"/>
            <w:vAlign w:val="top"/>
          </w:tcPr>
          <w:p w14:paraId="3739F225">
            <w:pPr>
              <w:rPr>
                <w:rFonts w:hint="eastAsia" w:ascii="宋体" w:hAnsi="宋体" w:eastAsia="宋体" w:cs="宋体"/>
                <w:sz w:val="21"/>
                <w:szCs w:val="21"/>
              </w:rPr>
            </w:pPr>
          </w:p>
          <w:p w14:paraId="5805F3E8">
            <w:pPr>
              <w:rPr>
                <w:rFonts w:hint="eastAsia" w:ascii="宋体" w:hAnsi="宋体" w:eastAsia="宋体" w:cs="宋体"/>
                <w:sz w:val="21"/>
                <w:szCs w:val="21"/>
              </w:rPr>
            </w:pPr>
          </w:p>
          <w:p w14:paraId="23C64636">
            <w:pPr>
              <w:rPr>
                <w:rFonts w:hint="eastAsia" w:ascii="宋体" w:hAnsi="宋体" w:eastAsia="宋体" w:cs="宋体"/>
                <w:sz w:val="21"/>
                <w:szCs w:val="21"/>
              </w:rPr>
            </w:pPr>
          </w:p>
          <w:p w14:paraId="66ACFD3E">
            <w:pPr>
              <w:rPr>
                <w:rFonts w:hint="eastAsia" w:ascii="宋体" w:hAnsi="宋体" w:eastAsia="宋体" w:cs="宋体"/>
                <w:sz w:val="21"/>
                <w:szCs w:val="21"/>
              </w:rPr>
            </w:pPr>
          </w:p>
          <w:p w14:paraId="7250D7CE">
            <w:pPr>
              <w:rPr>
                <w:rFonts w:hint="eastAsia" w:ascii="宋体" w:hAnsi="宋体" w:eastAsia="宋体" w:cs="宋体"/>
                <w:sz w:val="21"/>
                <w:szCs w:val="21"/>
              </w:rPr>
            </w:pPr>
          </w:p>
          <w:p w14:paraId="61F585E5">
            <w:pPr>
              <w:rPr>
                <w:rFonts w:hint="eastAsia" w:ascii="宋体" w:hAnsi="宋体" w:eastAsia="宋体" w:cs="宋体"/>
                <w:sz w:val="21"/>
                <w:szCs w:val="21"/>
              </w:rPr>
            </w:pPr>
          </w:p>
          <w:p w14:paraId="1D09649C">
            <w:pPr>
              <w:rPr>
                <w:rFonts w:hint="eastAsia" w:ascii="宋体" w:hAnsi="宋体" w:eastAsia="宋体" w:cs="宋体"/>
                <w:sz w:val="21"/>
                <w:szCs w:val="21"/>
              </w:rPr>
            </w:pPr>
          </w:p>
          <w:p w14:paraId="43100FE0">
            <w:pPr>
              <w:rPr>
                <w:rFonts w:hint="eastAsia" w:ascii="宋体" w:hAnsi="宋体" w:eastAsia="宋体" w:cs="宋体"/>
                <w:sz w:val="21"/>
                <w:szCs w:val="21"/>
              </w:rPr>
            </w:pPr>
          </w:p>
          <w:p w14:paraId="66087481">
            <w:pPr>
              <w:rPr>
                <w:rFonts w:hint="eastAsia" w:ascii="宋体" w:hAnsi="宋体" w:eastAsia="宋体" w:cs="宋体"/>
                <w:sz w:val="21"/>
                <w:szCs w:val="21"/>
              </w:rPr>
            </w:pPr>
          </w:p>
          <w:p w14:paraId="00109B5D">
            <w:pPr>
              <w:rPr>
                <w:rFonts w:hint="eastAsia" w:ascii="宋体" w:hAnsi="宋体" w:eastAsia="宋体" w:cs="宋体"/>
                <w:sz w:val="21"/>
                <w:szCs w:val="21"/>
              </w:rPr>
            </w:pPr>
          </w:p>
          <w:p w14:paraId="4400CF69">
            <w:pPr>
              <w:rPr>
                <w:rFonts w:hint="eastAsia" w:ascii="宋体" w:hAnsi="宋体" w:eastAsia="宋体" w:cs="宋体"/>
                <w:sz w:val="21"/>
                <w:szCs w:val="21"/>
              </w:rPr>
            </w:pPr>
          </w:p>
          <w:p w14:paraId="475BE9BD">
            <w:pPr>
              <w:rPr>
                <w:rFonts w:hint="eastAsia" w:ascii="宋体" w:hAnsi="宋体" w:eastAsia="宋体" w:cs="宋体"/>
                <w:sz w:val="21"/>
                <w:szCs w:val="21"/>
              </w:rPr>
            </w:pPr>
          </w:p>
          <w:p w14:paraId="34ACB50C">
            <w:pPr>
              <w:rPr>
                <w:rFonts w:hint="eastAsia" w:ascii="宋体" w:hAnsi="宋体" w:eastAsia="宋体" w:cs="宋体"/>
                <w:sz w:val="21"/>
                <w:szCs w:val="21"/>
              </w:rPr>
            </w:pPr>
          </w:p>
          <w:p w14:paraId="419B15D2">
            <w:pPr>
              <w:spacing w:line="241" w:lineRule="auto"/>
              <w:rPr>
                <w:rFonts w:hint="eastAsia" w:ascii="宋体" w:hAnsi="宋体" w:eastAsia="宋体" w:cs="宋体"/>
                <w:sz w:val="21"/>
                <w:szCs w:val="21"/>
              </w:rPr>
            </w:pPr>
          </w:p>
          <w:p w14:paraId="42B5138B">
            <w:pPr>
              <w:spacing w:before="78" w:line="229" w:lineRule="auto"/>
              <w:ind w:left="129" w:right="119"/>
              <w:rPr>
                <w:rFonts w:hint="eastAsia" w:ascii="宋体" w:hAnsi="宋体" w:eastAsia="宋体" w:cs="宋体"/>
                <w:sz w:val="21"/>
                <w:szCs w:val="21"/>
              </w:rPr>
            </w:pPr>
            <w:r>
              <w:rPr>
                <w:rFonts w:hint="eastAsia" w:ascii="宋体" w:hAnsi="宋体" w:eastAsia="宋体" w:cs="宋体"/>
                <w:spacing w:val="6"/>
                <w:sz w:val="21"/>
                <w:szCs w:val="21"/>
              </w:rPr>
              <w:t>重大隐患</w:t>
            </w:r>
            <w:r>
              <w:rPr>
                <w:rFonts w:hint="eastAsia" w:ascii="宋体" w:hAnsi="宋体" w:eastAsia="宋体" w:cs="宋体"/>
                <w:spacing w:val="4"/>
                <w:sz w:val="21"/>
                <w:szCs w:val="21"/>
              </w:rPr>
              <w:t>管理</w:t>
            </w:r>
          </w:p>
        </w:tc>
      </w:tr>
    </w:tbl>
    <w:p w14:paraId="779437EE"/>
    <w:p w14:paraId="34FB061A"/>
    <w:p w14:paraId="692E33E1">
      <w:pPr>
        <w:spacing w:line="8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38"/>
        <w:gridCol w:w="3518"/>
        <w:gridCol w:w="2858"/>
        <w:gridCol w:w="2848"/>
        <w:gridCol w:w="1244"/>
      </w:tblGrid>
      <w:tr w14:paraId="5CDA5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71E2316B">
            <w:pPr>
              <w:spacing w:before="22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38" w:type="dxa"/>
            <w:noWrap w:val="0"/>
            <w:vAlign w:val="top"/>
          </w:tcPr>
          <w:p w14:paraId="4EBC9E40">
            <w:pPr>
              <w:spacing w:before="71" w:line="219" w:lineRule="auto"/>
              <w:ind w:left="634"/>
              <w:rPr>
                <w:rFonts w:ascii="宋体" w:hAnsi="宋体" w:eastAsia="宋体" w:cs="宋体"/>
                <w:b/>
                <w:bCs/>
                <w:sz w:val="24"/>
                <w:szCs w:val="24"/>
              </w:rPr>
            </w:pPr>
            <w:r>
              <w:rPr>
                <w:rFonts w:ascii="宋体" w:hAnsi="宋体" w:eastAsia="宋体" w:cs="宋体"/>
                <w:b/>
                <w:bCs/>
                <w:spacing w:val="-5"/>
                <w:sz w:val="24"/>
                <w:szCs w:val="24"/>
              </w:rPr>
              <w:t>执法检查</w:t>
            </w:r>
          </w:p>
          <w:p w14:paraId="62BF60E2">
            <w:pPr>
              <w:spacing w:before="44" w:line="210" w:lineRule="auto"/>
              <w:ind w:left="394"/>
              <w:rPr>
                <w:rFonts w:ascii="宋体" w:hAnsi="宋体" w:eastAsia="宋体" w:cs="宋体"/>
                <w:b/>
                <w:bCs/>
                <w:sz w:val="24"/>
                <w:szCs w:val="24"/>
              </w:rPr>
            </w:pPr>
            <w:r>
              <w:rPr>
                <w:rFonts w:ascii="宋体" w:hAnsi="宋体" w:eastAsia="宋体" w:cs="宋体"/>
                <w:b/>
                <w:bCs/>
                <w:spacing w:val="-4"/>
                <w:sz w:val="24"/>
                <w:szCs w:val="24"/>
              </w:rPr>
              <w:t>重点事项内容</w:t>
            </w:r>
          </w:p>
        </w:tc>
        <w:tc>
          <w:tcPr>
            <w:tcW w:w="3518" w:type="dxa"/>
            <w:noWrap w:val="0"/>
            <w:vAlign w:val="top"/>
          </w:tcPr>
          <w:p w14:paraId="33010DA5">
            <w:pPr>
              <w:spacing w:before="223" w:line="219" w:lineRule="auto"/>
              <w:ind w:left="1033"/>
              <w:rPr>
                <w:rFonts w:ascii="宋体" w:hAnsi="宋体" w:eastAsia="宋体" w:cs="宋体"/>
                <w:b/>
                <w:bCs/>
                <w:sz w:val="24"/>
                <w:szCs w:val="24"/>
              </w:rPr>
            </w:pPr>
            <w:r>
              <w:rPr>
                <w:rFonts w:ascii="宋体" w:hAnsi="宋体" w:eastAsia="宋体" w:cs="宋体"/>
                <w:b/>
                <w:bCs/>
                <w:spacing w:val="9"/>
                <w:sz w:val="24"/>
                <w:szCs w:val="24"/>
              </w:rPr>
              <w:t>执法检查依据</w:t>
            </w:r>
          </w:p>
        </w:tc>
        <w:tc>
          <w:tcPr>
            <w:tcW w:w="2858" w:type="dxa"/>
            <w:noWrap w:val="0"/>
            <w:vAlign w:val="top"/>
          </w:tcPr>
          <w:p w14:paraId="5D6A89FD">
            <w:pPr>
              <w:spacing w:before="105" w:line="220" w:lineRule="auto"/>
              <w:ind w:left="835"/>
              <w:rPr>
                <w:rFonts w:ascii="宋体" w:hAnsi="宋体" w:eastAsia="宋体" w:cs="宋体"/>
                <w:b/>
                <w:bCs/>
                <w:sz w:val="24"/>
                <w:szCs w:val="24"/>
              </w:rPr>
            </w:pPr>
            <w:r>
              <w:rPr>
                <w:rFonts w:ascii="宋体" w:hAnsi="宋体" w:eastAsia="宋体" w:cs="宋体"/>
                <w:b/>
                <w:bCs/>
                <w:spacing w:val="-2"/>
                <w:sz w:val="24"/>
                <w:szCs w:val="24"/>
              </w:rPr>
              <w:t>有关规范性</w:t>
            </w:r>
          </w:p>
          <w:p w14:paraId="05DD40A5">
            <w:pPr>
              <w:spacing w:before="22" w:line="200" w:lineRule="auto"/>
              <w:ind w:left="59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848" w:type="dxa"/>
            <w:noWrap w:val="0"/>
            <w:vAlign w:val="top"/>
          </w:tcPr>
          <w:p w14:paraId="6BA675F4">
            <w:pPr>
              <w:spacing w:before="223" w:line="219" w:lineRule="auto"/>
              <w:ind w:left="957"/>
              <w:rPr>
                <w:rFonts w:ascii="宋体" w:hAnsi="宋体" w:eastAsia="宋体" w:cs="宋体"/>
                <w:b/>
                <w:bCs/>
                <w:sz w:val="24"/>
                <w:szCs w:val="24"/>
              </w:rPr>
            </w:pPr>
            <w:r>
              <w:rPr>
                <w:rFonts w:ascii="宋体" w:hAnsi="宋体" w:eastAsia="宋体" w:cs="宋体"/>
                <w:b/>
                <w:bCs/>
                <w:spacing w:val="13"/>
                <w:sz w:val="24"/>
                <w:szCs w:val="24"/>
              </w:rPr>
              <w:t>处罚依据</w:t>
            </w:r>
          </w:p>
        </w:tc>
        <w:tc>
          <w:tcPr>
            <w:tcW w:w="1244" w:type="dxa"/>
            <w:noWrap w:val="0"/>
            <w:vAlign w:val="top"/>
          </w:tcPr>
          <w:p w14:paraId="56E4C11B">
            <w:pPr>
              <w:spacing w:before="222" w:line="221" w:lineRule="auto"/>
              <w:ind w:left="392"/>
              <w:rPr>
                <w:rFonts w:ascii="宋体" w:hAnsi="宋体" w:eastAsia="宋体" w:cs="宋体"/>
                <w:b/>
                <w:bCs/>
                <w:sz w:val="24"/>
                <w:szCs w:val="24"/>
              </w:rPr>
            </w:pPr>
            <w:r>
              <w:rPr>
                <w:rFonts w:ascii="宋体" w:hAnsi="宋体" w:eastAsia="宋体" w:cs="宋体"/>
                <w:b/>
                <w:bCs/>
                <w:spacing w:val="-6"/>
                <w:sz w:val="24"/>
                <w:szCs w:val="24"/>
              </w:rPr>
              <w:t>备注</w:t>
            </w:r>
          </w:p>
        </w:tc>
      </w:tr>
      <w:tr w14:paraId="04279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4" w:hRule="atLeast"/>
          <w:jc w:val="center"/>
        </w:trPr>
        <w:tc>
          <w:tcPr>
            <w:tcW w:w="864" w:type="dxa"/>
            <w:noWrap w:val="0"/>
            <w:vAlign w:val="top"/>
          </w:tcPr>
          <w:p w14:paraId="1BE00032">
            <w:pPr>
              <w:rPr>
                <w:rFonts w:ascii="Arial"/>
                <w:sz w:val="21"/>
                <w:szCs w:val="21"/>
              </w:rPr>
            </w:pPr>
          </w:p>
        </w:tc>
        <w:tc>
          <w:tcPr>
            <w:tcW w:w="2238" w:type="dxa"/>
            <w:noWrap w:val="0"/>
            <w:vAlign w:val="top"/>
          </w:tcPr>
          <w:p w14:paraId="3E2887AE">
            <w:pPr>
              <w:rPr>
                <w:rFonts w:ascii="Arial"/>
                <w:sz w:val="21"/>
                <w:szCs w:val="21"/>
              </w:rPr>
            </w:pPr>
          </w:p>
        </w:tc>
        <w:tc>
          <w:tcPr>
            <w:tcW w:w="3518" w:type="dxa"/>
            <w:noWrap w:val="0"/>
            <w:vAlign w:val="top"/>
          </w:tcPr>
          <w:p w14:paraId="37E3AD2B">
            <w:pPr>
              <w:spacing w:before="98" w:line="242" w:lineRule="auto"/>
              <w:ind w:left="123" w:right="12"/>
              <w:rPr>
                <w:rFonts w:ascii="宋体" w:hAnsi="宋体" w:eastAsia="宋体" w:cs="宋体"/>
                <w:sz w:val="21"/>
                <w:szCs w:val="21"/>
              </w:rPr>
            </w:pPr>
            <w:r>
              <w:rPr>
                <w:rFonts w:ascii="宋体" w:hAnsi="宋体" w:eastAsia="宋体" w:cs="宋体"/>
                <w:sz w:val="21"/>
                <w:szCs w:val="21"/>
              </w:rPr>
              <w:t>设自动化控制系统；涉及危险化</w:t>
            </w:r>
            <w:r>
              <w:rPr>
                <w:rFonts w:ascii="宋体" w:hAnsi="宋体" w:eastAsia="宋体" w:cs="宋体"/>
                <w:spacing w:val="13"/>
                <w:sz w:val="21"/>
                <w:szCs w:val="21"/>
              </w:rPr>
              <w:t>工工艺的大型化工装置装设紧</w:t>
            </w:r>
            <w:r>
              <w:rPr>
                <w:rFonts w:ascii="宋体" w:hAnsi="宋体" w:eastAsia="宋体" w:cs="宋体"/>
                <w:sz w:val="21"/>
                <w:szCs w:val="21"/>
              </w:rPr>
              <w:t>急停车系统；涉及易燃易爆、有</w:t>
            </w:r>
            <w:r>
              <w:rPr>
                <w:rFonts w:ascii="宋体" w:hAnsi="宋体" w:eastAsia="宋体" w:cs="宋体"/>
                <w:spacing w:val="10"/>
                <w:sz w:val="21"/>
                <w:szCs w:val="21"/>
              </w:rPr>
              <w:t>毒有害气体化学品的场所装设</w:t>
            </w:r>
            <w:r>
              <w:rPr>
                <w:rFonts w:ascii="宋体" w:hAnsi="宋体" w:eastAsia="宋体" w:cs="宋体"/>
                <w:sz w:val="21"/>
                <w:szCs w:val="21"/>
              </w:rPr>
              <w:t>易燃易爆、有毒有害介质泄漏报</w:t>
            </w:r>
            <w:r>
              <w:rPr>
                <w:rFonts w:ascii="宋体" w:hAnsi="宋体" w:eastAsia="宋体" w:cs="宋体"/>
                <w:spacing w:val="17"/>
                <w:sz w:val="21"/>
                <w:szCs w:val="21"/>
              </w:rPr>
              <w:t>警等安全设施。</w:t>
            </w:r>
          </w:p>
          <w:p w14:paraId="09B58203">
            <w:pPr>
              <w:spacing w:before="31" w:line="239" w:lineRule="auto"/>
              <w:ind w:left="123" w:right="14" w:firstLine="470"/>
              <w:jc w:val="both"/>
              <w:rPr>
                <w:rFonts w:ascii="宋体" w:hAnsi="宋体" w:eastAsia="宋体" w:cs="宋体"/>
                <w:sz w:val="21"/>
                <w:szCs w:val="21"/>
              </w:rPr>
            </w:pPr>
            <w:r>
              <w:rPr>
                <w:rFonts w:ascii="宋体" w:hAnsi="宋体" w:eastAsia="宋体" w:cs="宋体"/>
                <w:spacing w:val="-11"/>
                <w:sz w:val="21"/>
                <w:szCs w:val="21"/>
              </w:rPr>
              <w:t>3.《化工和危险化学品生产</w:t>
            </w:r>
            <w:r>
              <w:rPr>
                <w:rFonts w:ascii="宋体" w:hAnsi="宋体" w:eastAsia="宋体" w:cs="宋体"/>
                <w:spacing w:val="10"/>
                <w:sz w:val="21"/>
                <w:szCs w:val="21"/>
              </w:rPr>
              <w:t>经营单位重大生产安全事故隐</w:t>
            </w:r>
            <w:r>
              <w:rPr>
                <w:rFonts w:ascii="宋体" w:hAnsi="宋体" w:eastAsia="宋体" w:cs="宋体"/>
                <w:spacing w:val="20"/>
                <w:sz w:val="21"/>
                <w:szCs w:val="21"/>
              </w:rPr>
              <w:t>患判定标准(试行)》(安监总</w:t>
            </w:r>
            <w:r>
              <w:rPr>
                <w:rFonts w:ascii="宋体" w:hAnsi="宋体" w:eastAsia="宋体" w:cs="宋体"/>
                <w:spacing w:val="-1"/>
                <w:sz w:val="21"/>
                <w:szCs w:val="21"/>
              </w:rPr>
              <w:t>管三〔2017〕121号)第四条涉</w:t>
            </w:r>
            <w:r>
              <w:rPr>
                <w:rFonts w:ascii="宋体" w:hAnsi="宋体" w:eastAsia="宋体" w:cs="宋体"/>
                <w:spacing w:val="11"/>
                <w:sz w:val="21"/>
                <w:szCs w:val="21"/>
              </w:rPr>
              <w:t>及重点监管危险化工工艺的装</w:t>
            </w:r>
            <w:r>
              <w:rPr>
                <w:rFonts w:ascii="宋体" w:hAnsi="宋体" w:eastAsia="宋体" w:cs="宋体"/>
                <w:spacing w:val="-1"/>
                <w:sz w:val="21"/>
                <w:szCs w:val="21"/>
              </w:rPr>
              <w:t>置未实现自动化控制，系统未实</w:t>
            </w:r>
            <w:r>
              <w:rPr>
                <w:rFonts w:ascii="宋体" w:hAnsi="宋体" w:eastAsia="宋体" w:cs="宋体"/>
                <w:sz w:val="21"/>
                <w:szCs w:val="21"/>
              </w:rPr>
              <w:t>现紧急停车功能，装备的自动化</w:t>
            </w:r>
            <w:r>
              <w:rPr>
                <w:rFonts w:ascii="宋体" w:hAnsi="宋体" w:eastAsia="宋体" w:cs="宋体"/>
                <w:spacing w:val="-1"/>
                <w:sz w:val="21"/>
                <w:szCs w:val="21"/>
              </w:rPr>
              <w:t>控制系统、紧急停车系统未投入</w:t>
            </w:r>
            <w:r>
              <w:rPr>
                <w:rFonts w:ascii="宋体" w:hAnsi="宋体" w:eastAsia="宋体" w:cs="宋体"/>
                <w:spacing w:val="-8"/>
                <w:sz w:val="21"/>
                <w:szCs w:val="21"/>
              </w:rPr>
              <w:t>使用。</w:t>
            </w:r>
          </w:p>
        </w:tc>
        <w:tc>
          <w:tcPr>
            <w:tcW w:w="2858" w:type="dxa"/>
            <w:noWrap w:val="0"/>
            <w:vAlign w:val="top"/>
          </w:tcPr>
          <w:p w14:paraId="146E548A">
            <w:pPr>
              <w:rPr>
                <w:rFonts w:ascii="Arial"/>
                <w:sz w:val="21"/>
                <w:szCs w:val="21"/>
              </w:rPr>
            </w:pPr>
          </w:p>
        </w:tc>
        <w:tc>
          <w:tcPr>
            <w:tcW w:w="2848" w:type="dxa"/>
            <w:noWrap w:val="0"/>
            <w:vAlign w:val="top"/>
          </w:tcPr>
          <w:p w14:paraId="7913C7B7">
            <w:pPr>
              <w:rPr>
                <w:rFonts w:ascii="Arial"/>
                <w:sz w:val="21"/>
                <w:szCs w:val="21"/>
              </w:rPr>
            </w:pPr>
          </w:p>
        </w:tc>
        <w:tc>
          <w:tcPr>
            <w:tcW w:w="1244" w:type="dxa"/>
            <w:noWrap w:val="0"/>
            <w:vAlign w:val="top"/>
          </w:tcPr>
          <w:p w14:paraId="4828AAB5">
            <w:pPr>
              <w:rPr>
                <w:rFonts w:ascii="Arial"/>
                <w:sz w:val="21"/>
                <w:szCs w:val="21"/>
              </w:rPr>
            </w:pPr>
          </w:p>
        </w:tc>
      </w:tr>
      <w:tr w14:paraId="56AA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6" w:hRule="atLeast"/>
          <w:jc w:val="center"/>
        </w:trPr>
        <w:tc>
          <w:tcPr>
            <w:tcW w:w="864" w:type="dxa"/>
            <w:noWrap w:val="0"/>
            <w:vAlign w:val="top"/>
          </w:tcPr>
          <w:p w14:paraId="57DCB727">
            <w:pPr>
              <w:spacing w:line="288" w:lineRule="auto"/>
              <w:rPr>
                <w:rFonts w:ascii="Arial"/>
                <w:sz w:val="21"/>
                <w:szCs w:val="21"/>
              </w:rPr>
            </w:pPr>
          </w:p>
          <w:p w14:paraId="089FEA49">
            <w:pPr>
              <w:spacing w:line="288" w:lineRule="auto"/>
              <w:rPr>
                <w:rFonts w:ascii="Arial"/>
                <w:sz w:val="21"/>
                <w:szCs w:val="21"/>
              </w:rPr>
            </w:pPr>
          </w:p>
          <w:p w14:paraId="4C72B7D6">
            <w:pPr>
              <w:spacing w:line="288" w:lineRule="auto"/>
              <w:rPr>
                <w:rFonts w:ascii="Arial"/>
                <w:sz w:val="21"/>
                <w:szCs w:val="21"/>
              </w:rPr>
            </w:pPr>
          </w:p>
          <w:p w14:paraId="2EAB019E">
            <w:pPr>
              <w:spacing w:line="289" w:lineRule="auto"/>
              <w:rPr>
                <w:rFonts w:ascii="Arial"/>
                <w:sz w:val="21"/>
                <w:szCs w:val="21"/>
              </w:rPr>
            </w:pPr>
          </w:p>
          <w:p w14:paraId="220FC200">
            <w:pPr>
              <w:spacing w:before="78" w:line="183" w:lineRule="auto"/>
              <w:ind w:left="30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238" w:type="dxa"/>
            <w:noWrap w:val="0"/>
            <w:vAlign w:val="top"/>
          </w:tcPr>
          <w:p w14:paraId="0EC54065">
            <w:pPr>
              <w:spacing w:line="274" w:lineRule="auto"/>
              <w:rPr>
                <w:rFonts w:ascii="Arial"/>
                <w:sz w:val="21"/>
                <w:szCs w:val="21"/>
              </w:rPr>
            </w:pPr>
          </w:p>
          <w:p w14:paraId="6B54C971">
            <w:pPr>
              <w:spacing w:line="274" w:lineRule="auto"/>
              <w:rPr>
                <w:rFonts w:ascii="Arial"/>
                <w:sz w:val="21"/>
                <w:szCs w:val="21"/>
              </w:rPr>
            </w:pPr>
          </w:p>
          <w:p w14:paraId="78CA5B1F">
            <w:pPr>
              <w:spacing w:line="274" w:lineRule="auto"/>
              <w:rPr>
                <w:rFonts w:ascii="Arial"/>
                <w:sz w:val="21"/>
                <w:szCs w:val="21"/>
              </w:rPr>
            </w:pPr>
          </w:p>
          <w:p w14:paraId="0ABB9B42">
            <w:pPr>
              <w:spacing w:before="78" w:line="234" w:lineRule="auto"/>
              <w:ind w:left="121" w:right="127" w:firstLine="29"/>
              <w:jc w:val="both"/>
              <w:rPr>
                <w:rFonts w:ascii="宋体" w:hAnsi="宋体" w:eastAsia="宋体" w:cs="宋体"/>
                <w:sz w:val="21"/>
                <w:szCs w:val="21"/>
              </w:rPr>
            </w:pPr>
            <w:r>
              <w:rPr>
                <w:rFonts w:ascii="宋体" w:hAnsi="宋体" w:eastAsia="宋体" w:cs="宋体"/>
                <w:spacing w:val="1"/>
                <w:sz w:val="21"/>
                <w:szCs w:val="21"/>
              </w:rPr>
              <w:t>爆炸危险场所未按</w:t>
            </w:r>
            <w:r>
              <w:rPr>
                <w:rFonts w:ascii="宋体" w:hAnsi="宋体" w:eastAsia="宋体" w:cs="宋体"/>
                <w:spacing w:val="7"/>
                <w:sz w:val="21"/>
                <w:szCs w:val="21"/>
              </w:rPr>
              <w:t>国家标准安装使用</w:t>
            </w:r>
            <w:r>
              <w:rPr>
                <w:rFonts w:ascii="宋体" w:hAnsi="宋体" w:eastAsia="宋体" w:cs="宋体"/>
                <w:spacing w:val="17"/>
                <w:sz w:val="21"/>
                <w:szCs w:val="21"/>
              </w:rPr>
              <w:t>防爆电气设备。</w:t>
            </w:r>
          </w:p>
        </w:tc>
        <w:tc>
          <w:tcPr>
            <w:tcW w:w="3518" w:type="dxa"/>
            <w:noWrap w:val="0"/>
            <w:vAlign w:val="top"/>
          </w:tcPr>
          <w:p w14:paraId="229113B8">
            <w:pPr>
              <w:spacing w:before="94" w:line="250" w:lineRule="auto"/>
              <w:ind w:left="123" w:firstLine="490"/>
              <w:jc w:val="both"/>
              <w:rPr>
                <w:rFonts w:ascii="宋体" w:hAnsi="宋体" w:eastAsia="宋体" w:cs="宋体"/>
                <w:sz w:val="21"/>
                <w:szCs w:val="21"/>
              </w:rPr>
            </w:pPr>
            <w:r>
              <w:rPr>
                <w:rFonts w:ascii="宋体" w:hAnsi="宋体" w:eastAsia="宋体" w:cs="宋体"/>
                <w:spacing w:val="-2"/>
                <w:sz w:val="21"/>
                <w:szCs w:val="21"/>
              </w:rPr>
              <w:t>1.《中华人民共和国安全生</w:t>
            </w:r>
            <w:r>
              <w:rPr>
                <w:rFonts w:ascii="宋体" w:hAnsi="宋体" w:eastAsia="宋体" w:cs="宋体"/>
                <w:spacing w:val="9"/>
                <w:sz w:val="21"/>
                <w:szCs w:val="21"/>
              </w:rPr>
              <w:t>产法》第四十一条第二款生产</w:t>
            </w:r>
            <w:r>
              <w:rPr>
                <w:rFonts w:ascii="宋体" w:hAnsi="宋体" w:eastAsia="宋体" w:cs="宋体"/>
                <w:spacing w:val="23"/>
                <w:sz w:val="21"/>
                <w:szCs w:val="21"/>
              </w:rPr>
              <w:t>经营单位应当建立健全并落实</w:t>
            </w:r>
            <w:r>
              <w:rPr>
                <w:rFonts w:ascii="宋体" w:hAnsi="宋体" w:eastAsia="宋体" w:cs="宋体"/>
                <w:spacing w:val="22"/>
                <w:sz w:val="21"/>
                <w:szCs w:val="21"/>
              </w:rPr>
              <w:t>生产安全事故隐患排查治理制</w:t>
            </w:r>
            <w:r>
              <w:rPr>
                <w:rFonts w:ascii="宋体" w:hAnsi="宋体" w:eastAsia="宋体" w:cs="宋体"/>
                <w:spacing w:val="10"/>
                <w:sz w:val="21"/>
                <w:szCs w:val="21"/>
              </w:rPr>
              <w:t>度，采取技术、管理措施，及时</w:t>
            </w:r>
            <w:r>
              <w:rPr>
                <w:rFonts w:ascii="宋体" w:hAnsi="宋体" w:eastAsia="宋体" w:cs="宋体"/>
                <w:spacing w:val="11"/>
                <w:sz w:val="21"/>
                <w:szCs w:val="21"/>
              </w:rPr>
              <w:t>发现并消除事故隐患。事故隐患</w:t>
            </w:r>
            <w:r>
              <w:rPr>
                <w:rFonts w:ascii="宋体" w:hAnsi="宋体" w:eastAsia="宋体" w:cs="宋体"/>
                <w:spacing w:val="9"/>
                <w:sz w:val="21"/>
                <w:szCs w:val="21"/>
              </w:rPr>
              <w:t>排查治理情况应当如实记录，并</w:t>
            </w:r>
            <w:r>
              <w:rPr>
                <w:rFonts w:ascii="宋体" w:hAnsi="宋体" w:eastAsia="宋体" w:cs="宋体"/>
                <w:spacing w:val="23"/>
                <w:sz w:val="21"/>
                <w:szCs w:val="21"/>
              </w:rPr>
              <w:t>通过职工大会或者职工代表大</w:t>
            </w:r>
          </w:p>
        </w:tc>
        <w:tc>
          <w:tcPr>
            <w:tcW w:w="2858" w:type="dxa"/>
            <w:noWrap w:val="0"/>
            <w:vAlign w:val="top"/>
          </w:tcPr>
          <w:p w14:paraId="37345DEF">
            <w:pPr>
              <w:spacing w:before="94" w:line="250" w:lineRule="auto"/>
              <w:ind w:left="135" w:right="2" w:firstLine="459"/>
              <w:jc w:val="both"/>
              <w:rPr>
                <w:rFonts w:ascii="宋体" w:hAnsi="宋体" w:eastAsia="宋体" w:cs="宋体"/>
                <w:sz w:val="21"/>
                <w:szCs w:val="21"/>
              </w:rPr>
            </w:pPr>
            <w:r>
              <w:rPr>
                <w:rFonts w:ascii="宋体" w:hAnsi="宋体" w:eastAsia="宋体" w:cs="宋体"/>
                <w:spacing w:val="20"/>
                <w:sz w:val="21"/>
                <w:szCs w:val="21"/>
              </w:rPr>
              <w:t>《爆炸危险环境电力</w:t>
            </w:r>
            <w:r>
              <w:rPr>
                <w:rFonts w:ascii="宋体" w:hAnsi="宋体" w:eastAsia="宋体" w:cs="宋体"/>
                <w:spacing w:val="21"/>
                <w:sz w:val="21"/>
                <w:szCs w:val="21"/>
              </w:rPr>
              <w:t>装置设计规范》(</w:t>
            </w:r>
            <w:r>
              <w:rPr>
                <w:rFonts w:ascii="宋体" w:hAnsi="宋体" w:eastAsia="宋体" w:cs="宋体"/>
                <w:sz w:val="21"/>
                <w:szCs w:val="21"/>
              </w:rPr>
              <w:t xml:space="preserve">GB </w:t>
            </w:r>
            <w:r>
              <w:rPr>
                <w:rFonts w:ascii="宋体" w:hAnsi="宋体" w:eastAsia="宋体" w:cs="宋体"/>
                <w:spacing w:val="4"/>
                <w:sz w:val="21"/>
                <w:szCs w:val="21"/>
              </w:rPr>
              <w:t>50058-2014)5.2.3防爆</w:t>
            </w:r>
            <w:r>
              <w:rPr>
                <w:rFonts w:ascii="宋体" w:hAnsi="宋体" w:eastAsia="宋体" w:cs="宋体"/>
                <w:spacing w:val="11"/>
                <w:sz w:val="21"/>
                <w:szCs w:val="21"/>
              </w:rPr>
              <w:t>电气设备的级别和组别不</w:t>
            </w:r>
            <w:r>
              <w:rPr>
                <w:rFonts w:ascii="宋体" w:hAnsi="宋体" w:eastAsia="宋体" w:cs="宋体"/>
                <w:spacing w:val="9"/>
                <w:sz w:val="21"/>
                <w:szCs w:val="21"/>
              </w:rPr>
              <w:t>应低于该爆炸性气体环境</w:t>
            </w:r>
            <w:r>
              <w:rPr>
                <w:rFonts w:ascii="宋体" w:hAnsi="宋体" w:eastAsia="宋体" w:cs="宋体"/>
                <w:spacing w:val="11"/>
                <w:sz w:val="21"/>
                <w:szCs w:val="21"/>
              </w:rPr>
              <w:t>内爆炸性气体混合物的级别和组别，并应符合下列</w:t>
            </w:r>
            <w:r>
              <w:rPr>
                <w:rFonts w:ascii="宋体" w:hAnsi="宋体" w:eastAsia="宋体" w:cs="宋体"/>
                <w:spacing w:val="21"/>
                <w:sz w:val="21"/>
                <w:szCs w:val="21"/>
              </w:rPr>
              <w:t>规定：1气体、蒸气或粉</w:t>
            </w:r>
          </w:p>
        </w:tc>
        <w:tc>
          <w:tcPr>
            <w:tcW w:w="2848" w:type="dxa"/>
            <w:noWrap w:val="0"/>
            <w:vAlign w:val="top"/>
          </w:tcPr>
          <w:p w14:paraId="65AA0699">
            <w:pPr>
              <w:spacing w:before="94" w:line="250" w:lineRule="auto"/>
              <w:ind w:left="147" w:firstLine="428"/>
              <w:jc w:val="both"/>
              <w:rPr>
                <w:rFonts w:ascii="宋体" w:hAnsi="宋体" w:eastAsia="宋体" w:cs="宋体"/>
                <w:sz w:val="21"/>
                <w:szCs w:val="21"/>
              </w:rPr>
            </w:pPr>
            <w:r>
              <w:rPr>
                <w:rFonts w:ascii="宋体" w:hAnsi="宋体" w:eastAsia="宋体" w:cs="宋体"/>
                <w:spacing w:val="30"/>
                <w:sz w:val="21"/>
                <w:szCs w:val="21"/>
              </w:rPr>
              <w:t>《中华人民共和国</w:t>
            </w:r>
            <w:r>
              <w:rPr>
                <w:rFonts w:ascii="宋体" w:hAnsi="宋体" w:eastAsia="宋体" w:cs="宋体"/>
                <w:spacing w:val="5"/>
                <w:sz w:val="21"/>
                <w:szCs w:val="21"/>
              </w:rPr>
              <w:t>安全生产法》第一百零二</w:t>
            </w:r>
            <w:r>
              <w:rPr>
                <w:rFonts w:ascii="宋体" w:hAnsi="宋体" w:eastAsia="宋体" w:cs="宋体"/>
                <w:spacing w:val="18"/>
                <w:sz w:val="21"/>
                <w:szCs w:val="21"/>
              </w:rPr>
              <w:t>条生产经营单位未采</w:t>
            </w:r>
            <w:r>
              <w:rPr>
                <w:rFonts w:ascii="宋体" w:hAnsi="宋体" w:eastAsia="宋体" w:cs="宋体"/>
                <w:spacing w:val="14"/>
                <w:sz w:val="21"/>
                <w:szCs w:val="21"/>
              </w:rPr>
              <w:t>取措施消除事故隐患的，</w:t>
            </w:r>
            <w:r>
              <w:rPr>
                <w:rFonts w:ascii="宋体" w:hAnsi="宋体" w:eastAsia="宋体" w:cs="宋体"/>
                <w:spacing w:val="25"/>
                <w:sz w:val="21"/>
                <w:szCs w:val="21"/>
              </w:rPr>
              <w:t>责令立即消除或者限期</w:t>
            </w:r>
            <w:r>
              <w:rPr>
                <w:rFonts w:ascii="宋体" w:hAnsi="宋体" w:eastAsia="宋体" w:cs="宋体"/>
                <w:spacing w:val="6"/>
                <w:sz w:val="21"/>
                <w:szCs w:val="21"/>
              </w:rPr>
              <w:t>消除，处五万元以下的罚</w:t>
            </w:r>
            <w:r>
              <w:rPr>
                <w:rFonts w:ascii="宋体" w:hAnsi="宋体" w:eastAsia="宋体" w:cs="宋体"/>
                <w:spacing w:val="4"/>
                <w:sz w:val="21"/>
                <w:szCs w:val="21"/>
              </w:rPr>
              <w:t>款；生产经营单位拒不执</w:t>
            </w:r>
            <w:r>
              <w:rPr>
                <w:rFonts w:ascii="宋体" w:hAnsi="宋体" w:eastAsia="宋体" w:cs="宋体"/>
                <w:spacing w:val="24"/>
                <w:sz w:val="21"/>
                <w:szCs w:val="21"/>
              </w:rPr>
              <w:t>行的，责令停产停业整</w:t>
            </w:r>
          </w:p>
        </w:tc>
        <w:tc>
          <w:tcPr>
            <w:tcW w:w="1244" w:type="dxa"/>
            <w:noWrap w:val="0"/>
            <w:vAlign w:val="top"/>
          </w:tcPr>
          <w:p w14:paraId="6EF3B87A">
            <w:pPr>
              <w:spacing w:line="243" w:lineRule="auto"/>
              <w:rPr>
                <w:rFonts w:ascii="Arial"/>
                <w:sz w:val="21"/>
                <w:szCs w:val="21"/>
              </w:rPr>
            </w:pPr>
          </w:p>
          <w:p w14:paraId="73DC762A">
            <w:pPr>
              <w:spacing w:line="243" w:lineRule="auto"/>
              <w:rPr>
                <w:rFonts w:ascii="Arial"/>
                <w:sz w:val="21"/>
                <w:szCs w:val="21"/>
              </w:rPr>
            </w:pPr>
          </w:p>
          <w:p w14:paraId="7C9A993B">
            <w:pPr>
              <w:spacing w:line="243" w:lineRule="auto"/>
              <w:rPr>
                <w:rFonts w:ascii="Arial"/>
                <w:sz w:val="21"/>
                <w:szCs w:val="21"/>
              </w:rPr>
            </w:pPr>
          </w:p>
          <w:p w14:paraId="2D1E95E5">
            <w:pPr>
              <w:spacing w:line="243" w:lineRule="auto"/>
              <w:rPr>
                <w:rFonts w:ascii="Arial"/>
                <w:sz w:val="21"/>
                <w:szCs w:val="21"/>
              </w:rPr>
            </w:pPr>
          </w:p>
          <w:p w14:paraId="7F24152B">
            <w:pPr>
              <w:spacing w:before="78" w:line="229" w:lineRule="auto"/>
              <w:ind w:left="109" w:right="140"/>
              <w:rPr>
                <w:rFonts w:ascii="宋体" w:hAnsi="宋体" w:eastAsia="宋体" w:cs="宋体"/>
                <w:sz w:val="21"/>
                <w:szCs w:val="21"/>
              </w:rPr>
            </w:pPr>
            <w:r>
              <w:rPr>
                <w:rFonts w:ascii="宋体" w:hAnsi="宋体" w:eastAsia="宋体" w:cs="宋体"/>
                <w:spacing w:val="6"/>
                <w:sz w:val="21"/>
                <w:szCs w:val="21"/>
              </w:rPr>
              <w:t>重大隐患</w:t>
            </w:r>
            <w:r>
              <w:rPr>
                <w:rFonts w:ascii="宋体" w:hAnsi="宋体" w:eastAsia="宋体" w:cs="宋体"/>
                <w:spacing w:val="4"/>
                <w:sz w:val="21"/>
                <w:szCs w:val="21"/>
              </w:rPr>
              <w:t>管理</w:t>
            </w:r>
          </w:p>
        </w:tc>
      </w:tr>
    </w:tbl>
    <w:p w14:paraId="493C0358">
      <w:pPr>
        <w:rPr>
          <w:rFonts w:ascii="Arial"/>
          <w:sz w:val="21"/>
        </w:rPr>
      </w:pPr>
    </w:p>
    <w:p w14:paraId="589A79BF">
      <w:pPr>
        <w:sectPr>
          <w:pgSz w:w="16840" w:h="11900"/>
          <w:pgMar w:top="1440" w:right="1080" w:bottom="1440" w:left="1080" w:header="0" w:footer="0" w:gutter="0"/>
          <w:pgNumType w:fmt="decimal"/>
          <w:cols w:space="720" w:num="1"/>
        </w:sectPr>
      </w:pPr>
    </w:p>
    <w:p w14:paraId="57AC2127"/>
    <w:p w14:paraId="5D84CEAC"/>
    <w:p w14:paraId="0EC00836">
      <w:pPr>
        <w:spacing w:line="23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507"/>
        <w:gridCol w:w="2868"/>
        <w:gridCol w:w="2838"/>
        <w:gridCol w:w="1254"/>
      </w:tblGrid>
      <w:tr w14:paraId="3C2D6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509BEF1D">
            <w:pPr>
              <w:spacing w:before="226" w:line="221" w:lineRule="auto"/>
              <w:ind w:left="184"/>
              <w:rPr>
                <w:rFonts w:ascii="宋体" w:hAnsi="宋体" w:eastAsia="宋体" w:cs="宋体"/>
                <w:b/>
                <w:bCs/>
                <w:sz w:val="24"/>
                <w:szCs w:val="24"/>
              </w:rPr>
            </w:pPr>
            <w:r>
              <w:rPr>
                <w:rFonts w:ascii="宋体" w:hAnsi="宋体" w:eastAsia="宋体" w:cs="宋体"/>
                <w:b/>
                <w:bCs/>
                <w:spacing w:val="7"/>
                <w:sz w:val="24"/>
                <w:szCs w:val="24"/>
              </w:rPr>
              <w:t>序号</w:t>
            </w:r>
          </w:p>
        </w:tc>
        <w:tc>
          <w:tcPr>
            <w:tcW w:w="2228" w:type="dxa"/>
            <w:noWrap w:val="0"/>
            <w:vAlign w:val="top"/>
          </w:tcPr>
          <w:p w14:paraId="64182A47">
            <w:pPr>
              <w:spacing w:before="85" w:line="219" w:lineRule="auto"/>
              <w:ind w:left="620"/>
              <w:rPr>
                <w:rFonts w:ascii="宋体" w:hAnsi="宋体" w:eastAsia="宋体" w:cs="宋体"/>
                <w:b/>
                <w:bCs/>
                <w:sz w:val="24"/>
                <w:szCs w:val="24"/>
              </w:rPr>
            </w:pPr>
            <w:r>
              <w:rPr>
                <w:rFonts w:ascii="宋体" w:hAnsi="宋体" w:eastAsia="宋体" w:cs="宋体"/>
                <w:b/>
                <w:bCs/>
                <w:spacing w:val="3"/>
                <w:sz w:val="24"/>
                <w:szCs w:val="24"/>
              </w:rPr>
              <w:t>执法检查</w:t>
            </w:r>
          </w:p>
          <w:p w14:paraId="7584453C">
            <w:pPr>
              <w:spacing w:before="54" w:line="192" w:lineRule="auto"/>
              <w:ind w:left="380"/>
              <w:rPr>
                <w:rFonts w:ascii="宋体" w:hAnsi="宋体" w:eastAsia="宋体" w:cs="宋体"/>
                <w:b/>
                <w:bCs/>
                <w:sz w:val="24"/>
                <w:szCs w:val="24"/>
              </w:rPr>
            </w:pPr>
            <w:r>
              <w:rPr>
                <w:rFonts w:ascii="宋体" w:hAnsi="宋体" w:eastAsia="宋体" w:cs="宋体"/>
                <w:b/>
                <w:bCs/>
                <w:spacing w:val="2"/>
                <w:sz w:val="24"/>
                <w:szCs w:val="24"/>
              </w:rPr>
              <w:t>重点事项内容</w:t>
            </w:r>
          </w:p>
        </w:tc>
        <w:tc>
          <w:tcPr>
            <w:tcW w:w="3507" w:type="dxa"/>
            <w:noWrap w:val="0"/>
            <w:vAlign w:val="top"/>
          </w:tcPr>
          <w:p w14:paraId="1894C99C">
            <w:pPr>
              <w:spacing w:before="219" w:line="219" w:lineRule="auto"/>
              <w:ind w:left="1056"/>
              <w:rPr>
                <w:rFonts w:ascii="宋体" w:hAnsi="宋体" w:eastAsia="宋体" w:cs="宋体"/>
                <w:b/>
                <w:bCs/>
                <w:sz w:val="24"/>
                <w:szCs w:val="24"/>
              </w:rPr>
            </w:pPr>
            <w:r>
              <w:rPr>
                <w:rFonts w:ascii="宋体" w:hAnsi="宋体" w:eastAsia="宋体" w:cs="宋体"/>
                <w:b/>
                <w:bCs/>
                <w:spacing w:val="-4"/>
                <w:sz w:val="24"/>
                <w:szCs w:val="24"/>
              </w:rPr>
              <w:t>执法检查依据</w:t>
            </w:r>
          </w:p>
        </w:tc>
        <w:tc>
          <w:tcPr>
            <w:tcW w:w="2868" w:type="dxa"/>
            <w:noWrap w:val="0"/>
            <w:vAlign w:val="top"/>
          </w:tcPr>
          <w:p w14:paraId="35A0B07F">
            <w:pPr>
              <w:spacing w:before="75" w:line="220" w:lineRule="auto"/>
              <w:ind w:left="855"/>
              <w:rPr>
                <w:rFonts w:ascii="宋体" w:hAnsi="宋体" w:eastAsia="宋体" w:cs="宋体"/>
                <w:b/>
                <w:bCs/>
                <w:sz w:val="24"/>
                <w:szCs w:val="24"/>
              </w:rPr>
            </w:pPr>
            <w:r>
              <w:rPr>
                <w:rFonts w:ascii="宋体" w:hAnsi="宋体" w:eastAsia="宋体" w:cs="宋体"/>
                <w:b/>
                <w:bCs/>
                <w:spacing w:val="-2"/>
                <w:sz w:val="24"/>
                <w:szCs w:val="24"/>
              </w:rPr>
              <w:t>有关规范性</w:t>
            </w:r>
          </w:p>
          <w:p w14:paraId="7725FB64">
            <w:pPr>
              <w:spacing w:before="58" w:line="195" w:lineRule="auto"/>
              <w:ind w:left="609"/>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2838" w:type="dxa"/>
            <w:noWrap w:val="0"/>
            <w:vAlign w:val="top"/>
          </w:tcPr>
          <w:p w14:paraId="4EF93909">
            <w:pPr>
              <w:spacing w:before="219" w:line="219" w:lineRule="auto"/>
              <w:ind w:left="961"/>
              <w:rPr>
                <w:rFonts w:ascii="宋体" w:hAnsi="宋体" w:eastAsia="宋体" w:cs="宋体"/>
                <w:b/>
                <w:bCs/>
                <w:sz w:val="24"/>
                <w:szCs w:val="24"/>
              </w:rPr>
            </w:pPr>
            <w:r>
              <w:rPr>
                <w:rFonts w:ascii="宋体" w:hAnsi="宋体" w:eastAsia="宋体" w:cs="宋体"/>
                <w:b/>
                <w:bCs/>
                <w:spacing w:val="-1"/>
                <w:sz w:val="24"/>
                <w:szCs w:val="24"/>
              </w:rPr>
              <w:t>处罚依据</w:t>
            </w:r>
          </w:p>
        </w:tc>
        <w:tc>
          <w:tcPr>
            <w:tcW w:w="1254" w:type="dxa"/>
            <w:noWrap w:val="0"/>
            <w:vAlign w:val="top"/>
          </w:tcPr>
          <w:p w14:paraId="0150DFE7">
            <w:pPr>
              <w:spacing w:before="222" w:line="221" w:lineRule="auto"/>
              <w:ind w:left="383"/>
              <w:rPr>
                <w:rFonts w:ascii="宋体" w:hAnsi="宋体" w:eastAsia="宋体" w:cs="宋体"/>
                <w:b/>
                <w:bCs/>
                <w:sz w:val="24"/>
                <w:szCs w:val="24"/>
              </w:rPr>
            </w:pPr>
            <w:r>
              <w:rPr>
                <w:rFonts w:ascii="宋体" w:hAnsi="宋体" w:eastAsia="宋体" w:cs="宋体"/>
                <w:b/>
                <w:bCs/>
                <w:spacing w:val="-6"/>
                <w:sz w:val="24"/>
                <w:szCs w:val="24"/>
              </w:rPr>
              <w:t>备注</w:t>
            </w:r>
          </w:p>
        </w:tc>
      </w:tr>
      <w:tr w14:paraId="53DB8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9" w:hRule="atLeast"/>
          <w:jc w:val="center"/>
        </w:trPr>
        <w:tc>
          <w:tcPr>
            <w:tcW w:w="864" w:type="dxa"/>
            <w:noWrap w:val="0"/>
            <w:vAlign w:val="top"/>
          </w:tcPr>
          <w:p w14:paraId="39739EB2">
            <w:pPr>
              <w:rPr>
                <w:rFonts w:ascii="Arial"/>
                <w:sz w:val="21"/>
                <w:szCs w:val="21"/>
              </w:rPr>
            </w:pPr>
          </w:p>
        </w:tc>
        <w:tc>
          <w:tcPr>
            <w:tcW w:w="2228" w:type="dxa"/>
            <w:noWrap w:val="0"/>
            <w:vAlign w:val="top"/>
          </w:tcPr>
          <w:p w14:paraId="4D2C9BE7">
            <w:pPr>
              <w:rPr>
                <w:rFonts w:ascii="Arial"/>
                <w:sz w:val="21"/>
                <w:szCs w:val="21"/>
              </w:rPr>
            </w:pPr>
          </w:p>
        </w:tc>
        <w:tc>
          <w:tcPr>
            <w:tcW w:w="3507" w:type="dxa"/>
            <w:noWrap w:val="0"/>
            <w:vAlign w:val="top"/>
          </w:tcPr>
          <w:p w14:paraId="3DEE300C">
            <w:pPr>
              <w:spacing w:before="121" w:line="246" w:lineRule="auto"/>
              <w:ind w:left="152"/>
              <w:jc w:val="both"/>
              <w:rPr>
                <w:rFonts w:ascii="宋体" w:hAnsi="宋体" w:eastAsia="宋体" w:cs="宋体"/>
                <w:sz w:val="21"/>
                <w:szCs w:val="21"/>
              </w:rPr>
            </w:pPr>
            <w:r>
              <w:rPr>
                <w:rFonts w:ascii="宋体" w:hAnsi="宋体" w:eastAsia="宋体" w:cs="宋体"/>
                <w:spacing w:val="8"/>
                <w:sz w:val="21"/>
                <w:szCs w:val="21"/>
              </w:rPr>
              <w:t>会、信息公示栏等方式向从业人员通报。其中，重大事故隐患排</w:t>
            </w:r>
            <w:r>
              <w:rPr>
                <w:rFonts w:ascii="宋体" w:hAnsi="宋体" w:eastAsia="宋体" w:cs="宋体"/>
                <w:spacing w:val="21"/>
                <w:sz w:val="21"/>
                <w:szCs w:val="21"/>
              </w:rPr>
              <w:t>查治理情况应当及时向负有安</w:t>
            </w:r>
            <w:r>
              <w:rPr>
                <w:rFonts w:ascii="宋体" w:hAnsi="宋体" w:eastAsia="宋体" w:cs="宋体"/>
                <w:spacing w:val="23"/>
                <w:sz w:val="21"/>
                <w:szCs w:val="21"/>
              </w:rPr>
              <w:t>全生产监督管理职责的部门和</w:t>
            </w:r>
            <w:r>
              <w:rPr>
                <w:rFonts w:ascii="宋体" w:hAnsi="宋体" w:eastAsia="宋体" w:cs="宋体"/>
                <w:spacing w:val="21"/>
                <w:sz w:val="21"/>
                <w:szCs w:val="21"/>
              </w:rPr>
              <w:t>职工大会或者职工代表大会报</w:t>
            </w:r>
            <w:r>
              <w:rPr>
                <w:rFonts w:ascii="宋体" w:hAnsi="宋体" w:eastAsia="宋体" w:cs="宋体"/>
                <w:spacing w:val="-3"/>
                <w:sz w:val="21"/>
                <w:szCs w:val="21"/>
              </w:rPr>
              <w:t>告。</w:t>
            </w:r>
          </w:p>
          <w:p w14:paraId="6A62BA48">
            <w:pPr>
              <w:spacing w:before="68" w:line="256" w:lineRule="auto"/>
              <w:ind w:left="152" w:firstLine="415"/>
              <w:jc w:val="both"/>
              <w:rPr>
                <w:rFonts w:ascii="宋体" w:hAnsi="宋体" w:eastAsia="宋体" w:cs="宋体"/>
                <w:sz w:val="21"/>
                <w:szCs w:val="21"/>
              </w:rPr>
            </w:pPr>
            <w:r>
              <w:rPr>
                <w:rFonts w:ascii="宋体" w:hAnsi="宋体" w:eastAsia="宋体" w:cs="宋体"/>
                <w:spacing w:val="-9"/>
                <w:sz w:val="21"/>
                <w:szCs w:val="21"/>
              </w:rPr>
              <w:t>2.《化工和危险化学品生产</w:t>
            </w:r>
            <w:r>
              <w:rPr>
                <w:rFonts w:ascii="宋体" w:hAnsi="宋体" w:eastAsia="宋体" w:cs="宋体"/>
                <w:spacing w:val="13"/>
                <w:sz w:val="21"/>
                <w:szCs w:val="21"/>
              </w:rPr>
              <w:t>经营单位重大生产安全事故隐</w:t>
            </w:r>
            <w:r>
              <w:rPr>
                <w:rFonts w:ascii="宋体" w:hAnsi="宋体" w:eastAsia="宋体" w:cs="宋体"/>
                <w:spacing w:val="21"/>
                <w:sz w:val="21"/>
                <w:szCs w:val="21"/>
              </w:rPr>
              <w:t>患判定标准(试行)》(安监总</w:t>
            </w:r>
            <w:r>
              <w:rPr>
                <w:rFonts w:ascii="宋体" w:hAnsi="宋体" w:eastAsia="宋体" w:cs="宋体"/>
                <w:spacing w:val="10"/>
                <w:sz w:val="21"/>
                <w:szCs w:val="21"/>
              </w:rPr>
              <w:t>管三〔2017〕121号)第十二条</w:t>
            </w:r>
            <w:r>
              <w:rPr>
                <w:rFonts w:ascii="宋体" w:hAnsi="宋体" w:eastAsia="宋体" w:cs="宋体"/>
                <w:spacing w:val="13"/>
                <w:sz w:val="21"/>
                <w:szCs w:val="21"/>
              </w:rPr>
              <w:t>涉及可燃和有毒有害气体泄漏</w:t>
            </w:r>
            <w:r>
              <w:rPr>
                <w:rFonts w:ascii="宋体" w:hAnsi="宋体" w:eastAsia="宋体" w:cs="宋体"/>
                <w:spacing w:val="15"/>
                <w:sz w:val="21"/>
                <w:szCs w:val="21"/>
              </w:rPr>
              <w:t>的场所未按国家标准设置检测</w:t>
            </w:r>
            <w:r>
              <w:rPr>
                <w:rFonts w:ascii="宋体" w:hAnsi="宋体" w:eastAsia="宋体" w:cs="宋体"/>
                <w:spacing w:val="1"/>
                <w:sz w:val="21"/>
                <w:szCs w:val="21"/>
              </w:rPr>
              <w:t>报警装置，爆炸危险场所未按国</w:t>
            </w:r>
            <w:r>
              <w:rPr>
                <w:rFonts w:ascii="宋体" w:hAnsi="宋体" w:eastAsia="宋体" w:cs="宋体"/>
                <w:spacing w:val="8"/>
                <w:sz w:val="21"/>
                <w:szCs w:val="21"/>
              </w:rPr>
              <w:t>家标准安装使用防爆电气设备。</w:t>
            </w:r>
          </w:p>
        </w:tc>
        <w:tc>
          <w:tcPr>
            <w:tcW w:w="2868" w:type="dxa"/>
            <w:noWrap w:val="0"/>
            <w:vAlign w:val="top"/>
          </w:tcPr>
          <w:p w14:paraId="6BF2057E">
            <w:pPr>
              <w:spacing w:before="124" w:line="243" w:lineRule="auto"/>
              <w:ind w:left="145" w:right="52"/>
              <w:jc w:val="both"/>
              <w:rPr>
                <w:rFonts w:ascii="宋体" w:hAnsi="宋体" w:eastAsia="宋体" w:cs="宋体"/>
                <w:sz w:val="21"/>
                <w:szCs w:val="21"/>
              </w:rPr>
            </w:pPr>
            <w:r>
              <w:rPr>
                <w:rFonts w:ascii="宋体" w:hAnsi="宋体" w:eastAsia="宋体" w:cs="宋体"/>
                <w:spacing w:val="1"/>
                <w:sz w:val="21"/>
                <w:szCs w:val="21"/>
              </w:rPr>
              <w:t>尘分级与电气设备类别的</w:t>
            </w:r>
            <w:r>
              <w:rPr>
                <w:rFonts w:ascii="宋体" w:hAnsi="宋体" w:eastAsia="宋体" w:cs="宋体"/>
                <w:spacing w:val="8"/>
                <w:sz w:val="21"/>
                <w:szCs w:val="21"/>
              </w:rPr>
              <w:t>关系应符合表5.2.3-1的</w:t>
            </w:r>
            <w:r>
              <w:rPr>
                <w:rFonts w:ascii="宋体" w:hAnsi="宋体" w:eastAsia="宋体" w:cs="宋体"/>
                <w:sz w:val="21"/>
                <w:szCs w:val="21"/>
              </w:rPr>
              <w:t>规定。当存在有两种以上可燃性物质形成的爆炸性</w:t>
            </w:r>
            <w:r>
              <w:rPr>
                <w:rFonts w:ascii="宋体" w:hAnsi="宋体" w:eastAsia="宋体" w:cs="宋体"/>
                <w:spacing w:val="1"/>
                <w:sz w:val="21"/>
                <w:szCs w:val="21"/>
              </w:rPr>
              <w:t>混合物时，应按照混合后的爆炸性混合物的级别和组别选用防爆设备，无据</w:t>
            </w:r>
            <w:r>
              <w:rPr>
                <w:rFonts w:ascii="宋体" w:hAnsi="宋体" w:eastAsia="宋体" w:cs="宋体"/>
                <w:spacing w:val="23"/>
                <w:sz w:val="21"/>
                <w:szCs w:val="21"/>
              </w:rPr>
              <w:t>可查又不可能进行试验</w:t>
            </w:r>
            <w:r>
              <w:rPr>
                <w:rFonts w:ascii="宋体" w:hAnsi="宋体" w:eastAsia="宋体" w:cs="宋体"/>
                <w:spacing w:val="1"/>
                <w:sz w:val="21"/>
                <w:szCs w:val="21"/>
              </w:rPr>
              <w:t>时，可按危险程度较高的级别和组别选用防爆电气</w:t>
            </w:r>
            <w:r>
              <w:rPr>
                <w:rFonts w:ascii="宋体" w:hAnsi="宋体" w:eastAsia="宋体" w:cs="宋体"/>
                <w:spacing w:val="-9"/>
                <w:sz w:val="21"/>
                <w:szCs w:val="21"/>
              </w:rPr>
              <w:t>设备。</w:t>
            </w:r>
          </w:p>
          <w:p w14:paraId="45EF296B">
            <w:pPr>
              <w:spacing w:before="31" w:line="246" w:lineRule="auto"/>
              <w:ind w:left="145" w:firstLine="451"/>
              <w:jc w:val="both"/>
              <w:rPr>
                <w:rFonts w:ascii="宋体" w:hAnsi="宋体" w:eastAsia="宋体" w:cs="宋体"/>
                <w:sz w:val="21"/>
                <w:szCs w:val="21"/>
              </w:rPr>
            </w:pPr>
            <w:r>
              <w:rPr>
                <w:rFonts w:ascii="宋体" w:hAnsi="宋体" w:eastAsia="宋体" w:cs="宋体"/>
                <w:spacing w:val="7"/>
                <w:sz w:val="21"/>
                <w:szCs w:val="21"/>
              </w:rPr>
              <w:t>对于标有适用于特定的气体、蒸气的环境的防</w:t>
            </w:r>
            <w:r>
              <w:rPr>
                <w:rFonts w:ascii="宋体" w:hAnsi="宋体" w:eastAsia="宋体" w:cs="宋体"/>
                <w:spacing w:val="16"/>
                <w:sz w:val="21"/>
                <w:szCs w:val="21"/>
              </w:rPr>
              <w:t>爆设备，没有经过鉴定，</w:t>
            </w:r>
            <w:r>
              <w:rPr>
                <w:rFonts w:ascii="宋体" w:hAnsi="宋体" w:eastAsia="宋体" w:cs="宋体"/>
                <w:spacing w:val="6"/>
                <w:sz w:val="21"/>
                <w:szCs w:val="21"/>
              </w:rPr>
              <w:t>不得使用于其他的气体环</w:t>
            </w:r>
            <w:r>
              <w:rPr>
                <w:rFonts w:ascii="宋体" w:hAnsi="宋体" w:eastAsia="宋体" w:cs="宋体"/>
                <w:spacing w:val="-13"/>
                <w:sz w:val="21"/>
                <w:szCs w:val="21"/>
              </w:rPr>
              <w:t>境内。</w:t>
            </w:r>
          </w:p>
          <w:p w14:paraId="1F6D5407">
            <w:pPr>
              <w:spacing w:before="59" w:line="236" w:lineRule="auto"/>
              <w:ind w:left="145" w:right="48" w:firstLine="429"/>
              <w:jc w:val="both"/>
              <w:rPr>
                <w:rFonts w:ascii="宋体" w:hAnsi="宋体" w:eastAsia="宋体" w:cs="宋体"/>
                <w:sz w:val="21"/>
                <w:szCs w:val="21"/>
              </w:rPr>
            </w:pPr>
            <w:r>
              <w:rPr>
                <w:rFonts w:ascii="宋体" w:hAnsi="宋体" w:eastAsia="宋体" w:cs="宋体"/>
                <w:spacing w:val="-2"/>
                <w:sz w:val="21"/>
                <w:szCs w:val="21"/>
              </w:rPr>
              <w:t>2Ⅱ类电气设备的温</w:t>
            </w:r>
            <w:r>
              <w:rPr>
                <w:rFonts w:ascii="宋体" w:hAnsi="宋体" w:eastAsia="宋体" w:cs="宋体"/>
                <w:spacing w:val="1"/>
                <w:sz w:val="21"/>
                <w:szCs w:val="21"/>
              </w:rPr>
              <w:t>度组别、最高表面温度和</w:t>
            </w:r>
            <w:r>
              <w:rPr>
                <w:rFonts w:ascii="宋体" w:hAnsi="宋体" w:eastAsia="宋体" w:cs="宋体"/>
                <w:spacing w:val="2"/>
                <w:sz w:val="21"/>
                <w:szCs w:val="21"/>
              </w:rPr>
              <w:t>气体、蒸气引燃温度之间</w:t>
            </w:r>
            <w:r>
              <w:rPr>
                <w:rFonts w:ascii="宋体" w:hAnsi="宋体" w:eastAsia="宋体" w:cs="宋体"/>
                <w:spacing w:val="9"/>
                <w:sz w:val="21"/>
                <w:szCs w:val="21"/>
              </w:rPr>
              <w:t>的关系符合表5.2.3-2的</w:t>
            </w:r>
            <w:r>
              <w:rPr>
                <w:rFonts w:ascii="宋体" w:hAnsi="宋体" w:eastAsia="宋体" w:cs="宋体"/>
                <w:spacing w:val="-9"/>
                <w:sz w:val="21"/>
                <w:szCs w:val="21"/>
              </w:rPr>
              <w:t>规定。</w:t>
            </w:r>
          </w:p>
          <w:p w14:paraId="3DEFF1C4">
            <w:pPr>
              <w:spacing w:before="71" w:line="229" w:lineRule="auto"/>
              <w:ind w:left="145" w:right="60" w:firstLine="449"/>
              <w:jc w:val="both"/>
              <w:rPr>
                <w:rFonts w:ascii="宋体" w:hAnsi="宋体" w:eastAsia="宋体" w:cs="宋体"/>
                <w:sz w:val="21"/>
                <w:szCs w:val="21"/>
              </w:rPr>
            </w:pPr>
            <w:r>
              <w:rPr>
                <w:rFonts w:ascii="宋体" w:hAnsi="宋体" w:eastAsia="宋体" w:cs="宋体"/>
                <w:spacing w:val="23"/>
                <w:sz w:val="21"/>
                <w:szCs w:val="21"/>
              </w:rPr>
              <w:t>3安装在爆炸性粉尘</w:t>
            </w:r>
            <w:r>
              <w:rPr>
                <w:rFonts w:ascii="宋体" w:hAnsi="宋体" w:eastAsia="宋体" w:cs="宋体"/>
                <w:spacing w:val="11"/>
                <w:sz w:val="21"/>
                <w:szCs w:val="21"/>
              </w:rPr>
              <w:t>环境中的电气设备应采取</w:t>
            </w:r>
          </w:p>
        </w:tc>
        <w:tc>
          <w:tcPr>
            <w:tcW w:w="2838" w:type="dxa"/>
            <w:noWrap w:val="0"/>
            <w:vAlign w:val="top"/>
          </w:tcPr>
          <w:p w14:paraId="58987FAC">
            <w:pPr>
              <w:spacing w:before="119" w:line="239" w:lineRule="auto"/>
              <w:ind w:left="147" w:right="27"/>
              <w:jc w:val="both"/>
              <w:rPr>
                <w:rFonts w:ascii="宋体" w:hAnsi="宋体" w:eastAsia="宋体" w:cs="宋体"/>
                <w:sz w:val="21"/>
                <w:szCs w:val="21"/>
              </w:rPr>
            </w:pPr>
            <w:r>
              <w:rPr>
                <w:rFonts w:ascii="宋体" w:hAnsi="宋体" w:eastAsia="宋体" w:cs="宋体"/>
                <w:spacing w:val="1"/>
                <w:sz w:val="21"/>
                <w:szCs w:val="21"/>
              </w:rPr>
              <w:t>顿，对其直接负责的主管</w:t>
            </w:r>
            <w:r>
              <w:rPr>
                <w:rFonts w:ascii="宋体" w:hAnsi="宋体" w:eastAsia="宋体" w:cs="宋体"/>
                <w:spacing w:val="21"/>
                <w:sz w:val="21"/>
                <w:szCs w:val="21"/>
              </w:rPr>
              <w:t>人员和其他直接责任人员处五万元以上十万元以下的罚款；构成犯罪</w:t>
            </w:r>
            <w:r>
              <w:rPr>
                <w:rFonts w:ascii="宋体" w:hAnsi="宋体" w:eastAsia="宋体" w:cs="宋体"/>
                <w:spacing w:val="1"/>
                <w:sz w:val="21"/>
                <w:szCs w:val="21"/>
              </w:rPr>
              <w:t>的，依照刑法有关规定追</w:t>
            </w:r>
            <w:r>
              <w:rPr>
                <w:rFonts w:ascii="宋体" w:hAnsi="宋体" w:eastAsia="宋体" w:cs="宋体"/>
                <w:spacing w:val="19"/>
                <w:sz w:val="21"/>
                <w:szCs w:val="21"/>
              </w:rPr>
              <w:t>究刑事责任。</w:t>
            </w:r>
          </w:p>
        </w:tc>
        <w:tc>
          <w:tcPr>
            <w:tcW w:w="1254" w:type="dxa"/>
            <w:noWrap w:val="0"/>
            <w:vAlign w:val="top"/>
          </w:tcPr>
          <w:p w14:paraId="2417FE2A">
            <w:pPr>
              <w:rPr>
                <w:rFonts w:ascii="Arial"/>
                <w:sz w:val="21"/>
                <w:szCs w:val="21"/>
              </w:rPr>
            </w:pPr>
          </w:p>
        </w:tc>
      </w:tr>
    </w:tbl>
    <w:p w14:paraId="773AA18F"/>
    <w:p w14:paraId="13809593"/>
    <w:p w14:paraId="509C701B">
      <w:pPr>
        <w:spacing w:line="10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29"/>
        <w:gridCol w:w="3507"/>
        <w:gridCol w:w="2858"/>
        <w:gridCol w:w="2848"/>
        <w:gridCol w:w="1244"/>
      </w:tblGrid>
      <w:tr w14:paraId="5E155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874" w:type="dxa"/>
            <w:noWrap w:val="0"/>
            <w:vAlign w:val="top"/>
          </w:tcPr>
          <w:p w14:paraId="411ADD54">
            <w:pPr>
              <w:spacing w:before="212" w:line="221" w:lineRule="auto"/>
              <w:ind w:left="198"/>
              <w:rPr>
                <w:rFonts w:ascii="宋体" w:hAnsi="宋体" w:eastAsia="宋体" w:cs="宋体"/>
                <w:b/>
                <w:bCs/>
                <w:sz w:val="23"/>
                <w:szCs w:val="23"/>
              </w:rPr>
            </w:pPr>
            <w:r>
              <w:rPr>
                <w:rFonts w:ascii="宋体" w:hAnsi="宋体" w:eastAsia="宋体" w:cs="宋体"/>
                <w:b/>
                <w:bCs/>
                <w:spacing w:val="-5"/>
                <w:sz w:val="23"/>
                <w:szCs w:val="23"/>
              </w:rPr>
              <w:t>序号</w:t>
            </w:r>
          </w:p>
        </w:tc>
        <w:tc>
          <w:tcPr>
            <w:tcW w:w="2229" w:type="dxa"/>
            <w:noWrap w:val="0"/>
            <w:vAlign w:val="top"/>
          </w:tcPr>
          <w:p w14:paraId="08CD14E5">
            <w:pPr>
              <w:spacing w:before="94" w:line="219" w:lineRule="auto"/>
              <w:ind w:left="640"/>
              <w:rPr>
                <w:rFonts w:ascii="宋体" w:hAnsi="宋体" w:eastAsia="宋体" w:cs="宋体"/>
                <w:b/>
                <w:bCs/>
                <w:sz w:val="23"/>
                <w:szCs w:val="23"/>
              </w:rPr>
            </w:pPr>
            <w:r>
              <w:rPr>
                <w:rFonts w:ascii="宋体" w:hAnsi="宋体" w:eastAsia="宋体" w:cs="宋体"/>
                <w:b/>
                <w:bCs/>
                <w:spacing w:val="2"/>
                <w:sz w:val="23"/>
                <w:szCs w:val="23"/>
              </w:rPr>
              <w:t>执法检查</w:t>
            </w:r>
          </w:p>
          <w:p w14:paraId="55F8E343">
            <w:pPr>
              <w:spacing w:before="43" w:line="195" w:lineRule="auto"/>
              <w:ind w:left="414"/>
              <w:rPr>
                <w:rFonts w:ascii="宋体" w:hAnsi="宋体" w:eastAsia="宋体" w:cs="宋体"/>
                <w:b/>
                <w:bCs/>
                <w:sz w:val="23"/>
                <w:szCs w:val="23"/>
              </w:rPr>
            </w:pPr>
            <w:r>
              <w:rPr>
                <w:rFonts w:ascii="宋体" w:hAnsi="宋体" w:eastAsia="宋体" w:cs="宋体"/>
                <w:b/>
                <w:bCs/>
                <w:spacing w:val="-4"/>
                <w:sz w:val="23"/>
                <w:szCs w:val="23"/>
              </w:rPr>
              <w:t>重点事项内容</w:t>
            </w:r>
          </w:p>
        </w:tc>
        <w:tc>
          <w:tcPr>
            <w:tcW w:w="3507" w:type="dxa"/>
            <w:noWrap w:val="0"/>
            <w:vAlign w:val="top"/>
          </w:tcPr>
          <w:p w14:paraId="526D4496">
            <w:pPr>
              <w:spacing w:before="213" w:line="219" w:lineRule="auto"/>
              <w:ind w:left="1022"/>
              <w:rPr>
                <w:rFonts w:ascii="宋体" w:hAnsi="宋体" w:eastAsia="宋体" w:cs="宋体"/>
                <w:b/>
                <w:bCs/>
                <w:sz w:val="23"/>
                <w:szCs w:val="23"/>
              </w:rPr>
            </w:pPr>
            <w:r>
              <w:rPr>
                <w:rFonts w:ascii="宋体" w:hAnsi="宋体" w:eastAsia="宋体" w:cs="宋体"/>
                <w:b/>
                <w:bCs/>
                <w:spacing w:val="18"/>
                <w:sz w:val="23"/>
                <w:szCs w:val="23"/>
              </w:rPr>
              <w:t>执法检查依据</w:t>
            </w:r>
          </w:p>
        </w:tc>
        <w:tc>
          <w:tcPr>
            <w:tcW w:w="2858" w:type="dxa"/>
            <w:noWrap w:val="0"/>
            <w:vAlign w:val="top"/>
          </w:tcPr>
          <w:p w14:paraId="7152FC72">
            <w:pPr>
              <w:spacing w:before="85" w:line="220" w:lineRule="auto"/>
              <w:ind w:left="855"/>
              <w:rPr>
                <w:rFonts w:ascii="宋体" w:hAnsi="宋体" w:eastAsia="宋体" w:cs="宋体"/>
                <w:b/>
                <w:bCs/>
                <w:sz w:val="23"/>
                <w:szCs w:val="23"/>
              </w:rPr>
            </w:pPr>
            <w:r>
              <w:rPr>
                <w:rFonts w:ascii="宋体" w:hAnsi="宋体" w:eastAsia="宋体" w:cs="宋体"/>
                <w:b/>
                <w:bCs/>
                <w:spacing w:val="7"/>
                <w:sz w:val="23"/>
                <w:szCs w:val="23"/>
              </w:rPr>
              <w:t>有关规范性</w:t>
            </w:r>
          </w:p>
          <w:p w14:paraId="3E8658C3">
            <w:pPr>
              <w:spacing w:before="44" w:line="201" w:lineRule="auto"/>
              <w:ind w:left="615"/>
              <w:rPr>
                <w:rFonts w:ascii="宋体" w:hAnsi="宋体" w:eastAsia="宋体" w:cs="宋体"/>
                <w:b/>
                <w:bCs/>
                <w:sz w:val="23"/>
                <w:szCs w:val="23"/>
              </w:rPr>
            </w:pPr>
            <w:r>
              <w:rPr>
                <w:rFonts w:ascii="宋体" w:hAnsi="宋体" w:eastAsia="宋体" w:cs="宋体"/>
                <w:b/>
                <w:bCs/>
                <w:spacing w:val="8"/>
                <w:sz w:val="23"/>
                <w:szCs w:val="23"/>
              </w:rPr>
              <w:t>文件及标准要求</w:t>
            </w:r>
          </w:p>
        </w:tc>
        <w:tc>
          <w:tcPr>
            <w:tcW w:w="2848" w:type="dxa"/>
            <w:noWrap w:val="0"/>
            <w:vAlign w:val="top"/>
          </w:tcPr>
          <w:p w14:paraId="3B6F6479">
            <w:pPr>
              <w:spacing w:before="213" w:line="219" w:lineRule="auto"/>
              <w:ind w:left="966"/>
              <w:rPr>
                <w:rFonts w:ascii="宋体" w:hAnsi="宋体" w:eastAsia="宋体" w:cs="宋体"/>
                <w:b/>
                <w:bCs/>
                <w:sz w:val="23"/>
                <w:szCs w:val="23"/>
              </w:rPr>
            </w:pPr>
            <w:r>
              <w:rPr>
                <w:rFonts w:ascii="宋体" w:hAnsi="宋体" w:eastAsia="宋体" w:cs="宋体"/>
                <w:b/>
                <w:bCs/>
                <w:spacing w:val="18"/>
                <w:sz w:val="23"/>
                <w:szCs w:val="23"/>
              </w:rPr>
              <w:t>处罚依据</w:t>
            </w:r>
          </w:p>
        </w:tc>
        <w:tc>
          <w:tcPr>
            <w:tcW w:w="1244" w:type="dxa"/>
            <w:noWrap w:val="0"/>
            <w:vAlign w:val="top"/>
          </w:tcPr>
          <w:p w14:paraId="5E11A865">
            <w:pPr>
              <w:spacing w:before="212" w:line="221" w:lineRule="auto"/>
              <w:ind w:left="392"/>
              <w:rPr>
                <w:rFonts w:ascii="宋体" w:hAnsi="宋体" w:eastAsia="宋体" w:cs="宋体"/>
                <w:b/>
                <w:bCs/>
                <w:sz w:val="23"/>
                <w:szCs w:val="23"/>
              </w:rPr>
            </w:pPr>
            <w:r>
              <w:rPr>
                <w:rFonts w:ascii="宋体" w:hAnsi="宋体" w:eastAsia="宋体" w:cs="宋体"/>
                <w:b/>
                <w:bCs/>
                <w:spacing w:val="-6"/>
                <w:sz w:val="23"/>
                <w:szCs w:val="23"/>
              </w:rPr>
              <w:t>备注</w:t>
            </w:r>
          </w:p>
        </w:tc>
      </w:tr>
      <w:tr w14:paraId="494DC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6" w:hRule="atLeast"/>
          <w:jc w:val="center"/>
        </w:trPr>
        <w:tc>
          <w:tcPr>
            <w:tcW w:w="874" w:type="dxa"/>
            <w:noWrap w:val="0"/>
            <w:vAlign w:val="top"/>
          </w:tcPr>
          <w:p w14:paraId="6AE37225">
            <w:pPr>
              <w:rPr>
                <w:rFonts w:ascii="Arial"/>
                <w:sz w:val="21"/>
                <w:szCs w:val="21"/>
              </w:rPr>
            </w:pPr>
          </w:p>
        </w:tc>
        <w:tc>
          <w:tcPr>
            <w:tcW w:w="2229" w:type="dxa"/>
            <w:noWrap w:val="0"/>
            <w:vAlign w:val="top"/>
          </w:tcPr>
          <w:p w14:paraId="6D740EF4">
            <w:pPr>
              <w:rPr>
                <w:rFonts w:ascii="Arial"/>
                <w:sz w:val="21"/>
                <w:szCs w:val="21"/>
              </w:rPr>
            </w:pPr>
          </w:p>
        </w:tc>
        <w:tc>
          <w:tcPr>
            <w:tcW w:w="3507" w:type="dxa"/>
            <w:noWrap w:val="0"/>
            <w:vAlign w:val="top"/>
          </w:tcPr>
          <w:p w14:paraId="0101A41C">
            <w:pPr>
              <w:rPr>
                <w:rFonts w:ascii="Arial"/>
                <w:sz w:val="21"/>
                <w:szCs w:val="21"/>
              </w:rPr>
            </w:pPr>
          </w:p>
        </w:tc>
        <w:tc>
          <w:tcPr>
            <w:tcW w:w="2858" w:type="dxa"/>
            <w:noWrap w:val="0"/>
            <w:vAlign w:val="top"/>
          </w:tcPr>
          <w:p w14:paraId="40D59F26">
            <w:pPr>
              <w:spacing w:before="114" w:line="249" w:lineRule="auto"/>
              <w:ind w:left="134" w:right="68"/>
              <w:jc w:val="both"/>
              <w:rPr>
                <w:rFonts w:ascii="宋体" w:hAnsi="宋体" w:eastAsia="宋体" w:cs="宋体"/>
                <w:sz w:val="21"/>
                <w:szCs w:val="21"/>
              </w:rPr>
            </w:pPr>
            <w:r>
              <w:rPr>
                <w:rFonts w:ascii="宋体" w:hAnsi="宋体" w:eastAsia="宋体" w:cs="宋体"/>
                <w:spacing w:val="5"/>
                <w:sz w:val="21"/>
                <w:szCs w:val="21"/>
              </w:rPr>
              <w:t>措施防止热表面点可燃性</w:t>
            </w:r>
            <w:r>
              <w:rPr>
                <w:rFonts w:ascii="宋体" w:hAnsi="宋体" w:eastAsia="宋体" w:cs="宋体"/>
                <w:spacing w:val="10"/>
                <w:sz w:val="21"/>
                <w:szCs w:val="21"/>
              </w:rPr>
              <w:t>粉尘层引起的火灾危险。</w:t>
            </w:r>
            <w:r>
              <w:rPr>
                <w:rFonts w:ascii="宋体" w:hAnsi="宋体" w:eastAsia="宋体" w:cs="宋体"/>
                <w:spacing w:val="5"/>
                <w:sz w:val="21"/>
                <w:szCs w:val="21"/>
              </w:rPr>
              <w:t>Ⅲ类电气设备的最高表面</w:t>
            </w:r>
            <w:r>
              <w:rPr>
                <w:rFonts w:ascii="宋体" w:hAnsi="宋体" w:eastAsia="宋体" w:cs="宋体"/>
                <w:spacing w:val="7"/>
                <w:sz w:val="21"/>
                <w:szCs w:val="21"/>
              </w:rPr>
              <w:t>温度应按国家现行有关标准的规定进行选择。电气</w:t>
            </w:r>
            <w:r>
              <w:rPr>
                <w:rFonts w:ascii="宋体" w:hAnsi="宋体" w:eastAsia="宋体" w:cs="宋体"/>
                <w:spacing w:val="9"/>
                <w:sz w:val="21"/>
                <w:szCs w:val="21"/>
              </w:rPr>
              <w:t>设备结构应满足电气设备在规定的运行条件下不降</w:t>
            </w:r>
            <w:r>
              <w:rPr>
                <w:rFonts w:ascii="宋体" w:hAnsi="宋体" w:eastAsia="宋体" w:cs="宋体"/>
                <w:spacing w:val="12"/>
                <w:sz w:val="21"/>
                <w:szCs w:val="21"/>
              </w:rPr>
              <w:t>低防爆性能的要求。</w:t>
            </w:r>
          </w:p>
        </w:tc>
        <w:tc>
          <w:tcPr>
            <w:tcW w:w="2848" w:type="dxa"/>
            <w:noWrap w:val="0"/>
            <w:vAlign w:val="top"/>
          </w:tcPr>
          <w:p w14:paraId="3CC85405">
            <w:pPr>
              <w:rPr>
                <w:rFonts w:ascii="Arial"/>
                <w:sz w:val="21"/>
                <w:szCs w:val="21"/>
              </w:rPr>
            </w:pPr>
          </w:p>
        </w:tc>
        <w:tc>
          <w:tcPr>
            <w:tcW w:w="1244" w:type="dxa"/>
            <w:noWrap w:val="0"/>
            <w:vAlign w:val="top"/>
          </w:tcPr>
          <w:p w14:paraId="1864AD1E">
            <w:pPr>
              <w:rPr>
                <w:rFonts w:ascii="Arial"/>
                <w:sz w:val="21"/>
                <w:szCs w:val="21"/>
              </w:rPr>
            </w:pPr>
          </w:p>
        </w:tc>
      </w:tr>
      <w:tr w14:paraId="2584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3" w:hRule="atLeast"/>
          <w:jc w:val="center"/>
        </w:trPr>
        <w:tc>
          <w:tcPr>
            <w:tcW w:w="874" w:type="dxa"/>
            <w:noWrap w:val="0"/>
            <w:vAlign w:val="top"/>
          </w:tcPr>
          <w:p w14:paraId="6F2FF85E">
            <w:pPr>
              <w:spacing w:line="252" w:lineRule="auto"/>
              <w:rPr>
                <w:rFonts w:ascii="Arial"/>
                <w:sz w:val="21"/>
                <w:szCs w:val="21"/>
              </w:rPr>
            </w:pPr>
          </w:p>
          <w:p w14:paraId="0282BE59">
            <w:pPr>
              <w:spacing w:line="252" w:lineRule="auto"/>
              <w:rPr>
                <w:rFonts w:ascii="Arial"/>
                <w:sz w:val="21"/>
                <w:szCs w:val="21"/>
              </w:rPr>
            </w:pPr>
          </w:p>
          <w:p w14:paraId="1F65292D">
            <w:pPr>
              <w:spacing w:line="252" w:lineRule="auto"/>
              <w:rPr>
                <w:rFonts w:ascii="Arial"/>
                <w:sz w:val="21"/>
                <w:szCs w:val="21"/>
              </w:rPr>
            </w:pPr>
          </w:p>
          <w:p w14:paraId="64DE0007">
            <w:pPr>
              <w:spacing w:line="252" w:lineRule="auto"/>
              <w:rPr>
                <w:rFonts w:ascii="Arial"/>
                <w:sz w:val="21"/>
                <w:szCs w:val="21"/>
              </w:rPr>
            </w:pPr>
          </w:p>
          <w:p w14:paraId="3A5BAC4A">
            <w:pPr>
              <w:spacing w:line="253" w:lineRule="auto"/>
              <w:rPr>
                <w:rFonts w:ascii="Arial"/>
                <w:sz w:val="21"/>
                <w:szCs w:val="21"/>
              </w:rPr>
            </w:pPr>
          </w:p>
          <w:p w14:paraId="33F61F1F">
            <w:pPr>
              <w:spacing w:line="253" w:lineRule="auto"/>
              <w:rPr>
                <w:rFonts w:ascii="Arial"/>
                <w:sz w:val="21"/>
                <w:szCs w:val="21"/>
              </w:rPr>
            </w:pPr>
          </w:p>
          <w:p w14:paraId="3B90E700">
            <w:pPr>
              <w:spacing w:line="253" w:lineRule="auto"/>
              <w:rPr>
                <w:rFonts w:ascii="Arial"/>
                <w:sz w:val="21"/>
                <w:szCs w:val="21"/>
              </w:rPr>
            </w:pPr>
          </w:p>
          <w:p w14:paraId="63712D98">
            <w:pPr>
              <w:spacing w:line="253" w:lineRule="auto"/>
              <w:rPr>
                <w:rFonts w:ascii="Arial"/>
                <w:sz w:val="21"/>
                <w:szCs w:val="21"/>
              </w:rPr>
            </w:pPr>
          </w:p>
          <w:p w14:paraId="60C1F701">
            <w:pPr>
              <w:spacing w:line="253" w:lineRule="auto"/>
              <w:rPr>
                <w:rFonts w:ascii="Arial"/>
                <w:sz w:val="21"/>
                <w:szCs w:val="21"/>
              </w:rPr>
            </w:pPr>
          </w:p>
          <w:p w14:paraId="65DA9ABD">
            <w:pPr>
              <w:spacing w:before="75" w:line="184" w:lineRule="auto"/>
              <w:ind w:left="314"/>
              <w:rPr>
                <w:rFonts w:ascii="宋体" w:hAnsi="宋体" w:eastAsia="宋体" w:cs="宋体"/>
                <w:sz w:val="21"/>
                <w:szCs w:val="21"/>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0</w:t>
            </w:r>
          </w:p>
        </w:tc>
        <w:tc>
          <w:tcPr>
            <w:tcW w:w="2229" w:type="dxa"/>
            <w:noWrap w:val="0"/>
            <w:vAlign w:val="top"/>
          </w:tcPr>
          <w:p w14:paraId="4CDD1918">
            <w:pPr>
              <w:spacing w:line="317" w:lineRule="auto"/>
              <w:rPr>
                <w:rFonts w:ascii="Arial"/>
                <w:sz w:val="21"/>
                <w:szCs w:val="21"/>
              </w:rPr>
            </w:pPr>
          </w:p>
          <w:p w14:paraId="293DB10B">
            <w:pPr>
              <w:spacing w:line="317" w:lineRule="auto"/>
              <w:rPr>
                <w:rFonts w:ascii="Arial"/>
                <w:sz w:val="21"/>
                <w:szCs w:val="21"/>
              </w:rPr>
            </w:pPr>
          </w:p>
          <w:p w14:paraId="5240BE65">
            <w:pPr>
              <w:spacing w:line="317" w:lineRule="auto"/>
              <w:rPr>
                <w:rFonts w:ascii="Arial"/>
                <w:sz w:val="21"/>
                <w:szCs w:val="21"/>
              </w:rPr>
            </w:pPr>
          </w:p>
          <w:p w14:paraId="7CC131B1">
            <w:pPr>
              <w:spacing w:before="74" w:line="256" w:lineRule="auto"/>
              <w:ind w:left="131" w:right="186" w:firstLine="50"/>
              <w:rPr>
                <w:rFonts w:ascii="宋体" w:hAnsi="宋体" w:eastAsia="宋体" w:cs="宋体"/>
                <w:sz w:val="21"/>
                <w:szCs w:val="21"/>
              </w:rPr>
            </w:pPr>
            <w:r>
              <w:rPr>
                <w:rFonts w:ascii="宋体" w:hAnsi="宋体" w:eastAsia="宋体" w:cs="宋体"/>
                <w:spacing w:val="1"/>
                <w:sz w:val="21"/>
                <w:szCs w:val="21"/>
              </w:rPr>
              <w:t>涉及可燃和有毒有</w:t>
            </w:r>
            <w:r>
              <w:rPr>
                <w:rFonts w:ascii="宋体" w:hAnsi="宋体" w:eastAsia="宋体" w:cs="宋体"/>
                <w:spacing w:val="7"/>
                <w:sz w:val="21"/>
                <w:szCs w:val="21"/>
              </w:rPr>
              <w:t>害气体泄漏的场所未按国家标准要求</w:t>
            </w:r>
            <w:r>
              <w:rPr>
                <w:rFonts w:ascii="宋体" w:hAnsi="宋体" w:eastAsia="宋体" w:cs="宋体"/>
                <w:spacing w:val="1"/>
                <w:sz w:val="21"/>
                <w:szCs w:val="21"/>
              </w:rPr>
              <w:t>设置检测报警装</w:t>
            </w:r>
          </w:p>
          <w:p w14:paraId="13270D2D">
            <w:pPr>
              <w:spacing w:before="45" w:line="245" w:lineRule="auto"/>
              <w:ind w:left="101" w:right="182" w:firstLine="79"/>
              <w:rPr>
                <w:rFonts w:ascii="宋体" w:hAnsi="宋体" w:eastAsia="宋体" w:cs="宋体"/>
                <w:sz w:val="21"/>
                <w:szCs w:val="21"/>
              </w:rPr>
            </w:pPr>
            <w:r>
              <w:rPr>
                <w:rFonts w:ascii="宋体" w:hAnsi="宋体" w:eastAsia="宋体" w:cs="宋体"/>
                <w:spacing w:val="1"/>
                <w:sz w:val="21"/>
                <w:szCs w:val="21"/>
              </w:rPr>
              <w:t>置；可燃和有毒气</w:t>
            </w:r>
            <w:r>
              <w:rPr>
                <w:rFonts w:ascii="宋体" w:hAnsi="宋体" w:eastAsia="宋体" w:cs="宋体"/>
                <w:spacing w:val="11"/>
                <w:sz w:val="21"/>
                <w:szCs w:val="21"/>
              </w:rPr>
              <w:t>体检测报警系统未投用或处于非正常</w:t>
            </w:r>
            <w:r>
              <w:rPr>
                <w:rFonts w:ascii="宋体" w:hAnsi="宋体" w:eastAsia="宋体" w:cs="宋体"/>
                <w:spacing w:val="8"/>
                <w:sz w:val="21"/>
                <w:szCs w:val="21"/>
              </w:rPr>
              <w:t>状态，长时间报警</w:t>
            </w:r>
            <w:r>
              <w:rPr>
                <w:rFonts w:ascii="宋体" w:hAnsi="宋体" w:eastAsia="宋体" w:cs="宋体"/>
                <w:spacing w:val="23"/>
                <w:sz w:val="21"/>
                <w:szCs w:val="21"/>
              </w:rPr>
              <w:t>未处置。</w:t>
            </w:r>
          </w:p>
        </w:tc>
        <w:tc>
          <w:tcPr>
            <w:tcW w:w="3507" w:type="dxa"/>
            <w:noWrap w:val="0"/>
            <w:vAlign w:val="top"/>
          </w:tcPr>
          <w:p w14:paraId="67778E07">
            <w:pPr>
              <w:spacing w:before="114" w:line="262" w:lineRule="auto"/>
              <w:ind w:left="132" w:firstLine="474"/>
              <w:rPr>
                <w:rFonts w:ascii="宋体" w:hAnsi="宋体" w:eastAsia="宋体" w:cs="宋体"/>
                <w:sz w:val="21"/>
                <w:szCs w:val="21"/>
              </w:rPr>
            </w:pPr>
            <w:r>
              <w:rPr>
                <w:rFonts w:ascii="宋体" w:hAnsi="宋体" w:eastAsia="宋体" w:cs="宋体"/>
                <w:spacing w:val="-8"/>
                <w:sz w:val="21"/>
                <w:szCs w:val="21"/>
              </w:rPr>
              <w:t>1.《中华人民共和国安全生</w:t>
            </w:r>
            <w:r>
              <w:rPr>
                <w:rFonts w:ascii="宋体" w:hAnsi="宋体" w:eastAsia="宋体" w:cs="宋体"/>
                <w:spacing w:val="4"/>
                <w:sz w:val="21"/>
                <w:szCs w:val="21"/>
              </w:rPr>
              <w:t>产法》第三十六条第一款、第二</w:t>
            </w:r>
            <w:r>
              <w:rPr>
                <w:rFonts w:ascii="宋体" w:hAnsi="宋体" w:eastAsia="宋体" w:cs="宋体"/>
                <w:spacing w:val="7"/>
                <w:sz w:val="21"/>
                <w:szCs w:val="21"/>
              </w:rPr>
              <w:t>款、第三款安全设备的设计、</w:t>
            </w:r>
            <w:r>
              <w:rPr>
                <w:rFonts w:ascii="宋体" w:hAnsi="宋体" w:eastAsia="宋体" w:cs="宋体"/>
                <w:spacing w:val="4"/>
                <w:sz w:val="21"/>
                <w:szCs w:val="21"/>
              </w:rPr>
              <w:t>制造、安装、使用、检测、维修、</w:t>
            </w:r>
            <w:r>
              <w:rPr>
                <w:rFonts w:ascii="宋体" w:hAnsi="宋体" w:eastAsia="宋体" w:cs="宋体"/>
                <w:spacing w:val="3"/>
                <w:sz w:val="21"/>
                <w:szCs w:val="21"/>
              </w:rPr>
              <w:t>改造和报废，应当符合国家标准</w:t>
            </w:r>
            <w:r>
              <w:rPr>
                <w:rFonts w:ascii="宋体" w:hAnsi="宋体" w:eastAsia="宋体" w:cs="宋体"/>
                <w:spacing w:val="18"/>
                <w:sz w:val="21"/>
                <w:szCs w:val="21"/>
              </w:rPr>
              <w:t>或者行业标准。</w:t>
            </w:r>
          </w:p>
          <w:p w14:paraId="42917B51">
            <w:pPr>
              <w:spacing w:before="27" w:line="262" w:lineRule="auto"/>
              <w:ind w:left="132" w:firstLine="474"/>
              <w:rPr>
                <w:rFonts w:ascii="宋体" w:hAnsi="宋体" w:eastAsia="宋体" w:cs="宋体"/>
                <w:sz w:val="21"/>
                <w:szCs w:val="21"/>
              </w:rPr>
            </w:pPr>
            <w:r>
              <w:rPr>
                <w:rFonts w:ascii="宋体" w:hAnsi="宋体" w:eastAsia="宋体" w:cs="宋体"/>
                <w:spacing w:val="23"/>
                <w:sz w:val="21"/>
                <w:szCs w:val="21"/>
              </w:rPr>
              <w:t>生产经营单位必须对安全</w:t>
            </w:r>
            <w:r>
              <w:rPr>
                <w:rFonts w:ascii="宋体" w:hAnsi="宋体" w:eastAsia="宋体" w:cs="宋体"/>
                <w:spacing w:val="4"/>
                <w:sz w:val="21"/>
                <w:szCs w:val="21"/>
              </w:rPr>
              <w:t>设备进行经常性维护、保养，并定期检测，保证正常运转。维护、</w:t>
            </w:r>
            <w:r>
              <w:rPr>
                <w:rFonts w:ascii="宋体" w:hAnsi="宋体" w:eastAsia="宋体" w:cs="宋体"/>
                <w:spacing w:val="5"/>
                <w:sz w:val="21"/>
                <w:szCs w:val="21"/>
              </w:rPr>
              <w:t>保养、检测应当作好记录，并由</w:t>
            </w:r>
            <w:r>
              <w:rPr>
                <w:rFonts w:ascii="宋体" w:hAnsi="宋体" w:eastAsia="宋体" w:cs="宋体"/>
                <w:spacing w:val="18"/>
                <w:sz w:val="21"/>
                <w:szCs w:val="21"/>
              </w:rPr>
              <w:t>有关人员签字。</w:t>
            </w:r>
          </w:p>
          <w:p w14:paraId="34C531D5">
            <w:pPr>
              <w:spacing w:before="70" w:line="247" w:lineRule="auto"/>
              <w:ind w:left="132" w:firstLine="474"/>
              <w:rPr>
                <w:rFonts w:ascii="宋体" w:hAnsi="宋体" w:eastAsia="宋体" w:cs="宋体"/>
                <w:sz w:val="21"/>
                <w:szCs w:val="21"/>
              </w:rPr>
            </w:pPr>
            <w:r>
              <w:rPr>
                <w:rFonts w:ascii="宋体" w:hAnsi="宋体" w:eastAsia="宋体" w:cs="宋体"/>
                <w:spacing w:val="3"/>
                <w:sz w:val="21"/>
                <w:szCs w:val="21"/>
              </w:rPr>
              <w:t>生产经营单位不得关闭、破</w:t>
            </w:r>
            <w:r>
              <w:rPr>
                <w:rFonts w:ascii="宋体" w:hAnsi="宋体" w:eastAsia="宋体" w:cs="宋体"/>
                <w:spacing w:val="4"/>
                <w:sz w:val="21"/>
                <w:szCs w:val="21"/>
              </w:rPr>
              <w:t>坏直接关系生产安全的监控、报警、防护、救生设备、设施，或者篡改、隐瞒、销毁其相关数据、</w:t>
            </w:r>
          </w:p>
        </w:tc>
        <w:tc>
          <w:tcPr>
            <w:tcW w:w="2858" w:type="dxa"/>
            <w:noWrap w:val="0"/>
            <w:vAlign w:val="top"/>
          </w:tcPr>
          <w:p w14:paraId="7A5BA3CA">
            <w:pPr>
              <w:spacing w:before="121" w:line="263" w:lineRule="auto"/>
              <w:ind w:left="134" w:right="22" w:firstLine="464"/>
              <w:jc w:val="both"/>
              <w:rPr>
                <w:rFonts w:ascii="宋体" w:hAnsi="宋体" w:eastAsia="宋体" w:cs="宋体"/>
                <w:sz w:val="21"/>
                <w:szCs w:val="21"/>
              </w:rPr>
            </w:pPr>
            <w:r>
              <w:rPr>
                <w:rFonts w:ascii="宋体" w:hAnsi="宋体" w:eastAsia="宋体" w:cs="宋体"/>
                <w:spacing w:val="22"/>
                <w:sz w:val="21"/>
                <w:szCs w:val="21"/>
              </w:rPr>
              <w:t>《石油化工可燃气体</w:t>
            </w:r>
            <w:r>
              <w:rPr>
                <w:rFonts w:ascii="宋体" w:hAnsi="宋体" w:eastAsia="宋体" w:cs="宋体"/>
                <w:spacing w:val="17"/>
                <w:sz w:val="21"/>
                <w:szCs w:val="21"/>
              </w:rPr>
              <w:t>和有毒气体检测报警设计</w:t>
            </w:r>
            <w:r>
              <w:rPr>
                <w:rFonts w:ascii="宋体" w:hAnsi="宋体" w:eastAsia="宋体" w:cs="宋体"/>
                <w:spacing w:val="7"/>
                <w:sz w:val="21"/>
                <w:szCs w:val="21"/>
              </w:rPr>
              <w:t>标准》(</w:t>
            </w:r>
            <w:r>
              <w:rPr>
                <w:rFonts w:ascii="宋体" w:hAnsi="宋体" w:eastAsia="宋体" w:cs="宋体"/>
                <w:sz w:val="21"/>
                <w:szCs w:val="21"/>
              </w:rPr>
              <w:t>GB</w:t>
            </w:r>
            <w:r>
              <w:rPr>
                <w:rFonts w:ascii="宋体" w:hAnsi="宋体" w:eastAsia="宋体" w:cs="宋体"/>
                <w:spacing w:val="7"/>
                <w:sz w:val="21"/>
                <w:szCs w:val="21"/>
              </w:rPr>
              <w:t>/T</w:t>
            </w:r>
            <w:r>
              <w:rPr>
                <w:rFonts w:ascii="宋体" w:hAnsi="宋体" w:eastAsia="宋体" w:cs="宋体"/>
                <w:spacing w:val="40"/>
                <w:sz w:val="21"/>
                <w:szCs w:val="21"/>
              </w:rPr>
              <w:t xml:space="preserve"> </w:t>
            </w:r>
            <w:r>
              <w:rPr>
                <w:rFonts w:ascii="宋体" w:hAnsi="宋体" w:eastAsia="宋体" w:cs="宋体"/>
                <w:spacing w:val="7"/>
                <w:sz w:val="21"/>
                <w:szCs w:val="21"/>
              </w:rPr>
              <w:t>50493-2019)</w:t>
            </w:r>
            <w:r>
              <w:rPr>
                <w:rFonts w:ascii="宋体" w:hAnsi="宋体" w:eastAsia="宋体" w:cs="宋体"/>
                <w:spacing w:val="20"/>
                <w:sz w:val="21"/>
                <w:szCs w:val="21"/>
              </w:rPr>
              <w:t>3.0.1在生产或使用可</w:t>
            </w:r>
            <w:r>
              <w:rPr>
                <w:rFonts w:ascii="宋体" w:hAnsi="宋体" w:eastAsia="宋体" w:cs="宋体"/>
                <w:spacing w:val="17"/>
                <w:sz w:val="21"/>
                <w:szCs w:val="21"/>
              </w:rPr>
              <w:t>燃气体及有毒气体的生产</w:t>
            </w:r>
            <w:r>
              <w:rPr>
                <w:rFonts w:ascii="宋体" w:hAnsi="宋体" w:eastAsia="宋体" w:cs="宋体"/>
                <w:spacing w:val="40"/>
                <w:sz w:val="21"/>
                <w:szCs w:val="21"/>
              </w:rPr>
              <w:t>设施及储运设施的区域</w:t>
            </w:r>
            <w:r>
              <w:rPr>
                <w:rFonts w:ascii="宋体" w:hAnsi="宋体" w:eastAsia="宋体" w:cs="宋体"/>
                <w:spacing w:val="15"/>
                <w:sz w:val="21"/>
                <w:szCs w:val="21"/>
              </w:rPr>
              <w:t>内，泄漏气体中可燃气体</w:t>
            </w:r>
            <w:r>
              <w:rPr>
                <w:rFonts w:ascii="宋体" w:hAnsi="宋体" w:eastAsia="宋体" w:cs="宋体"/>
                <w:spacing w:val="17"/>
                <w:sz w:val="21"/>
                <w:szCs w:val="21"/>
              </w:rPr>
              <w:t>浓度可能达到报警设定值</w:t>
            </w:r>
            <w:r>
              <w:rPr>
                <w:rFonts w:ascii="宋体" w:hAnsi="宋体" w:eastAsia="宋体" w:cs="宋体"/>
                <w:spacing w:val="18"/>
                <w:sz w:val="21"/>
                <w:szCs w:val="21"/>
              </w:rPr>
              <w:t>时，应设置可燃气体探测</w:t>
            </w:r>
            <w:r>
              <w:rPr>
                <w:rFonts w:ascii="宋体" w:hAnsi="宋体" w:eastAsia="宋体" w:cs="宋体"/>
                <w:spacing w:val="17"/>
                <w:sz w:val="21"/>
                <w:szCs w:val="21"/>
              </w:rPr>
              <w:t>器；泄漏气体中有毒气体浓度可能达到报警设定值</w:t>
            </w:r>
            <w:r>
              <w:rPr>
                <w:rFonts w:ascii="宋体" w:hAnsi="宋体" w:eastAsia="宋体" w:cs="宋体"/>
                <w:spacing w:val="18"/>
                <w:sz w:val="21"/>
                <w:szCs w:val="21"/>
              </w:rPr>
              <w:t>时，应设置有毒气体探测器；既属于可燃气体又属</w:t>
            </w:r>
            <w:r>
              <w:rPr>
                <w:rFonts w:ascii="宋体" w:hAnsi="宋体" w:eastAsia="宋体" w:cs="宋体"/>
                <w:spacing w:val="17"/>
                <w:sz w:val="21"/>
                <w:szCs w:val="21"/>
              </w:rPr>
              <w:t>于有毒气体的单组分气体</w:t>
            </w:r>
            <w:r>
              <w:rPr>
                <w:rFonts w:ascii="宋体" w:hAnsi="宋体" w:eastAsia="宋体" w:cs="宋体"/>
                <w:spacing w:val="18"/>
                <w:sz w:val="21"/>
                <w:szCs w:val="21"/>
              </w:rPr>
              <w:t>介质，应设有毒气体探测</w:t>
            </w:r>
          </w:p>
        </w:tc>
        <w:tc>
          <w:tcPr>
            <w:tcW w:w="2848" w:type="dxa"/>
            <w:noWrap w:val="0"/>
            <w:vAlign w:val="top"/>
          </w:tcPr>
          <w:p w14:paraId="2AB12490">
            <w:pPr>
              <w:spacing w:before="121" w:line="263" w:lineRule="auto"/>
              <w:ind w:left="137" w:right="88" w:firstLine="474"/>
              <w:jc w:val="both"/>
              <w:rPr>
                <w:rFonts w:ascii="宋体" w:hAnsi="宋体" w:eastAsia="宋体" w:cs="宋体"/>
                <w:sz w:val="21"/>
                <w:szCs w:val="21"/>
              </w:rPr>
            </w:pPr>
            <w:r>
              <w:rPr>
                <w:rFonts w:ascii="宋体" w:hAnsi="宋体" w:eastAsia="宋体" w:cs="宋体"/>
                <w:spacing w:val="44"/>
                <w:sz w:val="21"/>
                <w:szCs w:val="21"/>
              </w:rPr>
              <w:t>《中华人民共和国</w:t>
            </w:r>
            <w:r>
              <w:rPr>
                <w:rFonts w:ascii="宋体" w:hAnsi="宋体" w:eastAsia="宋体" w:cs="宋体"/>
                <w:spacing w:val="15"/>
                <w:sz w:val="21"/>
                <w:szCs w:val="21"/>
              </w:rPr>
              <w:t>安全生产法》第九十九条第二项、第三项、第四项</w:t>
            </w:r>
            <w:r>
              <w:rPr>
                <w:rFonts w:ascii="宋体" w:hAnsi="宋体" w:eastAsia="宋体" w:cs="宋体"/>
                <w:spacing w:val="39"/>
                <w:sz w:val="21"/>
                <w:szCs w:val="21"/>
              </w:rPr>
              <w:t>生产经营单位有下列行</w:t>
            </w:r>
            <w:r>
              <w:rPr>
                <w:rFonts w:ascii="宋体" w:hAnsi="宋体" w:eastAsia="宋体" w:cs="宋体"/>
                <w:spacing w:val="31"/>
                <w:sz w:val="21"/>
                <w:szCs w:val="21"/>
              </w:rPr>
              <w:t>为之一的，责令限期改</w:t>
            </w:r>
            <w:r>
              <w:rPr>
                <w:rFonts w:ascii="宋体" w:hAnsi="宋体" w:eastAsia="宋体" w:cs="宋体"/>
                <w:spacing w:val="38"/>
                <w:sz w:val="21"/>
                <w:szCs w:val="21"/>
              </w:rPr>
              <w:t>正，处五万元以下的罚</w:t>
            </w:r>
            <w:r>
              <w:rPr>
                <w:rFonts w:ascii="宋体" w:hAnsi="宋体" w:eastAsia="宋体" w:cs="宋体"/>
                <w:spacing w:val="15"/>
                <w:sz w:val="21"/>
                <w:szCs w:val="21"/>
              </w:rPr>
              <w:t>款；逾期未改正的，处五</w:t>
            </w:r>
            <w:r>
              <w:rPr>
                <w:rFonts w:ascii="宋体" w:hAnsi="宋体" w:eastAsia="宋体" w:cs="宋体"/>
                <w:spacing w:val="37"/>
                <w:sz w:val="21"/>
                <w:szCs w:val="21"/>
              </w:rPr>
              <w:t>万元以上二十万元以下</w:t>
            </w:r>
            <w:r>
              <w:rPr>
                <w:rFonts w:ascii="宋体" w:hAnsi="宋体" w:eastAsia="宋体" w:cs="宋体"/>
                <w:spacing w:val="14"/>
                <w:sz w:val="21"/>
                <w:szCs w:val="21"/>
              </w:rPr>
              <w:t>的罚款，对其直接负责的</w:t>
            </w:r>
            <w:r>
              <w:rPr>
                <w:rFonts w:ascii="宋体" w:hAnsi="宋体" w:eastAsia="宋体" w:cs="宋体"/>
                <w:spacing w:val="37"/>
                <w:sz w:val="21"/>
                <w:szCs w:val="21"/>
              </w:rPr>
              <w:t>主管人员和其他直接责</w:t>
            </w:r>
            <w:r>
              <w:rPr>
                <w:rFonts w:ascii="宋体" w:hAnsi="宋体" w:eastAsia="宋体" w:cs="宋体"/>
                <w:spacing w:val="31"/>
                <w:sz w:val="21"/>
                <w:szCs w:val="21"/>
              </w:rPr>
              <w:t>任人员处一万元以上二</w:t>
            </w:r>
            <w:r>
              <w:rPr>
                <w:rFonts w:ascii="宋体" w:hAnsi="宋体" w:eastAsia="宋体" w:cs="宋体"/>
                <w:spacing w:val="15"/>
                <w:sz w:val="21"/>
                <w:szCs w:val="21"/>
              </w:rPr>
              <w:t>万元以下的罚款；情节严</w:t>
            </w:r>
            <w:r>
              <w:rPr>
                <w:rFonts w:ascii="宋体" w:hAnsi="宋体" w:eastAsia="宋体" w:cs="宋体"/>
                <w:spacing w:val="37"/>
                <w:sz w:val="21"/>
                <w:szCs w:val="21"/>
              </w:rPr>
              <w:t>重的，责令停产停业整</w:t>
            </w:r>
            <w:r>
              <w:rPr>
                <w:rFonts w:ascii="宋体" w:hAnsi="宋体" w:eastAsia="宋体" w:cs="宋体"/>
                <w:spacing w:val="14"/>
                <w:sz w:val="21"/>
                <w:szCs w:val="21"/>
              </w:rPr>
              <w:t>顿；构成犯罪的，依照刑</w:t>
            </w:r>
            <w:r>
              <w:rPr>
                <w:rFonts w:ascii="宋体" w:hAnsi="宋体" w:eastAsia="宋体" w:cs="宋体"/>
                <w:spacing w:val="37"/>
                <w:sz w:val="21"/>
                <w:szCs w:val="21"/>
              </w:rPr>
              <w:t>法有关规定追究刑事责</w:t>
            </w:r>
          </w:p>
        </w:tc>
        <w:tc>
          <w:tcPr>
            <w:tcW w:w="1244" w:type="dxa"/>
            <w:noWrap w:val="0"/>
            <w:vAlign w:val="top"/>
          </w:tcPr>
          <w:p w14:paraId="466A9A0A">
            <w:pPr>
              <w:spacing w:line="259" w:lineRule="auto"/>
              <w:rPr>
                <w:rFonts w:ascii="Arial"/>
                <w:sz w:val="21"/>
                <w:szCs w:val="21"/>
              </w:rPr>
            </w:pPr>
          </w:p>
          <w:p w14:paraId="142D2D4A">
            <w:pPr>
              <w:spacing w:line="259" w:lineRule="auto"/>
              <w:rPr>
                <w:rFonts w:ascii="Arial"/>
                <w:sz w:val="21"/>
                <w:szCs w:val="21"/>
              </w:rPr>
            </w:pPr>
          </w:p>
          <w:p w14:paraId="754D9230">
            <w:pPr>
              <w:spacing w:line="259" w:lineRule="auto"/>
              <w:rPr>
                <w:rFonts w:ascii="Arial"/>
                <w:sz w:val="21"/>
                <w:szCs w:val="21"/>
              </w:rPr>
            </w:pPr>
          </w:p>
          <w:p w14:paraId="55B50CB8">
            <w:pPr>
              <w:spacing w:line="259" w:lineRule="auto"/>
              <w:rPr>
                <w:rFonts w:ascii="Arial"/>
                <w:sz w:val="21"/>
                <w:szCs w:val="21"/>
              </w:rPr>
            </w:pPr>
          </w:p>
          <w:p w14:paraId="39B9AC94">
            <w:pPr>
              <w:spacing w:line="260" w:lineRule="auto"/>
              <w:rPr>
                <w:rFonts w:ascii="Arial"/>
                <w:sz w:val="21"/>
                <w:szCs w:val="21"/>
              </w:rPr>
            </w:pPr>
          </w:p>
          <w:p w14:paraId="5D3C0924">
            <w:pPr>
              <w:spacing w:line="260" w:lineRule="auto"/>
              <w:rPr>
                <w:rFonts w:ascii="Arial"/>
                <w:sz w:val="21"/>
                <w:szCs w:val="21"/>
              </w:rPr>
            </w:pPr>
          </w:p>
          <w:p w14:paraId="185947E9">
            <w:pPr>
              <w:spacing w:line="260" w:lineRule="auto"/>
              <w:rPr>
                <w:rFonts w:ascii="Arial"/>
                <w:sz w:val="21"/>
                <w:szCs w:val="21"/>
              </w:rPr>
            </w:pPr>
          </w:p>
          <w:p w14:paraId="65A9B315">
            <w:pPr>
              <w:spacing w:line="260" w:lineRule="auto"/>
              <w:rPr>
                <w:rFonts w:ascii="Arial"/>
                <w:sz w:val="21"/>
                <w:szCs w:val="21"/>
              </w:rPr>
            </w:pPr>
          </w:p>
          <w:p w14:paraId="6BA66AF4">
            <w:pPr>
              <w:spacing w:before="75" w:line="238" w:lineRule="auto"/>
              <w:ind w:left="99" w:right="191"/>
              <w:rPr>
                <w:rFonts w:ascii="宋体" w:hAnsi="宋体" w:eastAsia="宋体" w:cs="宋体"/>
                <w:sz w:val="21"/>
                <w:szCs w:val="21"/>
              </w:rPr>
            </w:pPr>
            <w:r>
              <w:rPr>
                <w:rFonts w:ascii="宋体" w:hAnsi="宋体" w:eastAsia="宋体" w:cs="宋体"/>
                <w:spacing w:val="5"/>
                <w:sz w:val="21"/>
                <w:szCs w:val="21"/>
              </w:rPr>
              <w:t>重大隐患</w:t>
            </w:r>
            <w:r>
              <w:rPr>
                <w:rFonts w:ascii="宋体" w:hAnsi="宋体" w:eastAsia="宋体" w:cs="宋体"/>
                <w:spacing w:val="4"/>
                <w:sz w:val="21"/>
                <w:szCs w:val="21"/>
              </w:rPr>
              <w:t>管理</w:t>
            </w:r>
          </w:p>
        </w:tc>
      </w:tr>
    </w:tbl>
    <w:p w14:paraId="334868A7">
      <w:pPr>
        <w:tabs>
          <w:tab w:val="left" w:pos="446"/>
        </w:tabs>
        <w:rPr>
          <w:rFonts w:hint="eastAsia" w:eastAsia="宋体"/>
          <w:lang w:eastAsia="zh-CN"/>
        </w:rPr>
        <w:sectPr>
          <w:pgSz w:w="16840" w:h="11900"/>
          <w:pgMar w:top="1440" w:right="1080" w:bottom="1440" w:left="1080" w:header="0" w:footer="0" w:gutter="0"/>
          <w:pgNumType w:fmt="decimal"/>
          <w:cols w:space="720" w:num="1"/>
        </w:sectPr>
      </w:pPr>
    </w:p>
    <w:p w14:paraId="3AF73938"/>
    <w:p w14:paraId="76550D7D"/>
    <w:p w14:paraId="29F2E9FA">
      <w:pPr>
        <w:spacing w:line="23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681"/>
        <w:gridCol w:w="2891"/>
        <w:gridCol w:w="2907"/>
        <w:gridCol w:w="989"/>
      </w:tblGrid>
      <w:tr w14:paraId="63896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23E770A6">
            <w:pPr>
              <w:spacing w:before="226" w:line="221" w:lineRule="auto"/>
              <w:ind w:left="185"/>
              <w:rPr>
                <w:rFonts w:ascii="宋体" w:hAnsi="宋体" w:eastAsia="宋体" w:cs="宋体"/>
                <w:b/>
                <w:bCs/>
                <w:sz w:val="24"/>
                <w:szCs w:val="24"/>
              </w:rPr>
            </w:pPr>
            <w:r>
              <w:rPr>
                <w:rFonts w:ascii="宋体" w:hAnsi="宋体" w:eastAsia="宋体" w:cs="宋体"/>
                <w:b/>
                <w:bCs/>
                <w:spacing w:val="7"/>
                <w:sz w:val="24"/>
                <w:szCs w:val="24"/>
              </w:rPr>
              <w:t>序号</w:t>
            </w:r>
          </w:p>
        </w:tc>
        <w:tc>
          <w:tcPr>
            <w:tcW w:w="2228" w:type="dxa"/>
            <w:noWrap w:val="0"/>
            <w:vAlign w:val="top"/>
          </w:tcPr>
          <w:p w14:paraId="0BCB1A3D">
            <w:pPr>
              <w:spacing w:before="95" w:line="219" w:lineRule="auto"/>
              <w:ind w:left="621"/>
              <w:rPr>
                <w:rFonts w:ascii="宋体" w:hAnsi="宋体" w:eastAsia="宋体" w:cs="宋体"/>
                <w:b/>
                <w:bCs/>
                <w:sz w:val="24"/>
                <w:szCs w:val="24"/>
              </w:rPr>
            </w:pPr>
            <w:r>
              <w:rPr>
                <w:rFonts w:ascii="宋体" w:hAnsi="宋体" w:eastAsia="宋体" w:cs="宋体"/>
                <w:b/>
                <w:bCs/>
                <w:spacing w:val="3"/>
                <w:sz w:val="24"/>
                <w:szCs w:val="24"/>
              </w:rPr>
              <w:t>执法检查</w:t>
            </w:r>
          </w:p>
          <w:p w14:paraId="72B42DFE">
            <w:pPr>
              <w:spacing w:before="34" w:line="200" w:lineRule="auto"/>
              <w:ind w:left="381"/>
              <w:rPr>
                <w:rFonts w:ascii="宋体" w:hAnsi="宋体" w:eastAsia="宋体" w:cs="宋体"/>
                <w:b/>
                <w:bCs/>
                <w:sz w:val="24"/>
                <w:szCs w:val="24"/>
              </w:rPr>
            </w:pPr>
            <w:r>
              <w:rPr>
                <w:rFonts w:ascii="宋体" w:hAnsi="宋体" w:eastAsia="宋体" w:cs="宋体"/>
                <w:b/>
                <w:bCs/>
                <w:spacing w:val="2"/>
                <w:sz w:val="24"/>
                <w:szCs w:val="24"/>
              </w:rPr>
              <w:t>重点事项内容</w:t>
            </w:r>
          </w:p>
        </w:tc>
        <w:tc>
          <w:tcPr>
            <w:tcW w:w="3681" w:type="dxa"/>
            <w:noWrap w:val="0"/>
            <w:vAlign w:val="top"/>
          </w:tcPr>
          <w:p w14:paraId="16B593EC">
            <w:pPr>
              <w:spacing w:before="219" w:line="219" w:lineRule="auto"/>
              <w:ind w:left="1036"/>
              <w:rPr>
                <w:rFonts w:ascii="宋体" w:hAnsi="宋体" w:eastAsia="宋体" w:cs="宋体"/>
                <w:b/>
                <w:bCs/>
                <w:sz w:val="24"/>
                <w:szCs w:val="24"/>
              </w:rPr>
            </w:pPr>
            <w:r>
              <w:rPr>
                <w:rFonts w:ascii="宋体" w:hAnsi="宋体" w:eastAsia="宋体" w:cs="宋体"/>
                <w:b/>
                <w:bCs/>
                <w:spacing w:val="-4"/>
                <w:sz w:val="24"/>
                <w:szCs w:val="24"/>
              </w:rPr>
              <w:t>执法检查依据</w:t>
            </w:r>
          </w:p>
        </w:tc>
        <w:tc>
          <w:tcPr>
            <w:tcW w:w="2891" w:type="dxa"/>
            <w:noWrap w:val="0"/>
            <w:vAlign w:val="top"/>
          </w:tcPr>
          <w:p w14:paraId="51D32ADA">
            <w:pPr>
              <w:spacing w:before="85" w:line="220" w:lineRule="auto"/>
              <w:ind w:left="845"/>
              <w:rPr>
                <w:rFonts w:ascii="宋体" w:hAnsi="宋体" w:eastAsia="宋体" w:cs="宋体"/>
                <w:b/>
                <w:bCs/>
                <w:sz w:val="24"/>
                <w:szCs w:val="24"/>
              </w:rPr>
            </w:pPr>
            <w:r>
              <w:rPr>
                <w:rFonts w:ascii="宋体" w:hAnsi="宋体" w:eastAsia="宋体" w:cs="宋体"/>
                <w:b/>
                <w:bCs/>
                <w:spacing w:val="-2"/>
                <w:sz w:val="24"/>
                <w:szCs w:val="24"/>
              </w:rPr>
              <w:t>有关规范性</w:t>
            </w:r>
          </w:p>
          <w:p w14:paraId="41AB7FEB">
            <w:pPr>
              <w:spacing w:before="39" w:line="202" w:lineRule="auto"/>
              <w:ind w:left="608"/>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2907" w:type="dxa"/>
            <w:noWrap w:val="0"/>
            <w:vAlign w:val="top"/>
          </w:tcPr>
          <w:p w14:paraId="3ADE5E45">
            <w:pPr>
              <w:spacing w:before="223" w:line="219" w:lineRule="auto"/>
              <w:ind w:left="967"/>
              <w:rPr>
                <w:rFonts w:ascii="宋体" w:hAnsi="宋体" w:eastAsia="宋体" w:cs="宋体"/>
                <w:b/>
                <w:bCs/>
                <w:sz w:val="24"/>
                <w:szCs w:val="24"/>
              </w:rPr>
            </w:pPr>
            <w:r>
              <w:rPr>
                <w:rFonts w:ascii="宋体" w:hAnsi="宋体" w:eastAsia="宋体" w:cs="宋体"/>
                <w:b/>
                <w:bCs/>
                <w:spacing w:val="8"/>
                <w:sz w:val="24"/>
                <w:szCs w:val="24"/>
              </w:rPr>
              <w:t>处罚依据</w:t>
            </w:r>
          </w:p>
        </w:tc>
        <w:tc>
          <w:tcPr>
            <w:tcW w:w="989" w:type="dxa"/>
            <w:noWrap w:val="0"/>
            <w:vAlign w:val="top"/>
          </w:tcPr>
          <w:p w14:paraId="7D521B98">
            <w:pPr>
              <w:spacing w:before="226" w:line="221" w:lineRule="auto"/>
              <w:ind w:left="379"/>
              <w:rPr>
                <w:rFonts w:ascii="宋体" w:hAnsi="宋体" w:eastAsia="宋体" w:cs="宋体"/>
                <w:b/>
                <w:bCs/>
                <w:sz w:val="24"/>
                <w:szCs w:val="24"/>
              </w:rPr>
            </w:pPr>
            <w:r>
              <w:rPr>
                <w:rFonts w:ascii="宋体" w:hAnsi="宋体" w:eastAsia="宋体" w:cs="宋体"/>
                <w:b/>
                <w:bCs/>
                <w:spacing w:val="6"/>
                <w:sz w:val="24"/>
                <w:szCs w:val="24"/>
              </w:rPr>
              <w:t>备注</w:t>
            </w:r>
          </w:p>
        </w:tc>
      </w:tr>
      <w:tr w14:paraId="14B30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6" w:hRule="atLeast"/>
          <w:jc w:val="center"/>
        </w:trPr>
        <w:tc>
          <w:tcPr>
            <w:tcW w:w="864" w:type="dxa"/>
            <w:noWrap w:val="0"/>
            <w:vAlign w:val="top"/>
          </w:tcPr>
          <w:p w14:paraId="315FAD8C">
            <w:pPr>
              <w:rPr>
                <w:rFonts w:ascii="Arial"/>
                <w:sz w:val="21"/>
              </w:rPr>
            </w:pPr>
          </w:p>
        </w:tc>
        <w:tc>
          <w:tcPr>
            <w:tcW w:w="2228" w:type="dxa"/>
            <w:noWrap w:val="0"/>
            <w:vAlign w:val="top"/>
          </w:tcPr>
          <w:p w14:paraId="69694852">
            <w:pPr>
              <w:rPr>
                <w:rFonts w:ascii="Arial"/>
                <w:sz w:val="21"/>
                <w:szCs w:val="21"/>
              </w:rPr>
            </w:pPr>
          </w:p>
        </w:tc>
        <w:tc>
          <w:tcPr>
            <w:tcW w:w="3681" w:type="dxa"/>
            <w:noWrap w:val="0"/>
            <w:vAlign w:val="top"/>
          </w:tcPr>
          <w:p w14:paraId="50227A66">
            <w:pPr>
              <w:spacing w:before="99" w:line="210" w:lineRule="auto"/>
              <w:ind w:left="133"/>
              <w:rPr>
                <w:rFonts w:ascii="宋体" w:hAnsi="宋体" w:eastAsia="宋体" w:cs="宋体"/>
                <w:spacing w:val="-10"/>
                <w:sz w:val="21"/>
                <w:szCs w:val="21"/>
              </w:rPr>
            </w:pPr>
            <w:r>
              <w:rPr>
                <w:rFonts w:ascii="宋体" w:hAnsi="宋体" w:eastAsia="宋体" w:cs="宋体"/>
                <w:spacing w:val="-10"/>
                <w:sz w:val="21"/>
                <w:szCs w:val="21"/>
              </w:rPr>
              <w:t>信息。</w:t>
            </w:r>
          </w:p>
          <w:p w14:paraId="600F633A">
            <w:pPr>
              <w:spacing w:before="57" w:line="204" w:lineRule="auto"/>
              <w:ind w:left="583"/>
              <w:rPr>
                <w:rFonts w:ascii="宋体" w:hAnsi="宋体" w:eastAsia="宋体" w:cs="宋体"/>
                <w:sz w:val="21"/>
                <w:szCs w:val="21"/>
              </w:rPr>
            </w:pPr>
            <w:r>
              <w:rPr>
                <w:rFonts w:ascii="宋体" w:hAnsi="宋体" w:eastAsia="宋体" w:cs="宋体"/>
                <w:spacing w:val="-10"/>
                <w:sz w:val="21"/>
                <w:szCs w:val="21"/>
              </w:rPr>
              <w:t>2.《危险化学品生产企业安</w:t>
            </w:r>
          </w:p>
          <w:p w14:paraId="3BD13FD7">
            <w:pPr>
              <w:spacing w:before="34" w:line="219" w:lineRule="auto"/>
              <w:ind w:left="133"/>
              <w:rPr>
                <w:rFonts w:ascii="宋体" w:hAnsi="宋体" w:eastAsia="宋体" w:cs="宋体"/>
                <w:sz w:val="21"/>
                <w:szCs w:val="21"/>
              </w:rPr>
            </w:pPr>
            <w:r>
              <w:rPr>
                <w:rFonts w:ascii="宋体" w:hAnsi="宋体" w:eastAsia="宋体" w:cs="宋体"/>
                <w:spacing w:val="3"/>
                <w:sz w:val="21"/>
                <w:szCs w:val="21"/>
              </w:rPr>
              <w:t>全生产许可证实施办法》(国家</w:t>
            </w:r>
          </w:p>
          <w:p w14:paraId="7E6ED48E">
            <w:pPr>
              <w:spacing w:before="44" w:line="207" w:lineRule="auto"/>
              <w:ind w:left="133"/>
              <w:rPr>
                <w:rFonts w:ascii="宋体" w:hAnsi="宋体" w:eastAsia="宋体" w:cs="宋体"/>
                <w:sz w:val="21"/>
                <w:szCs w:val="21"/>
              </w:rPr>
            </w:pPr>
            <w:r>
              <w:rPr>
                <w:rFonts w:ascii="宋体" w:hAnsi="宋体" w:eastAsia="宋体" w:cs="宋体"/>
                <w:spacing w:val="20"/>
                <w:sz w:val="21"/>
                <w:szCs w:val="21"/>
              </w:rPr>
              <w:t>安全监管总局令第41号)第九</w:t>
            </w:r>
          </w:p>
          <w:p w14:paraId="121842E2">
            <w:pPr>
              <w:spacing w:before="42" w:line="227" w:lineRule="auto"/>
              <w:ind w:left="133"/>
              <w:rPr>
                <w:rFonts w:ascii="宋体" w:hAnsi="宋体" w:eastAsia="宋体" w:cs="宋体"/>
                <w:sz w:val="21"/>
                <w:szCs w:val="21"/>
              </w:rPr>
            </w:pPr>
            <w:r>
              <w:rPr>
                <w:rFonts w:ascii="宋体" w:hAnsi="宋体" w:eastAsia="宋体" w:cs="宋体"/>
                <w:spacing w:val="6"/>
                <w:sz w:val="21"/>
                <w:szCs w:val="21"/>
              </w:rPr>
              <w:t>条第一款第三项企业的厂房、</w:t>
            </w:r>
          </w:p>
          <w:p w14:paraId="664023D8">
            <w:pPr>
              <w:spacing w:before="41" w:line="203" w:lineRule="auto"/>
              <w:ind w:left="133"/>
              <w:rPr>
                <w:rFonts w:ascii="宋体" w:hAnsi="宋体" w:eastAsia="宋体" w:cs="宋体"/>
                <w:sz w:val="21"/>
                <w:szCs w:val="21"/>
              </w:rPr>
            </w:pPr>
            <w:r>
              <w:rPr>
                <w:rFonts w:ascii="宋体" w:hAnsi="宋体" w:eastAsia="宋体" w:cs="宋体"/>
                <w:spacing w:val="11"/>
                <w:sz w:val="21"/>
                <w:szCs w:val="21"/>
              </w:rPr>
              <w:t>作业场所、储存设施和安全设</w:t>
            </w:r>
          </w:p>
          <w:p w14:paraId="5014206A">
            <w:pPr>
              <w:spacing w:before="76" w:line="203" w:lineRule="auto"/>
              <w:ind w:left="133"/>
              <w:rPr>
                <w:rFonts w:ascii="宋体" w:hAnsi="宋体" w:eastAsia="宋体" w:cs="宋体"/>
                <w:sz w:val="21"/>
                <w:szCs w:val="21"/>
              </w:rPr>
            </w:pPr>
            <w:r>
              <w:rPr>
                <w:rFonts w:ascii="宋体" w:hAnsi="宋体" w:eastAsia="宋体" w:cs="宋体"/>
                <w:spacing w:val="9"/>
                <w:sz w:val="21"/>
                <w:szCs w:val="21"/>
              </w:rPr>
              <w:t>施、设备、工艺应当符合下列要</w:t>
            </w:r>
          </w:p>
          <w:p w14:paraId="375B60DB">
            <w:pPr>
              <w:spacing w:before="39" w:line="209" w:lineRule="auto"/>
              <w:ind w:left="133"/>
              <w:rPr>
                <w:rFonts w:ascii="宋体" w:hAnsi="宋体" w:eastAsia="宋体" w:cs="宋体"/>
                <w:sz w:val="21"/>
                <w:szCs w:val="21"/>
              </w:rPr>
            </w:pPr>
            <w:r>
              <w:rPr>
                <w:rFonts w:ascii="宋体" w:hAnsi="宋体" w:eastAsia="宋体" w:cs="宋体"/>
                <w:spacing w:val="-6"/>
                <w:sz w:val="21"/>
                <w:szCs w:val="21"/>
              </w:rPr>
              <w:t>求：</w:t>
            </w:r>
          </w:p>
          <w:p w14:paraId="35569A62">
            <w:pPr>
              <w:spacing w:before="48" w:line="216" w:lineRule="auto"/>
              <w:ind w:left="693"/>
              <w:rPr>
                <w:rFonts w:ascii="宋体" w:hAnsi="宋体" w:eastAsia="宋体" w:cs="宋体"/>
                <w:sz w:val="21"/>
                <w:szCs w:val="21"/>
              </w:rPr>
            </w:pPr>
            <w:r>
              <w:rPr>
                <w:rFonts w:ascii="宋体" w:hAnsi="宋体" w:eastAsia="宋体" w:cs="宋体"/>
                <w:spacing w:val="9"/>
                <w:sz w:val="21"/>
                <w:szCs w:val="21"/>
              </w:rPr>
              <w:t>(三)涉及危险化工工艺、</w:t>
            </w:r>
          </w:p>
          <w:p w14:paraId="3B3952A5">
            <w:pPr>
              <w:spacing w:before="48" w:line="213" w:lineRule="auto"/>
              <w:ind w:left="133"/>
              <w:rPr>
                <w:rFonts w:ascii="宋体" w:hAnsi="宋体" w:eastAsia="宋体" w:cs="宋体"/>
                <w:sz w:val="21"/>
                <w:szCs w:val="21"/>
              </w:rPr>
            </w:pPr>
            <w:r>
              <w:rPr>
                <w:rFonts w:ascii="宋体" w:hAnsi="宋体" w:eastAsia="宋体" w:cs="宋体"/>
                <w:spacing w:val="10"/>
                <w:sz w:val="21"/>
                <w:szCs w:val="21"/>
              </w:rPr>
              <w:t>重点监管危险化学品的装置装</w:t>
            </w:r>
          </w:p>
          <w:p w14:paraId="11919136">
            <w:pPr>
              <w:spacing w:before="63" w:line="218" w:lineRule="auto"/>
              <w:ind w:left="133"/>
              <w:rPr>
                <w:rFonts w:ascii="宋体" w:hAnsi="宋体" w:eastAsia="宋体" w:cs="宋体"/>
                <w:sz w:val="21"/>
                <w:szCs w:val="21"/>
              </w:rPr>
            </w:pPr>
            <w:r>
              <w:rPr>
                <w:rFonts w:ascii="宋体" w:hAnsi="宋体" w:eastAsia="宋体" w:cs="宋体"/>
                <w:spacing w:val="9"/>
                <w:sz w:val="21"/>
                <w:szCs w:val="21"/>
              </w:rPr>
              <w:t>设自动化控制系统；涉及危险化</w:t>
            </w:r>
          </w:p>
          <w:p w14:paraId="67A03D36">
            <w:pPr>
              <w:spacing w:before="47" w:line="209" w:lineRule="auto"/>
              <w:ind w:left="133"/>
              <w:rPr>
                <w:rFonts w:ascii="宋体" w:hAnsi="宋体" w:eastAsia="宋体" w:cs="宋体"/>
                <w:sz w:val="21"/>
                <w:szCs w:val="21"/>
              </w:rPr>
            </w:pPr>
            <w:r>
              <w:rPr>
                <w:rFonts w:ascii="宋体" w:hAnsi="宋体" w:eastAsia="宋体" w:cs="宋体"/>
                <w:spacing w:val="13"/>
                <w:sz w:val="21"/>
                <w:szCs w:val="21"/>
              </w:rPr>
              <w:t>工工艺的大型化工装置装设紧</w:t>
            </w:r>
          </w:p>
          <w:p w14:paraId="57F68BC8">
            <w:pPr>
              <w:spacing w:before="47" w:line="211" w:lineRule="auto"/>
              <w:ind w:left="133"/>
              <w:rPr>
                <w:rFonts w:ascii="宋体" w:hAnsi="宋体" w:eastAsia="宋体" w:cs="宋体"/>
                <w:sz w:val="21"/>
                <w:szCs w:val="21"/>
              </w:rPr>
            </w:pPr>
            <w:r>
              <w:rPr>
                <w:rFonts w:ascii="宋体" w:hAnsi="宋体" w:eastAsia="宋体" w:cs="宋体"/>
                <w:spacing w:val="9"/>
                <w:sz w:val="21"/>
                <w:szCs w:val="21"/>
              </w:rPr>
              <w:t>急停车系统；涉及易燃易爆、有</w:t>
            </w:r>
          </w:p>
          <w:p w14:paraId="2893B255">
            <w:pPr>
              <w:spacing w:before="38" w:line="207" w:lineRule="auto"/>
              <w:ind w:left="133"/>
              <w:rPr>
                <w:rFonts w:ascii="宋体" w:hAnsi="宋体" w:eastAsia="宋体" w:cs="宋体"/>
                <w:sz w:val="21"/>
                <w:szCs w:val="21"/>
              </w:rPr>
            </w:pPr>
            <w:r>
              <w:rPr>
                <w:rFonts w:ascii="宋体" w:hAnsi="宋体" w:eastAsia="宋体" w:cs="宋体"/>
                <w:spacing w:val="10"/>
                <w:sz w:val="21"/>
                <w:szCs w:val="21"/>
              </w:rPr>
              <w:t>毒有害气体化学品的场所装设</w:t>
            </w:r>
          </w:p>
          <w:p w14:paraId="0763A167">
            <w:pPr>
              <w:spacing w:before="49" w:line="222" w:lineRule="auto"/>
              <w:ind w:left="133"/>
              <w:rPr>
                <w:rFonts w:ascii="宋体" w:hAnsi="宋体" w:eastAsia="宋体" w:cs="宋体"/>
                <w:sz w:val="21"/>
                <w:szCs w:val="21"/>
              </w:rPr>
            </w:pPr>
            <w:r>
              <w:rPr>
                <w:rFonts w:ascii="宋体" w:hAnsi="宋体" w:eastAsia="宋体" w:cs="宋体"/>
                <w:spacing w:val="9"/>
                <w:sz w:val="21"/>
                <w:szCs w:val="21"/>
              </w:rPr>
              <w:t>易燃易爆、有毒有害介质泄漏报</w:t>
            </w:r>
          </w:p>
          <w:p w14:paraId="4BDB8F51">
            <w:pPr>
              <w:spacing w:before="54" w:line="204" w:lineRule="auto"/>
              <w:ind w:left="133"/>
              <w:rPr>
                <w:rFonts w:ascii="宋体" w:hAnsi="宋体" w:eastAsia="宋体" w:cs="宋体"/>
                <w:sz w:val="21"/>
                <w:szCs w:val="21"/>
              </w:rPr>
            </w:pPr>
            <w:r>
              <w:rPr>
                <w:rFonts w:ascii="宋体" w:hAnsi="宋体" w:eastAsia="宋体" w:cs="宋体"/>
                <w:spacing w:val="17"/>
                <w:sz w:val="21"/>
                <w:szCs w:val="21"/>
              </w:rPr>
              <w:t>警等安全设施。</w:t>
            </w:r>
          </w:p>
          <w:p w14:paraId="164C87FE">
            <w:pPr>
              <w:spacing w:before="44" w:line="207" w:lineRule="auto"/>
              <w:ind w:left="583"/>
              <w:rPr>
                <w:rFonts w:ascii="宋体" w:hAnsi="宋体" w:eastAsia="宋体" w:cs="宋体"/>
                <w:sz w:val="21"/>
                <w:szCs w:val="21"/>
              </w:rPr>
            </w:pPr>
            <w:r>
              <w:rPr>
                <w:rFonts w:ascii="宋体" w:hAnsi="宋体" w:eastAsia="宋体" w:cs="宋体"/>
                <w:spacing w:val="-10"/>
                <w:sz w:val="21"/>
                <w:szCs w:val="21"/>
              </w:rPr>
              <w:t>3.《化工和危险化学品生产</w:t>
            </w:r>
          </w:p>
          <w:p w14:paraId="40AD54CB">
            <w:pPr>
              <w:spacing w:before="50" w:line="207" w:lineRule="auto"/>
              <w:ind w:left="133"/>
              <w:rPr>
                <w:rFonts w:ascii="宋体" w:hAnsi="宋体" w:eastAsia="宋体" w:cs="宋体"/>
                <w:sz w:val="21"/>
                <w:szCs w:val="21"/>
              </w:rPr>
            </w:pPr>
            <w:r>
              <w:rPr>
                <w:rFonts w:ascii="宋体" w:hAnsi="宋体" w:eastAsia="宋体" w:cs="宋体"/>
                <w:spacing w:val="10"/>
                <w:sz w:val="21"/>
                <w:szCs w:val="21"/>
              </w:rPr>
              <w:t>经营单位重大生产安全事故隐</w:t>
            </w:r>
          </w:p>
          <w:p w14:paraId="3520C751">
            <w:pPr>
              <w:spacing w:before="50" w:line="210" w:lineRule="auto"/>
              <w:ind w:left="133"/>
              <w:rPr>
                <w:rFonts w:ascii="宋体" w:hAnsi="宋体" w:eastAsia="宋体" w:cs="宋体"/>
                <w:sz w:val="21"/>
                <w:szCs w:val="21"/>
              </w:rPr>
            </w:pPr>
            <w:r>
              <w:rPr>
                <w:rFonts w:ascii="宋体" w:hAnsi="宋体" w:eastAsia="宋体" w:cs="宋体"/>
                <w:spacing w:val="18"/>
                <w:sz w:val="21"/>
                <w:szCs w:val="21"/>
              </w:rPr>
              <w:t>患判定标准(试行)》(安监总</w:t>
            </w:r>
          </w:p>
          <w:p w14:paraId="2ED40EC1">
            <w:pPr>
              <w:spacing w:before="57" w:line="203" w:lineRule="auto"/>
              <w:ind w:left="133"/>
              <w:rPr>
                <w:rFonts w:ascii="宋体" w:hAnsi="宋体" w:eastAsia="宋体" w:cs="宋体"/>
                <w:sz w:val="21"/>
                <w:szCs w:val="21"/>
              </w:rPr>
            </w:pPr>
            <w:r>
              <w:rPr>
                <w:rFonts w:ascii="宋体" w:hAnsi="宋体" w:eastAsia="宋体" w:cs="宋体"/>
                <w:spacing w:val="10"/>
                <w:sz w:val="21"/>
                <w:szCs w:val="21"/>
              </w:rPr>
              <w:t>管三〔2017〕121号)第十二条</w:t>
            </w:r>
          </w:p>
          <w:p w14:paraId="50097D4B">
            <w:pPr>
              <w:spacing w:before="45" w:line="214" w:lineRule="auto"/>
              <w:ind w:left="133"/>
              <w:rPr>
                <w:rFonts w:ascii="宋体" w:hAnsi="宋体" w:eastAsia="宋体" w:cs="宋体"/>
                <w:sz w:val="21"/>
                <w:szCs w:val="21"/>
              </w:rPr>
            </w:pPr>
            <w:r>
              <w:rPr>
                <w:rFonts w:ascii="宋体" w:hAnsi="宋体" w:eastAsia="宋体" w:cs="宋体"/>
                <w:spacing w:val="10"/>
                <w:sz w:val="21"/>
                <w:szCs w:val="21"/>
              </w:rPr>
              <w:t>涉及可燃和有毒有害气体泄漏</w:t>
            </w:r>
          </w:p>
          <w:p w14:paraId="58BFE400">
            <w:pPr>
              <w:spacing w:before="61" w:line="198" w:lineRule="auto"/>
              <w:ind w:left="133"/>
              <w:rPr>
                <w:rFonts w:ascii="宋体" w:hAnsi="宋体" w:eastAsia="宋体" w:cs="宋体"/>
                <w:spacing w:val="12"/>
                <w:sz w:val="21"/>
                <w:szCs w:val="21"/>
              </w:rPr>
            </w:pPr>
            <w:r>
              <w:rPr>
                <w:rFonts w:ascii="宋体" w:hAnsi="宋体" w:eastAsia="宋体" w:cs="宋体"/>
                <w:spacing w:val="12"/>
                <w:sz w:val="21"/>
                <w:szCs w:val="21"/>
              </w:rPr>
              <w:t>的场所未按国家标准设置检测</w:t>
            </w:r>
          </w:p>
          <w:p w14:paraId="3AD581C6">
            <w:pPr>
              <w:spacing w:before="40" w:line="206" w:lineRule="auto"/>
              <w:ind w:left="133"/>
              <w:rPr>
                <w:rFonts w:ascii="宋体" w:hAnsi="宋体" w:eastAsia="宋体" w:cs="宋体"/>
                <w:sz w:val="21"/>
                <w:szCs w:val="21"/>
              </w:rPr>
            </w:pPr>
            <w:r>
              <w:rPr>
                <w:rFonts w:ascii="宋体" w:hAnsi="宋体" w:eastAsia="宋体" w:cs="宋体"/>
                <w:spacing w:val="9"/>
                <w:sz w:val="21"/>
                <w:szCs w:val="21"/>
              </w:rPr>
              <w:t>报警装置，爆炸危险场所未按国</w:t>
            </w:r>
            <w:r>
              <w:rPr>
                <w:rFonts w:ascii="宋体" w:hAnsi="宋体" w:eastAsia="宋体" w:cs="宋体"/>
                <w:spacing w:val="10"/>
                <w:sz w:val="21"/>
                <w:szCs w:val="21"/>
              </w:rPr>
              <w:t>家标准安装使用防爆电气设备。</w:t>
            </w:r>
          </w:p>
        </w:tc>
        <w:tc>
          <w:tcPr>
            <w:tcW w:w="2891" w:type="dxa"/>
            <w:noWrap w:val="0"/>
            <w:vAlign w:val="top"/>
          </w:tcPr>
          <w:p w14:paraId="1B1A079B">
            <w:pPr>
              <w:spacing w:before="110" w:line="202" w:lineRule="auto"/>
              <w:ind w:left="135"/>
              <w:rPr>
                <w:rFonts w:ascii="宋体" w:hAnsi="宋体" w:eastAsia="宋体" w:cs="宋体"/>
                <w:spacing w:val="-1"/>
                <w:sz w:val="21"/>
                <w:szCs w:val="21"/>
              </w:rPr>
            </w:pPr>
            <w:r>
              <w:rPr>
                <w:rFonts w:ascii="宋体" w:hAnsi="宋体" w:eastAsia="宋体" w:cs="宋体"/>
                <w:spacing w:val="-1"/>
                <w:sz w:val="21"/>
                <w:szCs w:val="21"/>
              </w:rPr>
              <w:t>器；可燃气体与有毒气体</w:t>
            </w:r>
          </w:p>
          <w:p w14:paraId="5BC20582">
            <w:pPr>
              <w:spacing w:before="47" w:line="212" w:lineRule="auto"/>
              <w:ind w:left="135"/>
              <w:rPr>
                <w:rFonts w:ascii="宋体" w:hAnsi="宋体" w:eastAsia="宋体" w:cs="宋体"/>
                <w:sz w:val="21"/>
                <w:szCs w:val="21"/>
              </w:rPr>
            </w:pPr>
            <w:r>
              <w:rPr>
                <w:rFonts w:ascii="宋体" w:hAnsi="宋体" w:eastAsia="宋体" w:cs="宋体"/>
                <w:spacing w:val="1"/>
                <w:sz w:val="21"/>
                <w:szCs w:val="21"/>
              </w:rPr>
              <w:t>同时存在的多组分混合气</w:t>
            </w:r>
          </w:p>
          <w:p w14:paraId="5798E5B7">
            <w:pPr>
              <w:spacing w:before="46" w:line="210" w:lineRule="auto"/>
              <w:ind w:left="135"/>
              <w:rPr>
                <w:rFonts w:ascii="宋体" w:hAnsi="宋体" w:eastAsia="宋体" w:cs="宋体"/>
                <w:sz w:val="21"/>
                <w:szCs w:val="21"/>
              </w:rPr>
            </w:pPr>
            <w:r>
              <w:rPr>
                <w:rFonts w:ascii="宋体" w:hAnsi="宋体" w:eastAsia="宋体" w:cs="宋体"/>
                <w:spacing w:val="1"/>
                <w:sz w:val="21"/>
                <w:szCs w:val="21"/>
              </w:rPr>
              <w:t>体，泄漏时可燃气体浓度</w:t>
            </w:r>
          </w:p>
          <w:p w14:paraId="5CFDA128">
            <w:pPr>
              <w:spacing w:before="44" w:line="207" w:lineRule="auto"/>
              <w:ind w:left="135"/>
              <w:rPr>
                <w:rFonts w:ascii="宋体" w:hAnsi="宋体" w:eastAsia="宋体" w:cs="宋体"/>
                <w:sz w:val="21"/>
                <w:szCs w:val="21"/>
              </w:rPr>
            </w:pPr>
            <w:r>
              <w:rPr>
                <w:rFonts w:ascii="宋体" w:hAnsi="宋体" w:eastAsia="宋体" w:cs="宋体"/>
                <w:spacing w:val="1"/>
                <w:sz w:val="21"/>
                <w:szCs w:val="21"/>
              </w:rPr>
              <w:t>和有毒气体浓度有可能同</w:t>
            </w:r>
          </w:p>
          <w:p w14:paraId="29CFBD8C">
            <w:pPr>
              <w:spacing w:before="51" w:line="214" w:lineRule="auto"/>
              <w:ind w:left="135"/>
              <w:rPr>
                <w:rFonts w:ascii="宋体" w:hAnsi="宋体" w:eastAsia="宋体" w:cs="宋体"/>
                <w:sz w:val="21"/>
                <w:szCs w:val="21"/>
              </w:rPr>
            </w:pPr>
            <w:r>
              <w:rPr>
                <w:rFonts w:ascii="宋体" w:hAnsi="宋体" w:eastAsia="宋体" w:cs="宋体"/>
                <w:sz w:val="21"/>
                <w:szCs w:val="21"/>
              </w:rPr>
              <w:t>时达到报警设定值，应分</w:t>
            </w:r>
          </w:p>
          <w:p w14:paraId="4DF2DC31">
            <w:pPr>
              <w:spacing w:before="42" w:line="202" w:lineRule="auto"/>
              <w:ind w:left="135"/>
              <w:rPr>
                <w:rFonts w:ascii="宋体" w:hAnsi="宋体" w:eastAsia="宋体" w:cs="宋体"/>
                <w:sz w:val="21"/>
                <w:szCs w:val="21"/>
              </w:rPr>
            </w:pPr>
            <w:r>
              <w:rPr>
                <w:rFonts w:ascii="宋体" w:hAnsi="宋体" w:eastAsia="宋体" w:cs="宋体"/>
                <w:spacing w:val="1"/>
                <w:sz w:val="21"/>
                <w:szCs w:val="21"/>
              </w:rPr>
              <w:t>别设置可燃气体探测器和</w:t>
            </w:r>
          </w:p>
          <w:p w14:paraId="19B08523">
            <w:pPr>
              <w:spacing w:before="37" w:line="219" w:lineRule="auto"/>
              <w:ind w:left="135"/>
              <w:rPr>
                <w:rFonts w:ascii="宋体" w:hAnsi="宋体" w:eastAsia="宋体" w:cs="宋体"/>
                <w:sz w:val="21"/>
                <w:szCs w:val="21"/>
              </w:rPr>
            </w:pPr>
            <w:r>
              <w:rPr>
                <w:rFonts w:ascii="宋体" w:hAnsi="宋体" w:eastAsia="宋体" w:cs="宋体"/>
                <w:spacing w:val="14"/>
                <w:sz w:val="21"/>
                <w:szCs w:val="21"/>
              </w:rPr>
              <w:t>有毒气体探测器。</w:t>
            </w:r>
          </w:p>
        </w:tc>
        <w:tc>
          <w:tcPr>
            <w:tcW w:w="2907" w:type="dxa"/>
            <w:noWrap w:val="0"/>
            <w:vAlign w:val="top"/>
          </w:tcPr>
          <w:p w14:paraId="03CE4DC8">
            <w:pPr>
              <w:spacing w:before="70" w:line="219" w:lineRule="auto"/>
              <w:ind w:left="147"/>
              <w:rPr>
                <w:rFonts w:ascii="宋体" w:hAnsi="宋体" w:eastAsia="宋体" w:cs="宋体"/>
                <w:spacing w:val="-5"/>
                <w:sz w:val="21"/>
                <w:szCs w:val="21"/>
              </w:rPr>
            </w:pPr>
            <w:r>
              <w:rPr>
                <w:rFonts w:ascii="宋体" w:hAnsi="宋体" w:eastAsia="宋体" w:cs="宋体"/>
                <w:spacing w:val="-5"/>
                <w:sz w:val="21"/>
                <w:szCs w:val="21"/>
              </w:rPr>
              <w:t>任：</w:t>
            </w:r>
          </w:p>
          <w:p w14:paraId="7BCE63EB">
            <w:pPr>
              <w:spacing w:before="29" w:line="221" w:lineRule="auto"/>
              <w:ind w:left="697"/>
              <w:rPr>
                <w:rFonts w:ascii="宋体" w:hAnsi="宋体" w:eastAsia="宋体" w:cs="宋体"/>
                <w:sz w:val="21"/>
                <w:szCs w:val="21"/>
              </w:rPr>
            </w:pPr>
            <w:r>
              <w:rPr>
                <w:rFonts w:ascii="宋体" w:hAnsi="宋体" w:eastAsia="宋体" w:cs="宋体"/>
                <w:spacing w:val="12"/>
                <w:sz w:val="21"/>
                <w:szCs w:val="21"/>
              </w:rPr>
              <w:t>(二)安全设备的安</w:t>
            </w:r>
          </w:p>
          <w:p w14:paraId="6F4560BC">
            <w:pPr>
              <w:spacing w:before="44" w:line="211" w:lineRule="auto"/>
              <w:ind w:left="147"/>
              <w:rPr>
                <w:rFonts w:ascii="宋体" w:hAnsi="宋体" w:eastAsia="宋体" w:cs="宋体"/>
                <w:sz w:val="21"/>
                <w:szCs w:val="21"/>
              </w:rPr>
            </w:pPr>
            <w:r>
              <w:rPr>
                <w:rFonts w:ascii="宋体" w:hAnsi="宋体" w:eastAsia="宋体" w:cs="宋体"/>
                <w:spacing w:val="1"/>
                <w:sz w:val="21"/>
                <w:szCs w:val="21"/>
              </w:rPr>
              <w:t>装、使用、检测、改造和</w:t>
            </w:r>
          </w:p>
          <w:p w14:paraId="693DB683">
            <w:pPr>
              <w:spacing w:before="44" w:line="207" w:lineRule="auto"/>
              <w:ind w:left="147"/>
              <w:rPr>
                <w:rFonts w:ascii="宋体" w:hAnsi="宋体" w:eastAsia="宋体" w:cs="宋体"/>
                <w:sz w:val="21"/>
                <w:szCs w:val="21"/>
              </w:rPr>
            </w:pPr>
            <w:r>
              <w:rPr>
                <w:rFonts w:ascii="宋体" w:hAnsi="宋体" w:eastAsia="宋体" w:cs="宋体"/>
                <w:spacing w:val="21"/>
                <w:sz w:val="21"/>
                <w:szCs w:val="21"/>
              </w:rPr>
              <w:t>报废不符合国家标准或</w:t>
            </w:r>
          </w:p>
          <w:p w14:paraId="294C5279">
            <w:pPr>
              <w:spacing w:before="62" w:line="206" w:lineRule="auto"/>
              <w:ind w:left="147"/>
              <w:rPr>
                <w:rFonts w:ascii="宋体" w:hAnsi="宋体" w:eastAsia="宋体" w:cs="宋体"/>
                <w:sz w:val="21"/>
                <w:szCs w:val="21"/>
              </w:rPr>
            </w:pPr>
            <w:r>
              <w:rPr>
                <w:rFonts w:ascii="宋体" w:hAnsi="宋体" w:eastAsia="宋体" w:cs="宋体"/>
                <w:spacing w:val="17"/>
                <w:sz w:val="21"/>
                <w:szCs w:val="21"/>
              </w:rPr>
              <w:t>者行业标准的；</w:t>
            </w:r>
          </w:p>
          <w:p w14:paraId="5C8B18BF">
            <w:pPr>
              <w:spacing w:before="42" w:line="202" w:lineRule="auto"/>
              <w:ind w:left="717"/>
              <w:rPr>
                <w:rFonts w:ascii="宋体" w:hAnsi="宋体" w:eastAsia="宋体" w:cs="宋体"/>
                <w:sz w:val="21"/>
                <w:szCs w:val="21"/>
              </w:rPr>
            </w:pPr>
            <w:r>
              <w:rPr>
                <w:rFonts w:ascii="宋体" w:hAnsi="宋体" w:eastAsia="宋体" w:cs="宋体"/>
                <w:spacing w:val="14"/>
                <w:sz w:val="21"/>
                <w:szCs w:val="21"/>
              </w:rPr>
              <w:t>(三)未对安全设备</w:t>
            </w:r>
          </w:p>
          <w:p w14:paraId="4F0F75FB">
            <w:pPr>
              <w:spacing w:before="66" w:line="202" w:lineRule="auto"/>
              <w:ind w:left="147"/>
              <w:rPr>
                <w:rFonts w:ascii="宋体" w:hAnsi="宋体" w:eastAsia="宋体" w:cs="宋体"/>
                <w:sz w:val="21"/>
                <w:szCs w:val="21"/>
              </w:rPr>
            </w:pPr>
            <w:r>
              <w:rPr>
                <w:rFonts w:ascii="宋体" w:hAnsi="宋体" w:eastAsia="宋体" w:cs="宋体"/>
                <w:spacing w:val="1"/>
                <w:sz w:val="21"/>
                <w:szCs w:val="21"/>
              </w:rPr>
              <w:t>进行经常性维护、保养和</w:t>
            </w:r>
          </w:p>
          <w:p w14:paraId="06CE76D9">
            <w:pPr>
              <w:spacing w:before="27" w:line="218" w:lineRule="auto"/>
              <w:ind w:left="147"/>
              <w:rPr>
                <w:rFonts w:ascii="宋体" w:hAnsi="宋体" w:eastAsia="宋体" w:cs="宋体"/>
                <w:sz w:val="21"/>
                <w:szCs w:val="21"/>
              </w:rPr>
            </w:pPr>
            <w:r>
              <w:rPr>
                <w:rFonts w:ascii="宋体" w:hAnsi="宋体" w:eastAsia="宋体" w:cs="宋体"/>
                <w:spacing w:val="20"/>
                <w:sz w:val="21"/>
                <w:szCs w:val="21"/>
              </w:rPr>
              <w:t>定期检测的；</w:t>
            </w:r>
          </w:p>
          <w:p w14:paraId="094DC22A">
            <w:pPr>
              <w:spacing w:before="57" w:line="209" w:lineRule="auto"/>
              <w:ind w:left="697"/>
              <w:rPr>
                <w:rFonts w:ascii="宋体" w:hAnsi="宋体" w:eastAsia="宋体" w:cs="宋体"/>
                <w:sz w:val="21"/>
                <w:szCs w:val="21"/>
              </w:rPr>
            </w:pPr>
            <w:r>
              <w:rPr>
                <w:rFonts w:ascii="宋体" w:hAnsi="宋体" w:eastAsia="宋体" w:cs="宋体"/>
                <w:spacing w:val="12"/>
                <w:sz w:val="21"/>
                <w:szCs w:val="21"/>
              </w:rPr>
              <w:t>(四)关闭、破坏直</w:t>
            </w:r>
          </w:p>
          <w:p w14:paraId="40F9F062">
            <w:pPr>
              <w:spacing w:before="47" w:line="223" w:lineRule="auto"/>
              <w:ind w:left="147"/>
              <w:rPr>
                <w:rFonts w:ascii="宋体" w:hAnsi="宋体" w:eastAsia="宋体" w:cs="宋体"/>
                <w:sz w:val="21"/>
                <w:szCs w:val="21"/>
              </w:rPr>
            </w:pPr>
            <w:r>
              <w:rPr>
                <w:rFonts w:ascii="宋体" w:hAnsi="宋体" w:eastAsia="宋体" w:cs="宋体"/>
                <w:spacing w:val="14"/>
                <w:sz w:val="21"/>
                <w:szCs w:val="21"/>
              </w:rPr>
              <w:t>接关系生产安全的监控、</w:t>
            </w:r>
          </w:p>
          <w:p w14:paraId="18E5EC65">
            <w:pPr>
              <w:spacing w:before="52" w:line="227" w:lineRule="auto"/>
              <w:ind w:left="147"/>
              <w:rPr>
                <w:rFonts w:ascii="宋体" w:hAnsi="宋体" w:eastAsia="宋体" w:cs="宋体"/>
                <w:sz w:val="21"/>
                <w:szCs w:val="21"/>
              </w:rPr>
            </w:pPr>
            <w:r>
              <w:rPr>
                <w:rFonts w:ascii="宋体" w:hAnsi="宋体" w:eastAsia="宋体" w:cs="宋体"/>
                <w:spacing w:val="14"/>
                <w:sz w:val="21"/>
                <w:szCs w:val="21"/>
              </w:rPr>
              <w:t>报警、防护、救生设备、</w:t>
            </w:r>
          </w:p>
          <w:p w14:paraId="08C16E93">
            <w:pPr>
              <w:spacing w:before="57" w:line="210" w:lineRule="auto"/>
              <w:ind w:left="147"/>
              <w:rPr>
                <w:rFonts w:ascii="宋体" w:hAnsi="宋体" w:eastAsia="宋体" w:cs="宋体"/>
                <w:sz w:val="21"/>
                <w:szCs w:val="21"/>
              </w:rPr>
            </w:pPr>
            <w:r>
              <w:rPr>
                <w:rFonts w:ascii="宋体" w:hAnsi="宋体" w:eastAsia="宋体" w:cs="宋体"/>
                <w:spacing w:val="14"/>
                <w:sz w:val="21"/>
                <w:szCs w:val="21"/>
              </w:rPr>
              <w:t>设施，或者篡改、隐瞒、</w:t>
            </w:r>
          </w:p>
          <w:p w14:paraId="74C85CEF">
            <w:pPr>
              <w:spacing w:before="38" w:line="209" w:lineRule="auto"/>
              <w:ind w:left="147"/>
              <w:rPr>
                <w:rFonts w:ascii="宋体" w:hAnsi="宋体" w:eastAsia="宋体" w:cs="宋体"/>
                <w:sz w:val="21"/>
                <w:szCs w:val="21"/>
              </w:rPr>
            </w:pPr>
            <w:r>
              <w:rPr>
                <w:rFonts w:ascii="宋体" w:hAnsi="宋体" w:eastAsia="宋体" w:cs="宋体"/>
                <w:spacing w:val="23"/>
                <w:sz w:val="21"/>
                <w:szCs w:val="21"/>
              </w:rPr>
              <w:t>销毁其相关数据、信息</w:t>
            </w:r>
          </w:p>
          <w:p w14:paraId="438F97EF">
            <w:pPr>
              <w:spacing w:before="42" w:line="204" w:lineRule="auto"/>
              <w:ind w:left="147"/>
              <w:rPr>
                <w:rFonts w:ascii="宋体" w:hAnsi="宋体" w:eastAsia="宋体" w:cs="宋体"/>
                <w:sz w:val="21"/>
                <w:szCs w:val="21"/>
              </w:rPr>
            </w:pPr>
            <w:r>
              <w:rPr>
                <w:rFonts w:ascii="宋体" w:hAnsi="宋体" w:eastAsia="宋体" w:cs="宋体"/>
                <w:spacing w:val="-15"/>
                <w:sz w:val="21"/>
                <w:szCs w:val="21"/>
              </w:rPr>
              <w:t>的。</w:t>
            </w:r>
          </w:p>
        </w:tc>
        <w:tc>
          <w:tcPr>
            <w:tcW w:w="989" w:type="dxa"/>
            <w:noWrap w:val="0"/>
            <w:vAlign w:val="top"/>
          </w:tcPr>
          <w:p w14:paraId="061E2B77">
            <w:pPr>
              <w:rPr>
                <w:rFonts w:ascii="Arial"/>
                <w:sz w:val="21"/>
                <w:szCs w:val="21"/>
              </w:rPr>
            </w:pPr>
          </w:p>
        </w:tc>
      </w:tr>
    </w:tbl>
    <w:p w14:paraId="0F275009"/>
    <w:p w14:paraId="253000E1"/>
    <w:p w14:paraId="4B66D788">
      <w:pPr>
        <w:spacing w:line="6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29"/>
        <w:gridCol w:w="4071"/>
        <w:gridCol w:w="2304"/>
        <w:gridCol w:w="3016"/>
        <w:gridCol w:w="1066"/>
      </w:tblGrid>
      <w:tr w14:paraId="5A99A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74" w:type="dxa"/>
            <w:noWrap w:val="0"/>
            <w:vAlign w:val="top"/>
          </w:tcPr>
          <w:p w14:paraId="0826EB1E">
            <w:pPr>
              <w:spacing w:before="21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29" w:type="dxa"/>
            <w:noWrap w:val="0"/>
            <w:vAlign w:val="top"/>
          </w:tcPr>
          <w:p w14:paraId="126A03F8">
            <w:pPr>
              <w:spacing w:before="71" w:line="219" w:lineRule="auto"/>
              <w:ind w:left="624"/>
              <w:rPr>
                <w:rFonts w:ascii="宋体" w:hAnsi="宋体" w:eastAsia="宋体" w:cs="宋体"/>
                <w:b/>
                <w:bCs/>
                <w:sz w:val="24"/>
                <w:szCs w:val="24"/>
              </w:rPr>
            </w:pPr>
            <w:r>
              <w:rPr>
                <w:rFonts w:ascii="宋体" w:hAnsi="宋体" w:eastAsia="宋体" w:cs="宋体"/>
                <w:b/>
                <w:bCs/>
                <w:spacing w:val="-5"/>
                <w:sz w:val="24"/>
                <w:szCs w:val="24"/>
              </w:rPr>
              <w:t>执法检查</w:t>
            </w:r>
          </w:p>
          <w:p w14:paraId="1D554A73">
            <w:pPr>
              <w:spacing w:before="58" w:line="192" w:lineRule="auto"/>
              <w:ind w:left="380"/>
              <w:rPr>
                <w:rFonts w:ascii="宋体" w:hAnsi="宋体" w:eastAsia="宋体" w:cs="宋体"/>
                <w:b/>
                <w:bCs/>
                <w:sz w:val="24"/>
                <w:szCs w:val="24"/>
              </w:rPr>
            </w:pPr>
            <w:r>
              <w:rPr>
                <w:rFonts w:ascii="宋体" w:hAnsi="宋体" w:eastAsia="宋体" w:cs="宋体"/>
                <w:b/>
                <w:bCs/>
                <w:spacing w:val="2"/>
                <w:sz w:val="24"/>
                <w:szCs w:val="24"/>
              </w:rPr>
              <w:t>重点事项内容</w:t>
            </w:r>
          </w:p>
        </w:tc>
        <w:tc>
          <w:tcPr>
            <w:tcW w:w="4071" w:type="dxa"/>
            <w:noWrap w:val="0"/>
            <w:vAlign w:val="top"/>
          </w:tcPr>
          <w:p w14:paraId="37C82E7F">
            <w:pPr>
              <w:spacing w:before="213" w:line="219" w:lineRule="auto"/>
              <w:ind w:left="1022"/>
              <w:rPr>
                <w:rFonts w:ascii="宋体" w:hAnsi="宋体" w:eastAsia="宋体" w:cs="宋体"/>
                <w:b/>
                <w:bCs/>
                <w:sz w:val="24"/>
                <w:szCs w:val="24"/>
              </w:rPr>
            </w:pPr>
            <w:r>
              <w:rPr>
                <w:rFonts w:ascii="宋体" w:hAnsi="宋体" w:eastAsia="宋体" w:cs="宋体"/>
                <w:b/>
                <w:bCs/>
                <w:spacing w:val="2"/>
                <w:sz w:val="24"/>
                <w:szCs w:val="24"/>
              </w:rPr>
              <w:t>执法检查依据</w:t>
            </w:r>
          </w:p>
        </w:tc>
        <w:tc>
          <w:tcPr>
            <w:tcW w:w="2304" w:type="dxa"/>
            <w:noWrap w:val="0"/>
            <w:vAlign w:val="top"/>
          </w:tcPr>
          <w:p w14:paraId="39F1DBF7">
            <w:pPr>
              <w:spacing w:before="75" w:line="220" w:lineRule="auto"/>
              <w:ind w:left="824"/>
              <w:rPr>
                <w:rFonts w:ascii="宋体" w:hAnsi="宋体" w:eastAsia="宋体" w:cs="宋体"/>
                <w:b/>
                <w:bCs/>
                <w:sz w:val="24"/>
                <w:szCs w:val="24"/>
              </w:rPr>
            </w:pPr>
            <w:r>
              <w:rPr>
                <w:rFonts w:ascii="宋体" w:hAnsi="宋体" w:eastAsia="宋体" w:cs="宋体"/>
                <w:b/>
                <w:bCs/>
                <w:spacing w:val="-2"/>
                <w:sz w:val="24"/>
                <w:szCs w:val="24"/>
              </w:rPr>
              <w:t>有关规范性</w:t>
            </w:r>
          </w:p>
          <w:p w14:paraId="46EAE75B">
            <w:pPr>
              <w:spacing w:before="52" w:line="192" w:lineRule="auto"/>
              <w:ind w:left="584"/>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3016" w:type="dxa"/>
            <w:noWrap w:val="0"/>
            <w:vAlign w:val="top"/>
          </w:tcPr>
          <w:p w14:paraId="25CE676C">
            <w:pPr>
              <w:spacing w:before="213" w:line="219" w:lineRule="auto"/>
              <w:ind w:left="947"/>
              <w:rPr>
                <w:rFonts w:ascii="宋体" w:hAnsi="宋体" w:eastAsia="宋体" w:cs="宋体"/>
                <w:b/>
                <w:bCs/>
                <w:sz w:val="24"/>
                <w:szCs w:val="24"/>
              </w:rPr>
            </w:pPr>
            <w:r>
              <w:rPr>
                <w:rFonts w:ascii="宋体" w:hAnsi="宋体" w:eastAsia="宋体" w:cs="宋体"/>
                <w:b/>
                <w:bCs/>
                <w:spacing w:val="13"/>
                <w:sz w:val="24"/>
                <w:szCs w:val="24"/>
              </w:rPr>
              <w:t>处罚依据</w:t>
            </w:r>
          </w:p>
        </w:tc>
        <w:tc>
          <w:tcPr>
            <w:tcW w:w="1066" w:type="dxa"/>
            <w:noWrap w:val="0"/>
            <w:vAlign w:val="top"/>
          </w:tcPr>
          <w:p w14:paraId="4508B38F">
            <w:pPr>
              <w:spacing w:before="216" w:line="221" w:lineRule="auto"/>
              <w:ind w:left="388"/>
              <w:rPr>
                <w:rFonts w:ascii="宋体" w:hAnsi="宋体" w:eastAsia="宋体" w:cs="宋体"/>
                <w:b/>
                <w:bCs/>
                <w:sz w:val="24"/>
                <w:szCs w:val="24"/>
              </w:rPr>
            </w:pPr>
            <w:r>
              <w:rPr>
                <w:rFonts w:ascii="宋体" w:hAnsi="宋体" w:eastAsia="宋体" w:cs="宋体"/>
                <w:b/>
                <w:bCs/>
                <w:spacing w:val="6"/>
                <w:sz w:val="24"/>
                <w:szCs w:val="24"/>
              </w:rPr>
              <w:t>备注</w:t>
            </w:r>
          </w:p>
        </w:tc>
      </w:tr>
      <w:tr w14:paraId="77BE4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1" w:hRule="atLeast"/>
          <w:jc w:val="center"/>
        </w:trPr>
        <w:tc>
          <w:tcPr>
            <w:tcW w:w="874" w:type="dxa"/>
            <w:noWrap w:val="0"/>
            <w:vAlign w:val="top"/>
          </w:tcPr>
          <w:p w14:paraId="7595A750">
            <w:pPr>
              <w:rPr>
                <w:rFonts w:ascii="Arial"/>
                <w:sz w:val="21"/>
                <w:szCs w:val="21"/>
              </w:rPr>
            </w:pPr>
          </w:p>
          <w:p w14:paraId="1FA0F539">
            <w:pPr>
              <w:spacing w:line="241" w:lineRule="auto"/>
              <w:rPr>
                <w:rFonts w:ascii="Arial"/>
                <w:sz w:val="21"/>
                <w:szCs w:val="21"/>
              </w:rPr>
            </w:pPr>
          </w:p>
          <w:p w14:paraId="4CB068C8">
            <w:pPr>
              <w:spacing w:line="241" w:lineRule="auto"/>
              <w:rPr>
                <w:rFonts w:ascii="Arial"/>
                <w:sz w:val="21"/>
                <w:szCs w:val="21"/>
              </w:rPr>
            </w:pPr>
          </w:p>
          <w:p w14:paraId="64B42E74">
            <w:pPr>
              <w:spacing w:line="241" w:lineRule="auto"/>
              <w:rPr>
                <w:rFonts w:ascii="Arial"/>
                <w:sz w:val="21"/>
                <w:szCs w:val="21"/>
              </w:rPr>
            </w:pPr>
          </w:p>
          <w:p w14:paraId="0C8268C3">
            <w:pPr>
              <w:spacing w:line="241" w:lineRule="auto"/>
              <w:rPr>
                <w:rFonts w:ascii="Arial"/>
                <w:sz w:val="21"/>
                <w:szCs w:val="21"/>
              </w:rPr>
            </w:pPr>
          </w:p>
          <w:p w14:paraId="2328E164">
            <w:pPr>
              <w:spacing w:line="241" w:lineRule="auto"/>
              <w:rPr>
                <w:rFonts w:ascii="Arial"/>
                <w:sz w:val="21"/>
                <w:szCs w:val="21"/>
              </w:rPr>
            </w:pPr>
          </w:p>
          <w:p w14:paraId="09EA94AA">
            <w:pPr>
              <w:spacing w:line="241" w:lineRule="auto"/>
              <w:rPr>
                <w:rFonts w:ascii="Arial"/>
                <w:sz w:val="21"/>
                <w:szCs w:val="21"/>
              </w:rPr>
            </w:pPr>
          </w:p>
          <w:p w14:paraId="50F573C5">
            <w:pPr>
              <w:spacing w:line="241" w:lineRule="auto"/>
              <w:rPr>
                <w:rFonts w:ascii="Arial"/>
                <w:sz w:val="21"/>
                <w:szCs w:val="21"/>
              </w:rPr>
            </w:pPr>
          </w:p>
          <w:p w14:paraId="13948186">
            <w:pPr>
              <w:spacing w:line="241" w:lineRule="auto"/>
              <w:rPr>
                <w:rFonts w:ascii="Arial"/>
                <w:sz w:val="21"/>
                <w:szCs w:val="21"/>
              </w:rPr>
            </w:pPr>
          </w:p>
          <w:p w14:paraId="4CA9A929">
            <w:pPr>
              <w:spacing w:line="241" w:lineRule="auto"/>
              <w:rPr>
                <w:rFonts w:ascii="Arial"/>
                <w:sz w:val="21"/>
                <w:szCs w:val="21"/>
              </w:rPr>
            </w:pPr>
          </w:p>
          <w:p w14:paraId="72831C6C">
            <w:pPr>
              <w:spacing w:line="241" w:lineRule="auto"/>
              <w:rPr>
                <w:rFonts w:ascii="Arial"/>
                <w:sz w:val="21"/>
                <w:szCs w:val="21"/>
              </w:rPr>
            </w:pPr>
          </w:p>
          <w:p w14:paraId="569126D8">
            <w:pPr>
              <w:spacing w:line="241" w:lineRule="auto"/>
              <w:rPr>
                <w:rFonts w:ascii="Arial"/>
                <w:sz w:val="21"/>
                <w:szCs w:val="21"/>
              </w:rPr>
            </w:pPr>
          </w:p>
          <w:p w14:paraId="4E510562">
            <w:pPr>
              <w:spacing w:line="241" w:lineRule="auto"/>
              <w:rPr>
                <w:rFonts w:ascii="Arial"/>
                <w:sz w:val="21"/>
                <w:szCs w:val="21"/>
              </w:rPr>
            </w:pPr>
          </w:p>
          <w:p w14:paraId="575BD23F">
            <w:pPr>
              <w:spacing w:line="241" w:lineRule="auto"/>
              <w:rPr>
                <w:rFonts w:ascii="Arial"/>
                <w:sz w:val="21"/>
                <w:szCs w:val="21"/>
              </w:rPr>
            </w:pPr>
          </w:p>
          <w:p w14:paraId="09821091">
            <w:pPr>
              <w:spacing w:before="78" w:line="183" w:lineRule="auto"/>
              <w:ind w:left="305"/>
              <w:rPr>
                <w:rFonts w:ascii="宋体" w:hAnsi="宋体" w:eastAsia="宋体" w:cs="宋体"/>
                <w:sz w:val="21"/>
                <w:szCs w:val="21"/>
              </w:rPr>
            </w:pPr>
            <w:r>
              <w:rPr>
                <w:rFonts w:ascii="宋体" w:hAnsi="宋体" w:eastAsia="宋体" w:cs="宋体"/>
                <w:spacing w:val="-4"/>
                <w:sz w:val="21"/>
                <w:szCs w:val="21"/>
              </w:rPr>
              <w:t>2</w:t>
            </w:r>
            <w:r>
              <w:rPr>
                <w:rFonts w:hint="eastAsia" w:ascii="宋体" w:hAnsi="宋体" w:eastAsia="宋体" w:cs="宋体"/>
                <w:spacing w:val="-4"/>
                <w:sz w:val="21"/>
                <w:szCs w:val="21"/>
                <w:lang w:val="en-US" w:eastAsia="zh-CN"/>
              </w:rPr>
              <w:t>1</w:t>
            </w:r>
          </w:p>
        </w:tc>
        <w:tc>
          <w:tcPr>
            <w:tcW w:w="2229" w:type="dxa"/>
            <w:noWrap w:val="0"/>
            <w:vAlign w:val="top"/>
          </w:tcPr>
          <w:p w14:paraId="0E9BF4B1">
            <w:pPr>
              <w:spacing w:line="245" w:lineRule="auto"/>
              <w:rPr>
                <w:rFonts w:ascii="Arial"/>
                <w:sz w:val="21"/>
                <w:szCs w:val="21"/>
              </w:rPr>
            </w:pPr>
          </w:p>
          <w:p w14:paraId="7925F4F9">
            <w:pPr>
              <w:spacing w:line="245" w:lineRule="auto"/>
              <w:rPr>
                <w:rFonts w:ascii="Arial"/>
                <w:sz w:val="21"/>
                <w:szCs w:val="21"/>
              </w:rPr>
            </w:pPr>
          </w:p>
          <w:p w14:paraId="50A474C3">
            <w:pPr>
              <w:spacing w:line="245" w:lineRule="auto"/>
              <w:rPr>
                <w:rFonts w:ascii="Arial"/>
                <w:sz w:val="21"/>
                <w:szCs w:val="21"/>
              </w:rPr>
            </w:pPr>
          </w:p>
          <w:p w14:paraId="06AEA7DD">
            <w:pPr>
              <w:spacing w:line="245" w:lineRule="auto"/>
              <w:rPr>
                <w:rFonts w:ascii="Arial"/>
                <w:sz w:val="21"/>
                <w:szCs w:val="21"/>
              </w:rPr>
            </w:pPr>
          </w:p>
          <w:p w14:paraId="54A57A30">
            <w:pPr>
              <w:spacing w:line="245" w:lineRule="auto"/>
              <w:rPr>
                <w:rFonts w:ascii="Arial"/>
                <w:sz w:val="21"/>
                <w:szCs w:val="21"/>
              </w:rPr>
            </w:pPr>
          </w:p>
          <w:p w14:paraId="6F12A2CE">
            <w:pPr>
              <w:spacing w:line="245" w:lineRule="auto"/>
              <w:rPr>
                <w:rFonts w:ascii="Arial"/>
                <w:sz w:val="21"/>
                <w:szCs w:val="21"/>
              </w:rPr>
            </w:pPr>
          </w:p>
          <w:p w14:paraId="68194F44">
            <w:pPr>
              <w:spacing w:line="246" w:lineRule="auto"/>
              <w:rPr>
                <w:rFonts w:ascii="Arial"/>
                <w:sz w:val="21"/>
                <w:szCs w:val="21"/>
              </w:rPr>
            </w:pPr>
          </w:p>
          <w:p w14:paraId="099CDD6E">
            <w:pPr>
              <w:spacing w:line="246" w:lineRule="auto"/>
              <w:rPr>
                <w:rFonts w:ascii="Arial"/>
                <w:sz w:val="21"/>
                <w:szCs w:val="21"/>
              </w:rPr>
            </w:pPr>
          </w:p>
          <w:p w14:paraId="05FA0F42">
            <w:pPr>
              <w:spacing w:line="246" w:lineRule="auto"/>
              <w:rPr>
                <w:rFonts w:ascii="Arial"/>
                <w:sz w:val="21"/>
                <w:szCs w:val="21"/>
              </w:rPr>
            </w:pPr>
          </w:p>
          <w:p w14:paraId="60744845">
            <w:pPr>
              <w:spacing w:before="78" w:line="244" w:lineRule="auto"/>
              <w:ind w:left="111" w:right="38" w:firstLine="29"/>
              <w:jc w:val="both"/>
              <w:rPr>
                <w:rFonts w:ascii="宋体" w:hAnsi="宋体" w:eastAsia="宋体" w:cs="宋体"/>
                <w:sz w:val="21"/>
                <w:szCs w:val="21"/>
              </w:rPr>
            </w:pPr>
            <w:r>
              <w:rPr>
                <w:rFonts w:ascii="宋体" w:hAnsi="宋体" w:eastAsia="宋体" w:cs="宋体"/>
                <w:spacing w:val="1"/>
                <w:sz w:val="21"/>
                <w:szCs w:val="21"/>
              </w:rPr>
              <w:t>未制定动火、受限</w:t>
            </w:r>
            <w:r>
              <w:rPr>
                <w:rFonts w:ascii="宋体" w:hAnsi="宋体" w:eastAsia="宋体" w:cs="宋体"/>
                <w:spacing w:val="5"/>
                <w:sz w:val="21"/>
                <w:szCs w:val="21"/>
              </w:rPr>
              <w:t>空间等特殊作业管</w:t>
            </w:r>
            <w:r>
              <w:rPr>
                <w:rFonts w:ascii="宋体" w:hAnsi="宋体" w:eastAsia="宋体" w:cs="宋体"/>
                <w:spacing w:val="4"/>
                <w:sz w:val="21"/>
                <w:szCs w:val="21"/>
              </w:rPr>
              <w:t>理制度；特殊作业</w:t>
            </w:r>
            <w:r>
              <w:rPr>
                <w:rFonts w:ascii="宋体" w:hAnsi="宋体" w:eastAsia="宋体" w:cs="宋体"/>
                <w:spacing w:val="18"/>
                <w:sz w:val="21"/>
                <w:szCs w:val="21"/>
              </w:rPr>
              <w:t>未履行许可手续；</w:t>
            </w:r>
            <w:r>
              <w:rPr>
                <w:rFonts w:ascii="宋体" w:hAnsi="宋体" w:eastAsia="宋体" w:cs="宋体"/>
                <w:spacing w:val="5"/>
                <w:sz w:val="21"/>
                <w:szCs w:val="21"/>
              </w:rPr>
              <w:t>动火、受限空间作业未按规定进行气</w:t>
            </w:r>
            <w:r>
              <w:rPr>
                <w:rFonts w:ascii="宋体" w:hAnsi="宋体" w:eastAsia="宋体" w:cs="宋体"/>
                <w:spacing w:val="2"/>
                <w:sz w:val="21"/>
                <w:szCs w:val="21"/>
              </w:rPr>
              <w:t>体分析；作业过程</w:t>
            </w:r>
            <w:r>
              <w:rPr>
                <w:rFonts w:ascii="宋体" w:hAnsi="宋体" w:eastAsia="宋体" w:cs="宋体"/>
                <w:spacing w:val="24"/>
                <w:sz w:val="21"/>
                <w:szCs w:val="21"/>
              </w:rPr>
              <w:t>无人监护。</w:t>
            </w:r>
          </w:p>
        </w:tc>
        <w:tc>
          <w:tcPr>
            <w:tcW w:w="4071" w:type="dxa"/>
            <w:noWrap w:val="0"/>
            <w:vAlign w:val="top"/>
          </w:tcPr>
          <w:p w14:paraId="5F9DED8F">
            <w:pPr>
              <w:spacing w:before="94" w:line="252" w:lineRule="auto"/>
              <w:ind w:left="121" w:firstLine="497"/>
              <w:rPr>
                <w:rFonts w:ascii="宋体" w:hAnsi="宋体" w:eastAsia="宋体" w:cs="宋体"/>
                <w:sz w:val="21"/>
                <w:szCs w:val="21"/>
              </w:rPr>
            </w:pPr>
            <w:r>
              <w:rPr>
                <w:rFonts w:ascii="宋体" w:hAnsi="宋体" w:eastAsia="宋体" w:cs="宋体"/>
                <w:spacing w:val="-3"/>
                <w:sz w:val="21"/>
                <w:szCs w:val="21"/>
              </w:rPr>
              <w:t>1.《中华人民共和国安全生</w:t>
            </w:r>
            <w:r>
              <w:rPr>
                <w:rFonts w:ascii="宋体" w:hAnsi="宋体" w:eastAsia="宋体" w:cs="宋体"/>
                <w:spacing w:val="7"/>
                <w:sz w:val="21"/>
                <w:szCs w:val="21"/>
              </w:rPr>
              <w:t>产法》第四十三条生产经营单</w:t>
            </w:r>
            <w:r>
              <w:rPr>
                <w:rFonts w:ascii="宋体" w:hAnsi="宋体" w:eastAsia="宋体" w:cs="宋体"/>
                <w:spacing w:val="9"/>
                <w:sz w:val="21"/>
                <w:szCs w:val="21"/>
              </w:rPr>
              <w:t>位进行爆破、吊装、动火、临时</w:t>
            </w:r>
            <w:r>
              <w:rPr>
                <w:rFonts w:ascii="宋体" w:hAnsi="宋体" w:eastAsia="宋体" w:cs="宋体"/>
                <w:spacing w:val="21"/>
                <w:sz w:val="21"/>
                <w:szCs w:val="21"/>
              </w:rPr>
              <w:t>用电以及国务院应急管理部门</w:t>
            </w:r>
            <w:r>
              <w:rPr>
                <w:rFonts w:ascii="宋体" w:hAnsi="宋体" w:eastAsia="宋体" w:cs="宋体"/>
                <w:spacing w:val="18"/>
                <w:sz w:val="21"/>
                <w:szCs w:val="21"/>
              </w:rPr>
              <w:t>会同国务院有关部门规定的其</w:t>
            </w:r>
            <w:r>
              <w:rPr>
                <w:rFonts w:ascii="宋体" w:hAnsi="宋体" w:eastAsia="宋体" w:cs="宋体"/>
                <w:spacing w:val="11"/>
                <w:sz w:val="21"/>
                <w:szCs w:val="21"/>
              </w:rPr>
              <w:t>他危险作业，应当安排专门人员</w:t>
            </w:r>
            <w:r>
              <w:rPr>
                <w:rFonts w:ascii="宋体" w:hAnsi="宋体" w:eastAsia="宋体" w:cs="宋体"/>
                <w:spacing w:val="8"/>
                <w:sz w:val="21"/>
                <w:szCs w:val="21"/>
              </w:rPr>
              <w:t>进行现场安全管理，确保操作规</w:t>
            </w:r>
            <w:r>
              <w:rPr>
                <w:rFonts w:ascii="宋体" w:hAnsi="宋体" w:eastAsia="宋体" w:cs="宋体"/>
                <w:spacing w:val="17"/>
                <w:sz w:val="21"/>
                <w:szCs w:val="21"/>
              </w:rPr>
              <w:t>程的遵守和安全措施的落实。</w:t>
            </w:r>
          </w:p>
          <w:p w14:paraId="6AD21A3A">
            <w:pPr>
              <w:spacing w:before="43" w:line="239" w:lineRule="auto"/>
              <w:ind w:left="121" w:firstLine="480"/>
              <w:rPr>
                <w:rFonts w:ascii="宋体" w:hAnsi="宋体" w:eastAsia="宋体" w:cs="宋体"/>
                <w:sz w:val="21"/>
                <w:szCs w:val="21"/>
              </w:rPr>
            </w:pPr>
            <w:r>
              <w:rPr>
                <w:rFonts w:ascii="宋体" w:hAnsi="宋体" w:eastAsia="宋体" w:cs="宋体"/>
                <w:spacing w:val="-11"/>
                <w:sz w:val="21"/>
                <w:szCs w:val="21"/>
              </w:rPr>
              <w:t>2.《危险化学品生产企业安</w:t>
            </w:r>
            <w:r>
              <w:rPr>
                <w:rFonts w:ascii="宋体" w:hAnsi="宋体" w:eastAsia="宋体" w:cs="宋体"/>
                <w:spacing w:val="1"/>
                <w:sz w:val="21"/>
                <w:szCs w:val="21"/>
              </w:rPr>
              <w:t>全生产许可证实施办法》(国家</w:t>
            </w:r>
            <w:r>
              <w:rPr>
                <w:rFonts w:ascii="宋体" w:hAnsi="宋体" w:eastAsia="宋体" w:cs="宋体"/>
                <w:spacing w:val="17"/>
                <w:sz w:val="21"/>
                <w:szCs w:val="21"/>
              </w:rPr>
              <w:t>安全监管总局令第41号)第十</w:t>
            </w:r>
            <w:r>
              <w:rPr>
                <w:rFonts w:ascii="宋体" w:hAnsi="宋体" w:eastAsia="宋体" w:cs="宋体"/>
                <w:spacing w:val="8"/>
                <w:sz w:val="21"/>
                <w:szCs w:val="21"/>
              </w:rPr>
              <w:t>四条第十四项企业应当根据</w:t>
            </w:r>
            <w:r>
              <w:rPr>
                <w:rFonts w:ascii="宋体" w:hAnsi="宋体" w:eastAsia="宋体" w:cs="宋体"/>
                <w:sz w:val="21"/>
                <w:szCs w:val="21"/>
              </w:rPr>
              <w:t>化工工艺、装置、设施等实际情</w:t>
            </w:r>
            <w:r>
              <w:rPr>
                <w:rFonts w:ascii="宋体" w:hAnsi="宋体" w:eastAsia="宋体" w:cs="宋体"/>
                <w:spacing w:val="1"/>
                <w:sz w:val="21"/>
                <w:szCs w:val="21"/>
              </w:rPr>
              <w:t>况，制定完善下列主要安全生产</w:t>
            </w:r>
            <w:r>
              <w:rPr>
                <w:rFonts w:ascii="宋体" w:hAnsi="宋体" w:eastAsia="宋体" w:cs="宋体"/>
                <w:spacing w:val="24"/>
                <w:sz w:val="21"/>
                <w:szCs w:val="21"/>
              </w:rPr>
              <w:t>规章制度：</w:t>
            </w:r>
          </w:p>
          <w:p w14:paraId="0CAC8B4A">
            <w:pPr>
              <w:spacing w:before="58" w:line="245" w:lineRule="auto"/>
              <w:ind w:left="121" w:firstLine="589"/>
              <w:rPr>
                <w:rFonts w:ascii="宋体" w:hAnsi="宋体" w:eastAsia="宋体" w:cs="宋体"/>
                <w:sz w:val="21"/>
                <w:szCs w:val="21"/>
              </w:rPr>
            </w:pPr>
            <w:r>
              <w:rPr>
                <w:rFonts w:ascii="宋体" w:hAnsi="宋体" w:eastAsia="宋体" w:cs="宋体"/>
                <w:spacing w:val="11"/>
                <w:sz w:val="21"/>
                <w:szCs w:val="21"/>
              </w:rPr>
              <w:t>(十四)动火、进入受限空间、吊装、高处、盲板抽堵、动</w:t>
            </w:r>
            <w:r>
              <w:rPr>
                <w:rFonts w:ascii="宋体" w:hAnsi="宋体" w:eastAsia="宋体" w:cs="宋体"/>
                <w:spacing w:val="10"/>
                <w:sz w:val="21"/>
                <w:szCs w:val="21"/>
              </w:rPr>
              <w:t>土、断路、设备检维修等作业安</w:t>
            </w:r>
            <w:r>
              <w:rPr>
                <w:rFonts w:ascii="宋体" w:hAnsi="宋体" w:eastAsia="宋体" w:cs="宋体"/>
                <w:spacing w:val="29"/>
                <w:sz w:val="21"/>
                <w:szCs w:val="21"/>
              </w:rPr>
              <w:t>全管理制度。</w:t>
            </w:r>
          </w:p>
          <w:p w14:paraId="51553774">
            <w:pPr>
              <w:spacing w:before="57" w:line="238" w:lineRule="auto"/>
              <w:ind w:left="121" w:right="44" w:firstLine="450"/>
              <w:rPr>
                <w:rFonts w:ascii="宋体" w:hAnsi="宋体" w:eastAsia="宋体" w:cs="宋体"/>
                <w:sz w:val="21"/>
                <w:szCs w:val="21"/>
              </w:rPr>
            </w:pPr>
            <w:r>
              <w:rPr>
                <w:rFonts w:ascii="宋体" w:hAnsi="宋体" w:eastAsia="宋体" w:cs="宋体"/>
                <w:spacing w:val="-1"/>
                <w:sz w:val="21"/>
                <w:szCs w:val="21"/>
              </w:rPr>
              <w:t>3.《化工和危险化学品生产</w:t>
            </w:r>
            <w:r>
              <w:rPr>
                <w:rFonts w:ascii="宋体" w:hAnsi="宋体" w:eastAsia="宋体" w:cs="宋体"/>
                <w:spacing w:val="20"/>
                <w:sz w:val="21"/>
                <w:szCs w:val="21"/>
              </w:rPr>
              <w:t>经营单位重大生产安全事故隐</w:t>
            </w:r>
            <w:r>
              <w:rPr>
                <w:rFonts w:ascii="宋体" w:hAnsi="宋体" w:eastAsia="宋体" w:cs="宋体"/>
                <w:spacing w:val="27"/>
                <w:sz w:val="21"/>
                <w:szCs w:val="21"/>
              </w:rPr>
              <w:t>患判定标准(试行)》(安监总</w:t>
            </w:r>
          </w:p>
        </w:tc>
        <w:tc>
          <w:tcPr>
            <w:tcW w:w="2304" w:type="dxa"/>
            <w:noWrap w:val="0"/>
            <w:vAlign w:val="top"/>
          </w:tcPr>
          <w:p w14:paraId="1B9AAAB2">
            <w:pPr>
              <w:rPr>
                <w:rFonts w:ascii="Arial"/>
                <w:sz w:val="21"/>
                <w:szCs w:val="21"/>
              </w:rPr>
            </w:pPr>
          </w:p>
        </w:tc>
        <w:tc>
          <w:tcPr>
            <w:tcW w:w="3016" w:type="dxa"/>
            <w:noWrap w:val="0"/>
            <w:vAlign w:val="top"/>
          </w:tcPr>
          <w:p w14:paraId="5D64632F">
            <w:pPr>
              <w:spacing w:line="257" w:lineRule="auto"/>
              <w:rPr>
                <w:rFonts w:ascii="Arial"/>
                <w:sz w:val="21"/>
                <w:szCs w:val="21"/>
              </w:rPr>
            </w:pPr>
          </w:p>
          <w:p w14:paraId="2201AE3A">
            <w:pPr>
              <w:spacing w:line="258" w:lineRule="auto"/>
              <w:rPr>
                <w:rFonts w:ascii="Arial"/>
                <w:sz w:val="21"/>
                <w:szCs w:val="21"/>
              </w:rPr>
            </w:pPr>
          </w:p>
          <w:p w14:paraId="1AD62BB4">
            <w:pPr>
              <w:spacing w:line="258" w:lineRule="auto"/>
              <w:rPr>
                <w:rFonts w:ascii="Arial"/>
                <w:sz w:val="21"/>
                <w:szCs w:val="21"/>
              </w:rPr>
            </w:pPr>
          </w:p>
          <w:p w14:paraId="5A849FEF">
            <w:pPr>
              <w:spacing w:line="258" w:lineRule="auto"/>
              <w:rPr>
                <w:rFonts w:ascii="Arial"/>
                <w:sz w:val="21"/>
                <w:szCs w:val="21"/>
              </w:rPr>
            </w:pPr>
          </w:p>
          <w:p w14:paraId="381A3917">
            <w:pPr>
              <w:spacing w:line="258" w:lineRule="auto"/>
              <w:rPr>
                <w:rFonts w:ascii="Arial"/>
                <w:sz w:val="21"/>
                <w:szCs w:val="21"/>
              </w:rPr>
            </w:pPr>
          </w:p>
          <w:p w14:paraId="10F90C98">
            <w:pPr>
              <w:spacing w:before="75" w:line="254" w:lineRule="auto"/>
              <w:ind w:left="126" w:firstLine="450"/>
              <w:jc w:val="both"/>
              <w:rPr>
                <w:rFonts w:ascii="宋体" w:hAnsi="宋体" w:eastAsia="宋体" w:cs="宋体"/>
                <w:sz w:val="21"/>
                <w:szCs w:val="21"/>
              </w:rPr>
            </w:pPr>
            <w:r>
              <w:rPr>
                <w:rFonts w:ascii="宋体" w:hAnsi="宋体" w:eastAsia="宋体" w:cs="宋体"/>
                <w:spacing w:val="31"/>
                <w:sz w:val="21"/>
                <w:szCs w:val="21"/>
              </w:rPr>
              <w:t>《中华人民共和国</w:t>
            </w:r>
            <w:r>
              <w:rPr>
                <w:rFonts w:ascii="宋体" w:hAnsi="宋体" w:eastAsia="宋体" w:cs="宋体"/>
                <w:spacing w:val="6"/>
                <w:sz w:val="21"/>
                <w:szCs w:val="21"/>
              </w:rPr>
              <w:t>安全生产法》第一百零二</w:t>
            </w:r>
            <w:r>
              <w:rPr>
                <w:rFonts w:ascii="宋体" w:hAnsi="宋体" w:eastAsia="宋体" w:cs="宋体"/>
                <w:spacing w:val="19"/>
                <w:sz w:val="21"/>
                <w:szCs w:val="21"/>
              </w:rPr>
              <w:t>条生产经营单位未采</w:t>
            </w:r>
            <w:r>
              <w:rPr>
                <w:rFonts w:ascii="宋体" w:hAnsi="宋体" w:eastAsia="宋体" w:cs="宋体"/>
                <w:spacing w:val="15"/>
                <w:sz w:val="21"/>
                <w:szCs w:val="21"/>
              </w:rPr>
              <w:t>取措施消除事故隐患的，</w:t>
            </w:r>
            <w:r>
              <w:rPr>
                <w:rFonts w:ascii="宋体" w:hAnsi="宋体" w:eastAsia="宋体" w:cs="宋体"/>
                <w:spacing w:val="24"/>
                <w:sz w:val="21"/>
                <w:szCs w:val="21"/>
              </w:rPr>
              <w:t>责令立即消除或者限期</w:t>
            </w:r>
            <w:r>
              <w:rPr>
                <w:rFonts w:ascii="宋体" w:hAnsi="宋体" w:eastAsia="宋体" w:cs="宋体"/>
                <w:spacing w:val="7"/>
                <w:sz w:val="21"/>
                <w:szCs w:val="21"/>
              </w:rPr>
              <w:t>消除，处五万元以下的罚</w:t>
            </w:r>
            <w:r>
              <w:rPr>
                <w:rFonts w:ascii="宋体" w:hAnsi="宋体" w:eastAsia="宋体" w:cs="宋体"/>
                <w:spacing w:val="5"/>
                <w:sz w:val="21"/>
                <w:szCs w:val="21"/>
              </w:rPr>
              <w:t>款；生产经营单位拒不执</w:t>
            </w:r>
            <w:r>
              <w:rPr>
                <w:rFonts w:ascii="宋体" w:hAnsi="宋体" w:eastAsia="宋体" w:cs="宋体"/>
                <w:spacing w:val="25"/>
                <w:sz w:val="21"/>
                <w:szCs w:val="21"/>
              </w:rPr>
              <w:t>行的，责令停产停业整</w:t>
            </w:r>
            <w:r>
              <w:rPr>
                <w:rFonts w:ascii="宋体" w:hAnsi="宋体" w:eastAsia="宋体" w:cs="宋体"/>
                <w:spacing w:val="6"/>
                <w:sz w:val="21"/>
                <w:szCs w:val="21"/>
              </w:rPr>
              <w:t>顿，对其直接负责的主管</w:t>
            </w:r>
            <w:r>
              <w:rPr>
                <w:rFonts w:ascii="宋体" w:hAnsi="宋体" w:eastAsia="宋体" w:cs="宋体"/>
                <w:spacing w:val="25"/>
                <w:sz w:val="21"/>
                <w:szCs w:val="21"/>
              </w:rPr>
              <w:t>人员和其他直接责任人员处五万元以上十万元以下的罚款；构成犯罪</w:t>
            </w:r>
            <w:r>
              <w:rPr>
                <w:rFonts w:ascii="宋体" w:hAnsi="宋体" w:eastAsia="宋体" w:cs="宋体"/>
                <w:spacing w:val="5"/>
                <w:sz w:val="21"/>
                <w:szCs w:val="21"/>
              </w:rPr>
              <w:t>的，依照刑法有关规定追</w:t>
            </w:r>
            <w:r>
              <w:rPr>
                <w:rFonts w:ascii="宋体" w:hAnsi="宋体" w:eastAsia="宋体" w:cs="宋体"/>
                <w:spacing w:val="24"/>
                <w:sz w:val="21"/>
                <w:szCs w:val="21"/>
              </w:rPr>
              <w:t>究刑事责任。</w:t>
            </w:r>
          </w:p>
        </w:tc>
        <w:tc>
          <w:tcPr>
            <w:tcW w:w="1066" w:type="dxa"/>
            <w:noWrap w:val="0"/>
            <w:vAlign w:val="top"/>
          </w:tcPr>
          <w:p w14:paraId="1CEAC88A">
            <w:pPr>
              <w:spacing w:line="243" w:lineRule="auto"/>
              <w:rPr>
                <w:rFonts w:ascii="Arial"/>
                <w:sz w:val="21"/>
                <w:szCs w:val="21"/>
              </w:rPr>
            </w:pPr>
          </w:p>
          <w:p w14:paraId="2305F8CE">
            <w:pPr>
              <w:spacing w:line="243" w:lineRule="auto"/>
              <w:rPr>
                <w:rFonts w:ascii="Arial"/>
                <w:sz w:val="21"/>
                <w:szCs w:val="21"/>
              </w:rPr>
            </w:pPr>
          </w:p>
          <w:p w14:paraId="37FEA76C">
            <w:pPr>
              <w:spacing w:line="243" w:lineRule="auto"/>
              <w:rPr>
                <w:rFonts w:ascii="Arial"/>
                <w:sz w:val="21"/>
                <w:szCs w:val="21"/>
              </w:rPr>
            </w:pPr>
          </w:p>
          <w:p w14:paraId="7D9C72E7">
            <w:pPr>
              <w:spacing w:line="243" w:lineRule="auto"/>
              <w:rPr>
                <w:rFonts w:ascii="Arial"/>
                <w:sz w:val="21"/>
                <w:szCs w:val="21"/>
              </w:rPr>
            </w:pPr>
          </w:p>
          <w:p w14:paraId="2CA13F33">
            <w:pPr>
              <w:spacing w:line="243" w:lineRule="auto"/>
              <w:rPr>
                <w:rFonts w:ascii="Arial"/>
                <w:sz w:val="21"/>
                <w:szCs w:val="21"/>
              </w:rPr>
            </w:pPr>
          </w:p>
          <w:p w14:paraId="584037A8">
            <w:pPr>
              <w:spacing w:line="243" w:lineRule="auto"/>
              <w:rPr>
                <w:rFonts w:ascii="Arial"/>
                <w:sz w:val="21"/>
                <w:szCs w:val="21"/>
              </w:rPr>
            </w:pPr>
          </w:p>
          <w:p w14:paraId="673A73BF">
            <w:pPr>
              <w:spacing w:line="243" w:lineRule="auto"/>
              <w:rPr>
                <w:rFonts w:ascii="Arial"/>
                <w:sz w:val="21"/>
                <w:szCs w:val="21"/>
              </w:rPr>
            </w:pPr>
          </w:p>
          <w:p w14:paraId="11957B79">
            <w:pPr>
              <w:spacing w:line="243" w:lineRule="auto"/>
              <w:rPr>
                <w:rFonts w:ascii="Arial"/>
                <w:sz w:val="21"/>
                <w:szCs w:val="21"/>
              </w:rPr>
            </w:pPr>
          </w:p>
          <w:p w14:paraId="08B2B83F">
            <w:pPr>
              <w:spacing w:line="244" w:lineRule="auto"/>
              <w:rPr>
                <w:rFonts w:ascii="Arial"/>
                <w:sz w:val="21"/>
                <w:szCs w:val="21"/>
              </w:rPr>
            </w:pPr>
          </w:p>
          <w:p w14:paraId="313EDB15">
            <w:pPr>
              <w:spacing w:line="244" w:lineRule="auto"/>
              <w:rPr>
                <w:rFonts w:ascii="Arial"/>
                <w:sz w:val="21"/>
                <w:szCs w:val="21"/>
              </w:rPr>
            </w:pPr>
          </w:p>
          <w:p w14:paraId="00DC7786">
            <w:pPr>
              <w:spacing w:line="244" w:lineRule="auto"/>
              <w:rPr>
                <w:rFonts w:ascii="Arial"/>
                <w:sz w:val="21"/>
                <w:szCs w:val="21"/>
              </w:rPr>
            </w:pPr>
          </w:p>
          <w:p w14:paraId="2E30ECFE">
            <w:pPr>
              <w:spacing w:line="244" w:lineRule="auto"/>
              <w:rPr>
                <w:rFonts w:ascii="Arial"/>
                <w:sz w:val="21"/>
                <w:szCs w:val="21"/>
              </w:rPr>
            </w:pPr>
          </w:p>
          <w:p w14:paraId="6E4934DC">
            <w:pPr>
              <w:spacing w:line="244" w:lineRule="auto"/>
              <w:rPr>
                <w:rFonts w:ascii="Arial"/>
                <w:sz w:val="21"/>
                <w:szCs w:val="21"/>
              </w:rPr>
            </w:pPr>
          </w:p>
          <w:p w14:paraId="27B964E5">
            <w:pPr>
              <w:spacing w:before="78" w:line="232" w:lineRule="auto"/>
              <w:ind w:left="99" w:right="150"/>
              <w:rPr>
                <w:rFonts w:ascii="宋体" w:hAnsi="宋体" w:eastAsia="宋体" w:cs="宋体"/>
                <w:sz w:val="21"/>
                <w:szCs w:val="21"/>
              </w:rPr>
            </w:pPr>
            <w:r>
              <w:rPr>
                <w:rFonts w:ascii="宋体" w:hAnsi="宋体" w:eastAsia="宋体" w:cs="宋体"/>
                <w:spacing w:val="6"/>
                <w:sz w:val="21"/>
                <w:szCs w:val="21"/>
              </w:rPr>
              <w:t>重大隐患</w:t>
            </w:r>
            <w:r>
              <w:rPr>
                <w:rFonts w:ascii="宋体" w:hAnsi="宋体" w:eastAsia="宋体" w:cs="宋体"/>
                <w:spacing w:val="4"/>
                <w:sz w:val="21"/>
                <w:szCs w:val="21"/>
              </w:rPr>
              <w:t>管理</w:t>
            </w:r>
          </w:p>
        </w:tc>
      </w:tr>
    </w:tbl>
    <w:p w14:paraId="747145C3">
      <w:pPr>
        <w:rPr>
          <w:rFonts w:ascii="Arial"/>
          <w:sz w:val="21"/>
        </w:rPr>
      </w:pPr>
    </w:p>
    <w:p w14:paraId="06BC71CA">
      <w:pPr>
        <w:sectPr>
          <w:pgSz w:w="16840" w:h="11900"/>
          <w:pgMar w:top="1440" w:right="1080" w:bottom="1440" w:left="1080" w:header="0" w:footer="0" w:gutter="0"/>
          <w:pgNumType w:fmt="decimal"/>
          <w:cols w:space="720" w:num="1"/>
        </w:sectPr>
      </w:pPr>
    </w:p>
    <w:p w14:paraId="5A7E16AF"/>
    <w:p w14:paraId="4FDCA5A6"/>
    <w:p w14:paraId="08190F14">
      <w:pPr>
        <w:spacing w:line="240"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8"/>
        <w:gridCol w:w="3993"/>
        <w:gridCol w:w="2372"/>
        <w:gridCol w:w="2838"/>
        <w:gridCol w:w="1254"/>
      </w:tblGrid>
      <w:tr w14:paraId="03A3F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864" w:type="dxa"/>
            <w:noWrap w:val="0"/>
            <w:vAlign w:val="top"/>
          </w:tcPr>
          <w:p w14:paraId="6555E095">
            <w:pPr>
              <w:spacing w:before="22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28" w:type="dxa"/>
            <w:noWrap w:val="0"/>
            <w:vAlign w:val="top"/>
          </w:tcPr>
          <w:p w14:paraId="235FECAA">
            <w:pPr>
              <w:spacing w:before="85" w:line="219" w:lineRule="auto"/>
              <w:ind w:left="621"/>
              <w:rPr>
                <w:rFonts w:ascii="宋体" w:hAnsi="宋体" w:eastAsia="宋体" w:cs="宋体"/>
                <w:b/>
                <w:bCs/>
                <w:sz w:val="24"/>
                <w:szCs w:val="24"/>
              </w:rPr>
            </w:pPr>
            <w:r>
              <w:rPr>
                <w:rFonts w:ascii="宋体" w:hAnsi="宋体" w:eastAsia="宋体" w:cs="宋体"/>
                <w:b/>
                <w:bCs/>
                <w:spacing w:val="3"/>
                <w:sz w:val="24"/>
                <w:szCs w:val="24"/>
              </w:rPr>
              <w:t>执法检查</w:t>
            </w:r>
          </w:p>
          <w:p w14:paraId="691D9511">
            <w:pPr>
              <w:spacing w:before="54" w:line="200" w:lineRule="auto"/>
              <w:ind w:left="380"/>
              <w:rPr>
                <w:rFonts w:ascii="宋体" w:hAnsi="宋体" w:eastAsia="宋体" w:cs="宋体"/>
                <w:b/>
                <w:bCs/>
                <w:sz w:val="24"/>
                <w:szCs w:val="24"/>
              </w:rPr>
            </w:pPr>
            <w:r>
              <w:rPr>
                <w:rFonts w:ascii="宋体" w:hAnsi="宋体" w:eastAsia="宋体" w:cs="宋体"/>
                <w:b/>
                <w:bCs/>
                <w:spacing w:val="2"/>
                <w:sz w:val="24"/>
                <w:szCs w:val="24"/>
              </w:rPr>
              <w:t>重点事项内容</w:t>
            </w:r>
          </w:p>
        </w:tc>
        <w:tc>
          <w:tcPr>
            <w:tcW w:w="3993" w:type="dxa"/>
            <w:noWrap w:val="0"/>
            <w:vAlign w:val="top"/>
          </w:tcPr>
          <w:p w14:paraId="0C5D2031">
            <w:pPr>
              <w:spacing w:before="223" w:line="219" w:lineRule="auto"/>
              <w:ind w:left="1062"/>
              <w:rPr>
                <w:rFonts w:ascii="宋体" w:hAnsi="宋体" w:eastAsia="宋体" w:cs="宋体"/>
                <w:b/>
                <w:bCs/>
                <w:sz w:val="24"/>
                <w:szCs w:val="24"/>
              </w:rPr>
            </w:pPr>
            <w:r>
              <w:rPr>
                <w:rFonts w:ascii="宋体" w:hAnsi="宋体" w:eastAsia="宋体" w:cs="宋体"/>
                <w:b/>
                <w:bCs/>
                <w:spacing w:val="2"/>
                <w:sz w:val="24"/>
                <w:szCs w:val="24"/>
              </w:rPr>
              <w:t>执法检查依据</w:t>
            </w:r>
          </w:p>
        </w:tc>
        <w:tc>
          <w:tcPr>
            <w:tcW w:w="2372" w:type="dxa"/>
            <w:noWrap w:val="0"/>
            <w:vAlign w:val="top"/>
          </w:tcPr>
          <w:p w14:paraId="261B91C4">
            <w:pPr>
              <w:spacing w:before="65" w:line="220" w:lineRule="auto"/>
              <w:ind w:left="825"/>
              <w:rPr>
                <w:rFonts w:ascii="宋体" w:hAnsi="宋体" w:eastAsia="宋体" w:cs="宋体"/>
                <w:b/>
                <w:bCs/>
                <w:sz w:val="24"/>
                <w:szCs w:val="24"/>
              </w:rPr>
            </w:pPr>
            <w:r>
              <w:rPr>
                <w:rFonts w:ascii="宋体" w:hAnsi="宋体" w:eastAsia="宋体" w:cs="宋体"/>
                <w:b/>
                <w:bCs/>
                <w:spacing w:val="-2"/>
                <w:sz w:val="24"/>
                <w:szCs w:val="24"/>
              </w:rPr>
              <w:t>有关规范性</w:t>
            </w:r>
          </w:p>
          <w:p w14:paraId="2649DB64">
            <w:pPr>
              <w:spacing w:before="69" w:line="202" w:lineRule="auto"/>
              <w:ind w:left="589"/>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2838" w:type="dxa"/>
            <w:noWrap w:val="0"/>
            <w:vAlign w:val="top"/>
          </w:tcPr>
          <w:p w14:paraId="5236F169">
            <w:pPr>
              <w:spacing w:before="223" w:line="219" w:lineRule="auto"/>
              <w:ind w:left="968"/>
              <w:rPr>
                <w:rFonts w:ascii="宋体" w:hAnsi="宋体" w:eastAsia="宋体" w:cs="宋体"/>
                <w:b/>
                <w:bCs/>
                <w:sz w:val="24"/>
                <w:szCs w:val="24"/>
              </w:rPr>
            </w:pPr>
            <w:r>
              <w:rPr>
                <w:rFonts w:ascii="宋体" w:hAnsi="宋体" w:eastAsia="宋体" w:cs="宋体"/>
                <w:b/>
                <w:bCs/>
                <w:spacing w:val="8"/>
                <w:sz w:val="24"/>
                <w:szCs w:val="24"/>
              </w:rPr>
              <w:t>处罚依据</w:t>
            </w:r>
          </w:p>
        </w:tc>
        <w:tc>
          <w:tcPr>
            <w:tcW w:w="1254" w:type="dxa"/>
            <w:noWrap w:val="0"/>
            <w:vAlign w:val="top"/>
          </w:tcPr>
          <w:p w14:paraId="4B23F9C6">
            <w:pPr>
              <w:spacing w:before="222" w:line="221" w:lineRule="auto"/>
              <w:ind w:left="153"/>
              <w:rPr>
                <w:rFonts w:ascii="宋体" w:hAnsi="宋体" w:eastAsia="宋体" w:cs="宋体"/>
                <w:b/>
                <w:bCs/>
                <w:sz w:val="24"/>
                <w:szCs w:val="24"/>
              </w:rPr>
            </w:pPr>
            <w:r>
              <w:rPr>
                <w:rFonts w:ascii="宋体" w:hAnsi="宋体" w:eastAsia="宋体" w:cs="宋体"/>
                <w:b/>
                <w:bCs/>
                <w:spacing w:val="-6"/>
                <w:sz w:val="24"/>
                <w:szCs w:val="24"/>
              </w:rPr>
              <w:t>备注</w:t>
            </w:r>
          </w:p>
        </w:tc>
      </w:tr>
      <w:tr w14:paraId="361A1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5" w:hRule="atLeast"/>
          <w:jc w:val="center"/>
        </w:trPr>
        <w:tc>
          <w:tcPr>
            <w:tcW w:w="864" w:type="dxa"/>
            <w:noWrap w:val="0"/>
            <w:vAlign w:val="top"/>
          </w:tcPr>
          <w:p w14:paraId="3FE34D99">
            <w:pPr>
              <w:rPr>
                <w:rFonts w:ascii="Arial"/>
                <w:sz w:val="21"/>
              </w:rPr>
            </w:pPr>
          </w:p>
        </w:tc>
        <w:tc>
          <w:tcPr>
            <w:tcW w:w="2228" w:type="dxa"/>
            <w:noWrap w:val="0"/>
            <w:vAlign w:val="top"/>
          </w:tcPr>
          <w:p w14:paraId="39808DD4">
            <w:pPr>
              <w:rPr>
                <w:rFonts w:ascii="Arial"/>
                <w:sz w:val="21"/>
                <w:szCs w:val="21"/>
              </w:rPr>
            </w:pPr>
          </w:p>
        </w:tc>
        <w:tc>
          <w:tcPr>
            <w:tcW w:w="3993" w:type="dxa"/>
            <w:noWrap w:val="0"/>
            <w:vAlign w:val="top"/>
          </w:tcPr>
          <w:p w14:paraId="61D1C3BF">
            <w:pPr>
              <w:spacing w:before="102" w:line="245" w:lineRule="auto"/>
              <w:ind w:left="143"/>
              <w:jc w:val="both"/>
              <w:rPr>
                <w:rFonts w:ascii="宋体" w:hAnsi="宋体" w:eastAsia="宋体" w:cs="宋体"/>
                <w:sz w:val="21"/>
                <w:szCs w:val="21"/>
              </w:rPr>
            </w:pPr>
            <w:r>
              <w:rPr>
                <w:rFonts w:ascii="宋体" w:hAnsi="宋体" w:eastAsia="宋体" w:cs="宋体"/>
                <w:spacing w:val="10"/>
                <w:sz w:val="21"/>
                <w:szCs w:val="21"/>
              </w:rPr>
              <w:t>管三〔2017〕121号)第十八条</w:t>
            </w:r>
            <w:r>
              <w:rPr>
                <w:rFonts w:ascii="宋体" w:hAnsi="宋体" w:eastAsia="宋体" w:cs="宋体"/>
                <w:spacing w:val="1"/>
                <w:sz w:val="21"/>
                <w:szCs w:val="21"/>
              </w:rPr>
              <w:t>未按照国家标准制定动火、进入</w:t>
            </w:r>
            <w:r>
              <w:rPr>
                <w:rFonts w:ascii="宋体" w:hAnsi="宋体" w:eastAsia="宋体" w:cs="宋体"/>
                <w:spacing w:val="8"/>
                <w:sz w:val="21"/>
                <w:szCs w:val="21"/>
              </w:rPr>
              <w:t>受限空间等特殊作业管理制度，</w:t>
            </w:r>
            <w:r>
              <w:rPr>
                <w:rFonts w:ascii="宋体" w:hAnsi="宋体" w:eastAsia="宋体" w:cs="宋体"/>
                <w:spacing w:val="13"/>
                <w:sz w:val="21"/>
                <w:szCs w:val="21"/>
              </w:rPr>
              <w:t>或者制度未有效执行。</w:t>
            </w:r>
          </w:p>
          <w:p w14:paraId="4BB4FA51">
            <w:pPr>
              <w:spacing w:before="56" w:line="251" w:lineRule="auto"/>
              <w:ind w:left="143" w:firstLine="458"/>
              <w:jc w:val="both"/>
              <w:rPr>
                <w:rFonts w:ascii="宋体" w:hAnsi="宋体" w:eastAsia="宋体" w:cs="宋体"/>
                <w:sz w:val="21"/>
                <w:szCs w:val="21"/>
              </w:rPr>
            </w:pPr>
            <w:r>
              <w:rPr>
                <w:rFonts w:ascii="宋体" w:hAnsi="宋体" w:eastAsia="宋体" w:cs="宋体"/>
                <w:spacing w:val="-2"/>
                <w:sz w:val="21"/>
                <w:szCs w:val="21"/>
              </w:rPr>
              <w:t>4.《危险化学品企业特殊作</w:t>
            </w:r>
            <w:r>
              <w:rPr>
                <w:rFonts w:ascii="宋体" w:hAnsi="宋体" w:eastAsia="宋体" w:cs="宋体"/>
                <w:spacing w:val="10"/>
                <w:sz w:val="21"/>
                <w:szCs w:val="21"/>
              </w:rPr>
              <w:t>业安全规范》(</w:t>
            </w:r>
            <w:r>
              <w:rPr>
                <w:rFonts w:ascii="宋体" w:hAnsi="宋体" w:eastAsia="宋体" w:cs="宋体"/>
                <w:sz w:val="21"/>
                <w:szCs w:val="21"/>
              </w:rPr>
              <w:t>GB</w:t>
            </w:r>
            <w:r>
              <w:rPr>
                <w:rFonts w:ascii="宋体" w:hAnsi="宋体" w:eastAsia="宋体" w:cs="宋体"/>
                <w:spacing w:val="39"/>
                <w:sz w:val="21"/>
                <w:szCs w:val="21"/>
              </w:rPr>
              <w:t xml:space="preserve"> </w:t>
            </w:r>
            <w:r>
              <w:rPr>
                <w:rFonts w:ascii="宋体" w:hAnsi="宋体" w:eastAsia="宋体" w:cs="宋体"/>
                <w:spacing w:val="10"/>
                <w:sz w:val="21"/>
                <w:szCs w:val="21"/>
              </w:rPr>
              <w:t>30871-2022)4.6作业前，危险化学品企业</w:t>
            </w:r>
            <w:r>
              <w:rPr>
                <w:rFonts w:ascii="宋体" w:hAnsi="宋体" w:eastAsia="宋体" w:cs="宋体"/>
                <w:spacing w:val="8"/>
                <w:sz w:val="21"/>
                <w:szCs w:val="21"/>
              </w:rPr>
              <w:t>应组织办理作业审批手续，并由</w:t>
            </w:r>
            <w:r>
              <w:rPr>
                <w:rFonts w:ascii="宋体" w:hAnsi="宋体" w:eastAsia="宋体" w:cs="宋体"/>
                <w:spacing w:val="18"/>
                <w:sz w:val="21"/>
                <w:szCs w:val="21"/>
              </w:rPr>
              <w:t>相关责任人签字审批。4.10作</w:t>
            </w:r>
            <w:r>
              <w:rPr>
                <w:rFonts w:ascii="宋体" w:hAnsi="宋体" w:eastAsia="宋体" w:cs="宋体"/>
                <w:spacing w:val="9"/>
                <w:sz w:val="21"/>
                <w:szCs w:val="21"/>
              </w:rPr>
              <w:t>业期间应设监护人。5.3.1动</w:t>
            </w:r>
            <w:r>
              <w:rPr>
                <w:rFonts w:ascii="宋体" w:hAnsi="宋体" w:eastAsia="宋体" w:cs="宋体"/>
                <w:spacing w:val="12"/>
                <w:sz w:val="21"/>
                <w:szCs w:val="21"/>
              </w:rPr>
              <w:t>火作业前应进行气体分析。6.3</w:t>
            </w:r>
            <w:r>
              <w:rPr>
                <w:rFonts w:ascii="宋体" w:hAnsi="宋体" w:eastAsia="宋体" w:cs="宋体"/>
                <w:spacing w:val="8"/>
                <w:sz w:val="21"/>
                <w:szCs w:val="21"/>
              </w:rPr>
              <w:t>作业前，应确保受限空间内的气</w:t>
            </w:r>
            <w:r>
              <w:rPr>
                <w:rFonts w:ascii="宋体" w:hAnsi="宋体" w:eastAsia="宋体" w:cs="宋体"/>
                <w:spacing w:val="21"/>
                <w:sz w:val="21"/>
                <w:szCs w:val="21"/>
              </w:rPr>
              <w:t>体环境满足作业要求。</w:t>
            </w:r>
          </w:p>
        </w:tc>
        <w:tc>
          <w:tcPr>
            <w:tcW w:w="2372" w:type="dxa"/>
            <w:noWrap w:val="0"/>
            <w:vAlign w:val="top"/>
          </w:tcPr>
          <w:p w14:paraId="17336CA3">
            <w:pPr>
              <w:rPr>
                <w:rFonts w:ascii="Arial"/>
                <w:sz w:val="21"/>
                <w:szCs w:val="21"/>
              </w:rPr>
            </w:pPr>
          </w:p>
        </w:tc>
        <w:tc>
          <w:tcPr>
            <w:tcW w:w="2838" w:type="dxa"/>
            <w:noWrap w:val="0"/>
            <w:vAlign w:val="top"/>
          </w:tcPr>
          <w:p w14:paraId="78769525">
            <w:pPr>
              <w:rPr>
                <w:rFonts w:ascii="Arial"/>
                <w:sz w:val="21"/>
                <w:szCs w:val="21"/>
              </w:rPr>
            </w:pPr>
          </w:p>
        </w:tc>
        <w:tc>
          <w:tcPr>
            <w:tcW w:w="1254" w:type="dxa"/>
            <w:noWrap w:val="0"/>
            <w:vAlign w:val="top"/>
          </w:tcPr>
          <w:p w14:paraId="19DD1B1A">
            <w:pPr>
              <w:rPr>
                <w:rFonts w:ascii="Arial"/>
                <w:sz w:val="21"/>
                <w:szCs w:val="21"/>
              </w:rPr>
            </w:pPr>
          </w:p>
        </w:tc>
      </w:tr>
      <w:tr w14:paraId="0A06C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jc w:val="center"/>
        </w:trPr>
        <w:tc>
          <w:tcPr>
            <w:tcW w:w="864" w:type="dxa"/>
            <w:noWrap w:val="0"/>
            <w:vAlign w:val="top"/>
          </w:tcPr>
          <w:p w14:paraId="104B1846">
            <w:pPr>
              <w:spacing w:line="245" w:lineRule="auto"/>
              <w:rPr>
                <w:rFonts w:ascii="Arial"/>
                <w:sz w:val="21"/>
              </w:rPr>
            </w:pPr>
          </w:p>
          <w:p w14:paraId="75C58D7A">
            <w:pPr>
              <w:spacing w:line="245" w:lineRule="auto"/>
              <w:rPr>
                <w:rFonts w:ascii="Arial"/>
                <w:sz w:val="21"/>
              </w:rPr>
            </w:pPr>
          </w:p>
          <w:p w14:paraId="71969A8D">
            <w:pPr>
              <w:spacing w:line="245" w:lineRule="auto"/>
              <w:rPr>
                <w:rFonts w:ascii="Arial"/>
                <w:sz w:val="21"/>
              </w:rPr>
            </w:pPr>
          </w:p>
          <w:p w14:paraId="04173C02">
            <w:pPr>
              <w:spacing w:line="245" w:lineRule="auto"/>
              <w:rPr>
                <w:rFonts w:ascii="Arial"/>
                <w:sz w:val="21"/>
              </w:rPr>
            </w:pPr>
          </w:p>
          <w:p w14:paraId="17D88B90">
            <w:pPr>
              <w:spacing w:line="245" w:lineRule="auto"/>
              <w:rPr>
                <w:rFonts w:ascii="Arial"/>
                <w:sz w:val="21"/>
              </w:rPr>
            </w:pPr>
          </w:p>
          <w:p w14:paraId="653A672D">
            <w:pPr>
              <w:spacing w:line="245" w:lineRule="auto"/>
              <w:rPr>
                <w:rFonts w:ascii="Arial"/>
                <w:sz w:val="21"/>
              </w:rPr>
            </w:pPr>
          </w:p>
          <w:p w14:paraId="5DA1C429">
            <w:pPr>
              <w:spacing w:before="78" w:line="183" w:lineRule="auto"/>
              <w:ind w:left="305"/>
              <w:rPr>
                <w:rFonts w:ascii="宋体" w:hAnsi="宋体" w:eastAsia="宋体" w:cs="宋体"/>
                <w:sz w:val="24"/>
                <w:szCs w:val="24"/>
              </w:rPr>
            </w:pPr>
            <w:r>
              <w:rPr>
                <w:rFonts w:ascii="宋体" w:hAnsi="宋体" w:eastAsia="宋体" w:cs="宋体"/>
                <w:spacing w:val="-4"/>
                <w:sz w:val="24"/>
                <w:szCs w:val="24"/>
              </w:rPr>
              <w:t>2</w:t>
            </w:r>
            <w:r>
              <w:rPr>
                <w:rFonts w:hint="eastAsia" w:ascii="宋体" w:hAnsi="宋体" w:eastAsia="宋体" w:cs="宋体"/>
                <w:spacing w:val="-4"/>
                <w:sz w:val="24"/>
                <w:szCs w:val="24"/>
                <w:lang w:val="en-US" w:eastAsia="zh-CN"/>
              </w:rPr>
              <w:t>2</w:t>
            </w:r>
          </w:p>
        </w:tc>
        <w:tc>
          <w:tcPr>
            <w:tcW w:w="2228" w:type="dxa"/>
            <w:noWrap w:val="0"/>
            <w:vAlign w:val="top"/>
          </w:tcPr>
          <w:p w14:paraId="0F38FC6E">
            <w:pPr>
              <w:spacing w:line="321" w:lineRule="auto"/>
              <w:rPr>
                <w:rFonts w:ascii="Arial"/>
                <w:sz w:val="21"/>
                <w:szCs w:val="21"/>
              </w:rPr>
            </w:pPr>
          </w:p>
          <w:p w14:paraId="4A6AD13C">
            <w:pPr>
              <w:spacing w:line="322" w:lineRule="auto"/>
              <w:rPr>
                <w:rFonts w:ascii="Arial"/>
                <w:sz w:val="21"/>
                <w:szCs w:val="21"/>
              </w:rPr>
            </w:pPr>
          </w:p>
          <w:p w14:paraId="06F9F75C">
            <w:pPr>
              <w:spacing w:before="78" w:line="243" w:lineRule="auto"/>
              <w:ind w:left="100" w:right="37" w:firstLine="39"/>
              <w:jc w:val="both"/>
              <w:rPr>
                <w:rFonts w:ascii="宋体" w:hAnsi="宋体" w:eastAsia="宋体" w:cs="宋体"/>
                <w:sz w:val="21"/>
                <w:szCs w:val="21"/>
              </w:rPr>
            </w:pPr>
            <w:r>
              <w:rPr>
                <w:rFonts w:ascii="宋体" w:hAnsi="宋体" w:eastAsia="宋体" w:cs="宋体"/>
                <w:spacing w:val="2"/>
                <w:sz w:val="21"/>
                <w:szCs w:val="21"/>
              </w:rPr>
              <w:t>未按国家标准分区</w:t>
            </w:r>
            <w:r>
              <w:rPr>
                <w:rFonts w:ascii="宋体" w:hAnsi="宋体" w:eastAsia="宋体" w:cs="宋体"/>
                <w:spacing w:val="6"/>
                <w:sz w:val="21"/>
                <w:szCs w:val="21"/>
              </w:rPr>
              <w:t>分类储存危险化学</w:t>
            </w:r>
            <w:r>
              <w:rPr>
                <w:rFonts w:ascii="宋体" w:hAnsi="宋体" w:eastAsia="宋体" w:cs="宋体"/>
                <w:spacing w:val="7"/>
                <w:sz w:val="21"/>
                <w:szCs w:val="21"/>
              </w:rPr>
              <w:t>品，超量、超品种</w:t>
            </w:r>
            <w:r>
              <w:rPr>
                <w:rFonts w:ascii="宋体" w:hAnsi="宋体" w:eastAsia="宋体" w:cs="宋体"/>
                <w:spacing w:val="19"/>
                <w:sz w:val="21"/>
                <w:szCs w:val="21"/>
              </w:rPr>
              <w:t>储存危险化学品，</w:t>
            </w:r>
            <w:r>
              <w:rPr>
                <w:rFonts w:ascii="宋体" w:hAnsi="宋体" w:eastAsia="宋体" w:cs="宋体"/>
                <w:spacing w:val="3"/>
                <w:sz w:val="21"/>
                <w:szCs w:val="21"/>
              </w:rPr>
              <w:t>相互禁配物质混放</w:t>
            </w:r>
            <w:r>
              <w:rPr>
                <w:rFonts w:ascii="宋体" w:hAnsi="宋体" w:eastAsia="宋体" w:cs="宋体"/>
                <w:spacing w:val="-7"/>
                <w:sz w:val="21"/>
                <w:szCs w:val="21"/>
              </w:rPr>
              <w:t>混存。</w:t>
            </w:r>
          </w:p>
        </w:tc>
        <w:tc>
          <w:tcPr>
            <w:tcW w:w="3993" w:type="dxa"/>
            <w:noWrap w:val="0"/>
            <w:vAlign w:val="top"/>
          </w:tcPr>
          <w:p w14:paraId="4A951C88">
            <w:pPr>
              <w:spacing w:before="90" w:line="254" w:lineRule="auto"/>
              <w:ind w:left="143" w:firstLine="438"/>
              <w:jc w:val="both"/>
              <w:rPr>
                <w:rFonts w:ascii="宋体" w:hAnsi="宋体" w:eastAsia="宋体" w:cs="宋体"/>
                <w:sz w:val="21"/>
                <w:szCs w:val="21"/>
              </w:rPr>
            </w:pPr>
            <w:r>
              <w:rPr>
                <w:rFonts w:ascii="宋体" w:hAnsi="宋体" w:eastAsia="宋体" w:cs="宋体"/>
                <w:spacing w:val="-2"/>
                <w:sz w:val="21"/>
                <w:szCs w:val="21"/>
              </w:rPr>
              <w:t>1.《危险化学品安全管理条</w:t>
            </w:r>
            <w:r>
              <w:rPr>
                <w:rFonts w:ascii="宋体" w:hAnsi="宋体" w:eastAsia="宋体" w:cs="宋体"/>
                <w:spacing w:val="7"/>
                <w:sz w:val="21"/>
                <w:szCs w:val="21"/>
              </w:rPr>
              <w:t>例》第二十四条危险化学品应当储存在专用仓库、专用场地或</w:t>
            </w:r>
            <w:r>
              <w:rPr>
                <w:rFonts w:ascii="宋体" w:hAnsi="宋体" w:eastAsia="宋体" w:cs="宋体"/>
                <w:spacing w:val="11"/>
                <w:sz w:val="21"/>
                <w:szCs w:val="21"/>
              </w:rPr>
              <w:t>者专用储存室(以下统称专用仓</w:t>
            </w:r>
            <w:r>
              <w:rPr>
                <w:rFonts w:ascii="宋体" w:hAnsi="宋体" w:eastAsia="宋体" w:cs="宋体"/>
                <w:spacing w:val="13"/>
                <w:sz w:val="21"/>
                <w:szCs w:val="21"/>
              </w:rPr>
              <w:t>库)内，并由专人负责管理；剧</w:t>
            </w:r>
            <w:r>
              <w:rPr>
                <w:rFonts w:ascii="宋体" w:hAnsi="宋体" w:eastAsia="宋体" w:cs="宋体"/>
                <w:spacing w:val="19"/>
                <w:sz w:val="21"/>
                <w:szCs w:val="21"/>
              </w:rPr>
              <w:t>毒化学品以及储存数量构成重</w:t>
            </w:r>
            <w:r>
              <w:rPr>
                <w:rFonts w:ascii="宋体" w:hAnsi="宋体" w:eastAsia="宋体" w:cs="宋体"/>
                <w:spacing w:val="8"/>
                <w:sz w:val="21"/>
                <w:szCs w:val="21"/>
              </w:rPr>
              <w:t>大危险源的其他危险化学品，应</w:t>
            </w:r>
            <w:r>
              <w:rPr>
                <w:rFonts w:ascii="宋体" w:hAnsi="宋体" w:eastAsia="宋体" w:cs="宋体"/>
                <w:spacing w:val="7"/>
                <w:sz w:val="21"/>
                <w:szCs w:val="21"/>
              </w:rPr>
              <w:t>当在专用仓库内单独存放，并实</w:t>
            </w:r>
            <w:r>
              <w:rPr>
                <w:rFonts w:ascii="宋体" w:hAnsi="宋体" w:eastAsia="宋体" w:cs="宋体"/>
                <w:spacing w:val="18"/>
                <w:sz w:val="21"/>
                <w:szCs w:val="21"/>
              </w:rPr>
              <w:t>行双人收发、双人保管制度。</w:t>
            </w:r>
            <w:r>
              <w:rPr>
                <w:rFonts w:ascii="宋体" w:hAnsi="宋体" w:eastAsia="宋体" w:cs="宋体"/>
                <w:spacing w:val="20"/>
                <w:sz w:val="21"/>
                <w:szCs w:val="21"/>
              </w:rPr>
              <w:t>危险化学品的储存方式、方</w:t>
            </w:r>
          </w:p>
          <w:p w14:paraId="5AC150CF">
            <w:pPr>
              <w:spacing w:before="56" w:line="193" w:lineRule="auto"/>
              <w:ind w:left="582"/>
              <w:rPr>
                <w:rFonts w:ascii="宋体" w:hAnsi="宋体" w:eastAsia="宋体" w:cs="宋体"/>
                <w:sz w:val="21"/>
                <w:szCs w:val="21"/>
              </w:rPr>
            </w:pPr>
          </w:p>
        </w:tc>
        <w:tc>
          <w:tcPr>
            <w:tcW w:w="2372" w:type="dxa"/>
            <w:noWrap w:val="0"/>
            <w:vAlign w:val="top"/>
          </w:tcPr>
          <w:p w14:paraId="2EBEDFDF">
            <w:pPr>
              <w:rPr>
                <w:rFonts w:ascii="Arial"/>
                <w:sz w:val="21"/>
                <w:szCs w:val="21"/>
              </w:rPr>
            </w:pPr>
          </w:p>
        </w:tc>
        <w:tc>
          <w:tcPr>
            <w:tcW w:w="2838" w:type="dxa"/>
            <w:noWrap w:val="0"/>
            <w:vAlign w:val="top"/>
          </w:tcPr>
          <w:p w14:paraId="7A4EF7BD">
            <w:pPr>
              <w:spacing w:before="110" w:line="250" w:lineRule="auto"/>
              <w:ind w:left="158" w:firstLine="425"/>
              <w:jc w:val="both"/>
              <w:rPr>
                <w:rFonts w:ascii="宋体" w:hAnsi="宋体" w:eastAsia="宋体" w:cs="宋体"/>
                <w:sz w:val="21"/>
                <w:szCs w:val="21"/>
              </w:rPr>
            </w:pPr>
            <w:r>
              <w:rPr>
                <w:rFonts w:ascii="宋体" w:hAnsi="宋体" w:eastAsia="宋体" w:cs="宋体"/>
                <w:spacing w:val="31"/>
                <w:sz w:val="21"/>
                <w:szCs w:val="21"/>
              </w:rPr>
              <w:t>《危险化学品安全</w:t>
            </w:r>
            <w:r>
              <w:rPr>
                <w:rFonts w:ascii="宋体" w:hAnsi="宋体" w:eastAsia="宋体" w:cs="宋体"/>
                <w:spacing w:val="3"/>
                <w:sz w:val="21"/>
                <w:szCs w:val="21"/>
              </w:rPr>
              <w:t>管理条例》第八十条第五</w:t>
            </w:r>
            <w:r>
              <w:rPr>
                <w:rFonts w:ascii="宋体" w:hAnsi="宋体" w:eastAsia="宋体" w:cs="宋体"/>
                <w:spacing w:val="1"/>
                <w:sz w:val="21"/>
                <w:szCs w:val="21"/>
              </w:rPr>
              <w:t>项生产、储存、使用危</w:t>
            </w:r>
            <w:r>
              <w:rPr>
                <w:rFonts w:ascii="宋体" w:hAnsi="宋体" w:eastAsia="宋体" w:cs="宋体"/>
                <w:spacing w:val="23"/>
                <w:sz w:val="21"/>
                <w:szCs w:val="21"/>
              </w:rPr>
              <w:t>险化学品的单位有下列</w:t>
            </w:r>
            <w:r>
              <w:rPr>
                <w:rFonts w:ascii="宋体" w:hAnsi="宋体" w:eastAsia="宋体" w:cs="宋体"/>
                <w:spacing w:val="3"/>
                <w:sz w:val="21"/>
                <w:szCs w:val="21"/>
              </w:rPr>
              <w:t>情形之一的，由安全生产</w:t>
            </w:r>
            <w:r>
              <w:rPr>
                <w:rFonts w:ascii="宋体" w:hAnsi="宋体" w:eastAsia="宋体" w:cs="宋体"/>
                <w:spacing w:val="12"/>
                <w:sz w:val="21"/>
                <w:szCs w:val="21"/>
              </w:rPr>
              <w:t>监督管理部门责令改正，</w:t>
            </w:r>
            <w:r>
              <w:rPr>
                <w:rFonts w:ascii="宋体" w:hAnsi="宋体" w:eastAsia="宋体" w:cs="宋体"/>
                <w:spacing w:val="30"/>
                <w:sz w:val="21"/>
                <w:szCs w:val="21"/>
              </w:rPr>
              <w:t>处5万元以上10万元以</w:t>
            </w:r>
            <w:r>
              <w:rPr>
                <w:rFonts w:ascii="宋体" w:hAnsi="宋体" w:eastAsia="宋体" w:cs="宋体"/>
                <w:spacing w:val="12"/>
                <w:sz w:val="21"/>
                <w:szCs w:val="21"/>
              </w:rPr>
              <w:t>下的罚款；拒不改正的，</w:t>
            </w:r>
            <w:r>
              <w:rPr>
                <w:rFonts w:ascii="宋体" w:hAnsi="宋体" w:eastAsia="宋体" w:cs="宋体"/>
                <w:spacing w:val="20"/>
                <w:sz w:val="21"/>
                <w:szCs w:val="21"/>
              </w:rPr>
              <w:t>责令停产停业整顿直至</w:t>
            </w:r>
            <w:r>
              <w:rPr>
                <w:rFonts w:ascii="宋体" w:hAnsi="宋体" w:eastAsia="宋体" w:cs="宋体"/>
                <w:spacing w:val="23"/>
                <w:sz w:val="21"/>
                <w:szCs w:val="21"/>
              </w:rPr>
              <w:t>由原发证机关吊销其相</w:t>
            </w:r>
          </w:p>
        </w:tc>
        <w:tc>
          <w:tcPr>
            <w:tcW w:w="1254" w:type="dxa"/>
            <w:noWrap w:val="0"/>
            <w:vAlign w:val="top"/>
          </w:tcPr>
          <w:p w14:paraId="6BAF212C">
            <w:pPr>
              <w:spacing w:line="259" w:lineRule="auto"/>
              <w:rPr>
                <w:rFonts w:ascii="Arial"/>
                <w:sz w:val="21"/>
                <w:szCs w:val="21"/>
              </w:rPr>
            </w:pPr>
          </w:p>
          <w:p w14:paraId="22751F9F">
            <w:pPr>
              <w:spacing w:line="260" w:lineRule="auto"/>
              <w:rPr>
                <w:rFonts w:ascii="Arial"/>
                <w:sz w:val="21"/>
                <w:szCs w:val="21"/>
              </w:rPr>
            </w:pPr>
          </w:p>
          <w:p w14:paraId="68C2EFDB">
            <w:pPr>
              <w:spacing w:line="260" w:lineRule="auto"/>
              <w:rPr>
                <w:rFonts w:ascii="Arial"/>
                <w:sz w:val="21"/>
                <w:szCs w:val="21"/>
              </w:rPr>
            </w:pPr>
          </w:p>
          <w:p w14:paraId="3434057A">
            <w:pPr>
              <w:spacing w:line="260" w:lineRule="auto"/>
              <w:rPr>
                <w:rFonts w:ascii="Arial"/>
                <w:sz w:val="21"/>
                <w:szCs w:val="21"/>
              </w:rPr>
            </w:pPr>
          </w:p>
          <w:p w14:paraId="51AB2992">
            <w:pPr>
              <w:spacing w:line="260" w:lineRule="auto"/>
              <w:rPr>
                <w:rFonts w:ascii="Arial"/>
                <w:sz w:val="21"/>
                <w:szCs w:val="21"/>
              </w:rPr>
            </w:pPr>
          </w:p>
          <w:p w14:paraId="5C9B13DD">
            <w:pPr>
              <w:spacing w:before="78" w:line="229" w:lineRule="auto"/>
              <w:ind w:left="149" w:right="109"/>
              <w:rPr>
                <w:rFonts w:ascii="宋体" w:hAnsi="宋体" w:eastAsia="宋体" w:cs="宋体"/>
                <w:sz w:val="21"/>
                <w:szCs w:val="21"/>
              </w:rPr>
            </w:pPr>
            <w:r>
              <w:rPr>
                <w:rFonts w:ascii="宋体" w:hAnsi="宋体" w:eastAsia="宋体" w:cs="宋体"/>
                <w:spacing w:val="6"/>
                <w:sz w:val="21"/>
                <w:szCs w:val="21"/>
              </w:rPr>
              <w:t>重大隐患</w:t>
            </w:r>
            <w:r>
              <w:rPr>
                <w:rFonts w:ascii="宋体" w:hAnsi="宋体" w:eastAsia="宋体" w:cs="宋体"/>
                <w:spacing w:val="4"/>
                <w:sz w:val="21"/>
                <w:szCs w:val="21"/>
              </w:rPr>
              <w:t>管理</w:t>
            </w:r>
          </w:p>
        </w:tc>
      </w:tr>
    </w:tbl>
    <w:p w14:paraId="3353FA8A"/>
    <w:p w14:paraId="664294D0"/>
    <w:p w14:paraId="23197479">
      <w:pPr>
        <w:spacing w:line="7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520"/>
        <w:gridCol w:w="3928"/>
        <w:gridCol w:w="2145"/>
        <w:gridCol w:w="2848"/>
        <w:gridCol w:w="1244"/>
      </w:tblGrid>
      <w:tr w14:paraId="2CA70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74" w:type="dxa"/>
            <w:noWrap w:val="0"/>
            <w:vAlign w:val="top"/>
          </w:tcPr>
          <w:p w14:paraId="4546AE3A">
            <w:pPr>
              <w:spacing w:before="21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520" w:type="dxa"/>
            <w:noWrap w:val="0"/>
            <w:vAlign w:val="top"/>
          </w:tcPr>
          <w:p w14:paraId="43AED5B9">
            <w:pPr>
              <w:spacing w:before="75" w:line="219" w:lineRule="auto"/>
              <w:ind w:left="620"/>
              <w:rPr>
                <w:rFonts w:ascii="宋体" w:hAnsi="宋体" w:eastAsia="宋体" w:cs="宋体"/>
                <w:b/>
                <w:bCs/>
                <w:sz w:val="24"/>
                <w:szCs w:val="24"/>
              </w:rPr>
            </w:pPr>
            <w:r>
              <w:rPr>
                <w:rFonts w:ascii="宋体" w:hAnsi="宋体" w:eastAsia="宋体" w:cs="宋体"/>
                <w:b/>
                <w:bCs/>
                <w:spacing w:val="3"/>
                <w:sz w:val="24"/>
                <w:szCs w:val="24"/>
              </w:rPr>
              <w:t>执法检查</w:t>
            </w:r>
          </w:p>
          <w:p w14:paraId="0253FDEB">
            <w:pPr>
              <w:spacing w:before="54" w:line="192" w:lineRule="auto"/>
              <w:ind w:left="380"/>
              <w:rPr>
                <w:rFonts w:ascii="宋体" w:hAnsi="宋体" w:eastAsia="宋体" w:cs="宋体"/>
                <w:b/>
                <w:bCs/>
                <w:sz w:val="24"/>
                <w:szCs w:val="24"/>
              </w:rPr>
            </w:pPr>
            <w:r>
              <w:rPr>
                <w:rFonts w:ascii="宋体" w:hAnsi="宋体" w:eastAsia="宋体" w:cs="宋体"/>
                <w:b/>
                <w:bCs/>
                <w:spacing w:val="2"/>
                <w:sz w:val="24"/>
                <w:szCs w:val="24"/>
              </w:rPr>
              <w:t>重点事项内容</w:t>
            </w:r>
          </w:p>
        </w:tc>
        <w:tc>
          <w:tcPr>
            <w:tcW w:w="3928" w:type="dxa"/>
            <w:noWrap w:val="0"/>
            <w:vAlign w:val="top"/>
          </w:tcPr>
          <w:p w14:paraId="5887EFD7">
            <w:pPr>
              <w:spacing w:before="213" w:line="219" w:lineRule="auto"/>
              <w:ind w:left="1052"/>
              <w:rPr>
                <w:rFonts w:ascii="宋体" w:hAnsi="宋体" w:eastAsia="宋体" w:cs="宋体"/>
                <w:b/>
                <w:bCs/>
                <w:sz w:val="24"/>
                <w:szCs w:val="24"/>
              </w:rPr>
            </w:pPr>
            <w:r>
              <w:rPr>
                <w:rFonts w:ascii="宋体" w:hAnsi="宋体" w:eastAsia="宋体" w:cs="宋体"/>
                <w:b/>
                <w:bCs/>
                <w:spacing w:val="2"/>
                <w:sz w:val="24"/>
                <w:szCs w:val="24"/>
              </w:rPr>
              <w:t>执法检查依据</w:t>
            </w:r>
          </w:p>
        </w:tc>
        <w:tc>
          <w:tcPr>
            <w:tcW w:w="2145" w:type="dxa"/>
            <w:noWrap w:val="0"/>
            <w:vAlign w:val="top"/>
          </w:tcPr>
          <w:p w14:paraId="63C39182">
            <w:pPr>
              <w:spacing w:before="85" w:line="220" w:lineRule="auto"/>
              <w:ind w:left="825"/>
              <w:rPr>
                <w:rFonts w:ascii="宋体" w:hAnsi="宋体" w:eastAsia="宋体" w:cs="宋体"/>
                <w:b/>
                <w:bCs/>
                <w:sz w:val="24"/>
                <w:szCs w:val="24"/>
              </w:rPr>
            </w:pPr>
            <w:r>
              <w:rPr>
                <w:rFonts w:ascii="宋体" w:hAnsi="宋体" w:eastAsia="宋体" w:cs="宋体"/>
                <w:b/>
                <w:bCs/>
                <w:spacing w:val="-2"/>
                <w:sz w:val="24"/>
                <w:szCs w:val="24"/>
              </w:rPr>
              <w:t>有关规范性</w:t>
            </w:r>
          </w:p>
          <w:p w14:paraId="3BEDA949">
            <w:pPr>
              <w:spacing w:before="42" w:line="192" w:lineRule="auto"/>
              <w:ind w:left="58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848" w:type="dxa"/>
            <w:noWrap w:val="0"/>
            <w:vAlign w:val="top"/>
          </w:tcPr>
          <w:p w14:paraId="07C82FC5">
            <w:pPr>
              <w:spacing w:before="213" w:line="219" w:lineRule="auto"/>
              <w:ind w:left="977"/>
              <w:rPr>
                <w:rFonts w:ascii="宋体" w:hAnsi="宋体" w:eastAsia="宋体" w:cs="宋体"/>
                <w:b/>
                <w:bCs/>
                <w:sz w:val="24"/>
                <w:szCs w:val="24"/>
              </w:rPr>
            </w:pPr>
            <w:r>
              <w:rPr>
                <w:rFonts w:ascii="宋体" w:hAnsi="宋体" w:eastAsia="宋体" w:cs="宋体"/>
                <w:b/>
                <w:bCs/>
                <w:spacing w:val="3"/>
                <w:sz w:val="24"/>
                <w:szCs w:val="24"/>
              </w:rPr>
              <w:t>处罚依据</w:t>
            </w:r>
          </w:p>
        </w:tc>
        <w:tc>
          <w:tcPr>
            <w:tcW w:w="1244" w:type="dxa"/>
            <w:noWrap w:val="0"/>
            <w:vAlign w:val="top"/>
          </w:tcPr>
          <w:p w14:paraId="7990AD24">
            <w:pPr>
              <w:spacing w:before="216" w:line="221" w:lineRule="auto"/>
              <w:ind w:left="379"/>
              <w:rPr>
                <w:rFonts w:ascii="宋体" w:hAnsi="宋体" w:eastAsia="宋体" w:cs="宋体"/>
                <w:b/>
                <w:bCs/>
                <w:sz w:val="24"/>
                <w:szCs w:val="24"/>
              </w:rPr>
            </w:pPr>
            <w:r>
              <w:rPr>
                <w:rFonts w:ascii="宋体" w:hAnsi="宋体" w:eastAsia="宋体" w:cs="宋体"/>
                <w:b/>
                <w:bCs/>
                <w:spacing w:val="6"/>
                <w:sz w:val="24"/>
                <w:szCs w:val="24"/>
              </w:rPr>
              <w:t>备注</w:t>
            </w:r>
          </w:p>
        </w:tc>
      </w:tr>
      <w:tr w14:paraId="4F233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7" w:hRule="atLeast"/>
          <w:jc w:val="center"/>
        </w:trPr>
        <w:tc>
          <w:tcPr>
            <w:tcW w:w="874" w:type="dxa"/>
            <w:noWrap w:val="0"/>
            <w:vAlign w:val="top"/>
          </w:tcPr>
          <w:p w14:paraId="6F2DCD9C">
            <w:pPr>
              <w:rPr>
                <w:rFonts w:ascii="Arial"/>
                <w:sz w:val="21"/>
              </w:rPr>
            </w:pPr>
          </w:p>
        </w:tc>
        <w:tc>
          <w:tcPr>
            <w:tcW w:w="2520" w:type="dxa"/>
            <w:noWrap w:val="0"/>
            <w:vAlign w:val="top"/>
          </w:tcPr>
          <w:p w14:paraId="5092BD50">
            <w:pPr>
              <w:rPr>
                <w:rFonts w:ascii="Arial"/>
                <w:sz w:val="21"/>
                <w:szCs w:val="21"/>
              </w:rPr>
            </w:pPr>
          </w:p>
        </w:tc>
        <w:tc>
          <w:tcPr>
            <w:tcW w:w="3928" w:type="dxa"/>
            <w:noWrap w:val="0"/>
            <w:vAlign w:val="top"/>
          </w:tcPr>
          <w:p w14:paraId="1B5CDF79">
            <w:pPr>
              <w:spacing w:before="111" w:line="209" w:lineRule="auto"/>
              <w:ind w:left="132"/>
              <w:jc w:val="left"/>
              <w:rPr>
                <w:rFonts w:ascii="宋体" w:hAnsi="宋体" w:eastAsia="宋体" w:cs="宋体"/>
                <w:sz w:val="21"/>
                <w:szCs w:val="21"/>
              </w:rPr>
            </w:pPr>
            <w:r>
              <w:rPr>
                <w:rFonts w:ascii="宋体" w:hAnsi="宋体" w:eastAsia="宋体" w:cs="宋体"/>
                <w:spacing w:val="10"/>
                <w:sz w:val="21"/>
                <w:szCs w:val="21"/>
              </w:rPr>
              <w:t>法以及储存数量应当符合国家标准或者国家有关规定。</w:t>
            </w:r>
          </w:p>
          <w:p w14:paraId="26476E18">
            <w:pPr>
              <w:spacing w:before="28" w:line="219" w:lineRule="auto"/>
              <w:jc w:val="left"/>
              <w:rPr>
                <w:rFonts w:ascii="宋体" w:hAnsi="宋体" w:eastAsia="宋体" w:cs="宋体"/>
                <w:sz w:val="21"/>
                <w:szCs w:val="21"/>
              </w:rPr>
            </w:pPr>
            <w:r>
              <w:rPr>
                <w:rFonts w:ascii="宋体" w:hAnsi="宋体" w:eastAsia="宋体" w:cs="宋体"/>
                <w:spacing w:val="-10"/>
                <w:sz w:val="21"/>
                <w:szCs w:val="21"/>
              </w:rPr>
              <w:t>2.《化工和危险化学品生产</w:t>
            </w:r>
            <w:r>
              <w:rPr>
                <w:rFonts w:ascii="宋体" w:hAnsi="宋体" w:eastAsia="宋体" w:cs="宋体"/>
                <w:spacing w:val="13"/>
                <w:sz w:val="21"/>
                <w:szCs w:val="21"/>
              </w:rPr>
              <w:t>经营单位重大生产安全事故隐</w:t>
            </w:r>
            <w:r>
              <w:rPr>
                <w:rFonts w:ascii="宋体" w:hAnsi="宋体" w:eastAsia="宋体" w:cs="宋体"/>
                <w:spacing w:val="18"/>
                <w:sz w:val="21"/>
                <w:szCs w:val="21"/>
              </w:rPr>
              <w:t>患判定标准(试行)》(安监总</w:t>
            </w:r>
          </w:p>
          <w:p w14:paraId="0C7E8BC7">
            <w:pPr>
              <w:spacing w:before="40" w:line="212" w:lineRule="auto"/>
              <w:ind w:left="132"/>
              <w:jc w:val="left"/>
              <w:rPr>
                <w:rFonts w:ascii="宋体" w:hAnsi="宋体" w:eastAsia="宋体" w:cs="宋体"/>
                <w:sz w:val="21"/>
                <w:szCs w:val="21"/>
              </w:rPr>
            </w:pPr>
            <w:r>
              <w:rPr>
                <w:rFonts w:ascii="宋体" w:hAnsi="宋体" w:eastAsia="宋体" w:cs="宋体"/>
                <w:spacing w:val="10"/>
                <w:sz w:val="21"/>
                <w:szCs w:val="21"/>
              </w:rPr>
              <w:t>管三〔2017〕121号)第二十条未按国家标准分区分类储存危</w:t>
            </w:r>
            <w:r>
              <w:rPr>
                <w:rFonts w:ascii="宋体" w:hAnsi="宋体" w:eastAsia="宋体" w:cs="宋体"/>
                <w:sz w:val="21"/>
                <w:szCs w:val="21"/>
              </w:rPr>
              <w:t>险化学品，超量、超品种储存危险化学品，相互禁配物质混放混</w:t>
            </w:r>
          </w:p>
          <w:p w14:paraId="16337BDF">
            <w:pPr>
              <w:spacing w:before="31" w:line="219" w:lineRule="auto"/>
              <w:ind w:left="132"/>
              <w:jc w:val="left"/>
              <w:rPr>
                <w:rFonts w:ascii="宋体" w:hAnsi="宋体" w:eastAsia="宋体" w:cs="宋体"/>
                <w:sz w:val="21"/>
                <w:szCs w:val="21"/>
              </w:rPr>
            </w:pPr>
            <w:r>
              <w:rPr>
                <w:rFonts w:ascii="宋体" w:hAnsi="宋体" w:eastAsia="宋体" w:cs="宋体"/>
                <w:spacing w:val="-5"/>
                <w:sz w:val="21"/>
                <w:szCs w:val="21"/>
              </w:rPr>
              <w:t>存。</w:t>
            </w:r>
          </w:p>
          <w:p w14:paraId="76B53420">
            <w:pPr>
              <w:spacing w:before="46" w:line="206" w:lineRule="auto"/>
              <w:jc w:val="left"/>
              <w:rPr>
                <w:rFonts w:ascii="宋体" w:hAnsi="宋体" w:eastAsia="宋体" w:cs="宋体"/>
                <w:sz w:val="21"/>
                <w:szCs w:val="21"/>
              </w:rPr>
            </w:pPr>
            <w:r>
              <w:rPr>
                <w:rFonts w:ascii="宋体" w:hAnsi="宋体" w:eastAsia="宋体" w:cs="宋体"/>
                <w:spacing w:val="-10"/>
                <w:sz w:val="21"/>
                <w:szCs w:val="21"/>
              </w:rPr>
              <w:t>3.《危险化学品仓厍储存通</w:t>
            </w:r>
            <w:r>
              <w:rPr>
                <w:rFonts w:ascii="宋体" w:hAnsi="宋体" w:eastAsia="宋体" w:cs="宋体"/>
                <w:spacing w:val="12"/>
                <w:sz w:val="21"/>
                <w:szCs w:val="21"/>
              </w:rPr>
              <w:t>则》(</w:t>
            </w:r>
            <w:r>
              <w:rPr>
                <w:rFonts w:ascii="宋体" w:hAnsi="宋体" w:eastAsia="宋体" w:cs="宋体"/>
                <w:sz w:val="21"/>
                <w:szCs w:val="21"/>
              </w:rPr>
              <w:t>GB</w:t>
            </w:r>
            <w:r>
              <w:rPr>
                <w:rFonts w:ascii="宋体" w:hAnsi="宋体" w:eastAsia="宋体" w:cs="宋体"/>
                <w:spacing w:val="12"/>
                <w:sz w:val="21"/>
                <w:szCs w:val="21"/>
              </w:rPr>
              <w:t>15603-2022,自2023</w:t>
            </w:r>
            <w:r>
              <w:rPr>
                <w:rFonts w:ascii="宋体" w:hAnsi="宋体" w:eastAsia="宋体" w:cs="宋体"/>
                <w:spacing w:val="22"/>
                <w:sz w:val="21"/>
                <w:szCs w:val="21"/>
              </w:rPr>
              <w:t>年7月1日起实施)5.3应根</w:t>
            </w:r>
          </w:p>
          <w:p w14:paraId="239C1C01">
            <w:pPr>
              <w:spacing w:before="43" w:line="209" w:lineRule="auto"/>
              <w:ind w:left="132"/>
              <w:jc w:val="left"/>
              <w:rPr>
                <w:rFonts w:ascii="宋体" w:hAnsi="宋体" w:eastAsia="宋体" w:cs="宋体"/>
                <w:sz w:val="21"/>
                <w:szCs w:val="21"/>
              </w:rPr>
            </w:pPr>
            <w:r>
              <w:rPr>
                <w:rFonts w:ascii="宋体" w:hAnsi="宋体" w:eastAsia="宋体" w:cs="宋体"/>
                <w:spacing w:val="11"/>
                <w:sz w:val="21"/>
                <w:szCs w:val="21"/>
              </w:rPr>
              <w:t>据危险化学品仓库的设计和经</w:t>
            </w:r>
            <w:r>
              <w:rPr>
                <w:rFonts w:ascii="宋体" w:hAnsi="宋体" w:eastAsia="宋体" w:cs="宋体"/>
                <w:sz w:val="21"/>
                <w:szCs w:val="21"/>
              </w:rPr>
              <w:t>营许可要求，严格控制危险化学品的储存品种、数量。5.4危</w:t>
            </w:r>
            <w:r>
              <w:rPr>
                <w:rFonts w:ascii="宋体" w:hAnsi="宋体" w:eastAsia="宋体" w:cs="宋体"/>
                <w:spacing w:val="11"/>
                <w:sz w:val="21"/>
                <w:szCs w:val="21"/>
              </w:rPr>
              <w:t>险化学品储存应满足危险化学</w:t>
            </w:r>
            <w:r>
              <w:rPr>
                <w:rFonts w:ascii="宋体" w:hAnsi="宋体" w:eastAsia="宋体" w:cs="宋体"/>
                <w:sz w:val="21"/>
                <w:szCs w:val="21"/>
              </w:rPr>
              <w:t>品分类，包装，储存方式及消防</w:t>
            </w:r>
            <w:r>
              <w:rPr>
                <w:rFonts w:ascii="宋体" w:hAnsi="宋体" w:eastAsia="宋体" w:cs="宋体"/>
                <w:spacing w:val="-1"/>
                <w:sz w:val="21"/>
                <w:szCs w:val="21"/>
              </w:rPr>
              <w:t>要求。5.5危险化学品的储存</w:t>
            </w:r>
            <w:r>
              <w:rPr>
                <w:rFonts w:ascii="宋体" w:hAnsi="宋体" w:eastAsia="宋体" w:cs="宋体"/>
                <w:spacing w:val="1"/>
                <w:sz w:val="21"/>
                <w:szCs w:val="21"/>
              </w:rPr>
              <w:t>配存，应符合附录A及其化学品</w:t>
            </w:r>
          </w:p>
          <w:p w14:paraId="5AAE79BE">
            <w:pPr>
              <w:spacing w:before="45" w:line="186" w:lineRule="auto"/>
              <w:ind w:left="132"/>
              <w:jc w:val="left"/>
              <w:rPr>
                <w:rFonts w:ascii="宋体" w:hAnsi="宋体" w:eastAsia="宋体" w:cs="宋体"/>
                <w:sz w:val="21"/>
                <w:szCs w:val="21"/>
              </w:rPr>
            </w:pPr>
            <w:r>
              <w:rPr>
                <w:rFonts w:ascii="宋体" w:hAnsi="宋体" w:eastAsia="宋体" w:cs="宋体"/>
                <w:spacing w:val="10"/>
                <w:sz w:val="21"/>
                <w:szCs w:val="21"/>
              </w:rPr>
              <w:t>安全技术说明书的要求。</w:t>
            </w:r>
          </w:p>
        </w:tc>
        <w:tc>
          <w:tcPr>
            <w:tcW w:w="2145" w:type="dxa"/>
            <w:noWrap w:val="0"/>
            <w:vAlign w:val="top"/>
          </w:tcPr>
          <w:p w14:paraId="75205F51">
            <w:pPr>
              <w:rPr>
                <w:rFonts w:ascii="Arial"/>
                <w:sz w:val="21"/>
                <w:szCs w:val="21"/>
              </w:rPr>
            </w:pPr>
          </w:p>
        </w:tc>
        <w:tc>
          <w:tcPr>
            <w:tcW w:w="2848" w:type="dxa"/>
            <w:noWrap w:val="0"/>
            <w:vAlign w:val="top"/>
          </w:tcPr>
          <w:p w14:paraId="1C767481">
            <w:pPr>
              <w:spacing w:before="80" w:line="219" w:lineRule="auto"/>
              <w:ind w:left="148"/>
              <w:rPr>
                <w:rFonts w:ascii="宋体" w:hAnsi="宋体" w:eastAsia="宋体" w:cs="宋体"/>
                <w:spacing w:val="1"/>
                <w:sz w:val="21"/>
                <w:szCs w:val="21"/>
              </w:rPr>
            </w:pPr>
            <w:r>
              <w:rPr>
                <w:rFonts w:ascii="宋体" w:hAnsi="宋体" w:eastAsia="宋体" w:cs="宋体"/>
                <w:spacing w:val="1"/>
                <w:sz w:val="21"/>
                <w:szCs w:val="21"/>
              </w:rPr>
              <w:t>关许可证件，并由工商行</w:t>
            </w:r>
          </w:p>
          <w:p w14:paraId="69B4207C">
            <w:pPr>
              <w:spacing w:before="47" w:line="202" w:lineRule="auto"/>
              <w:ind w:left="148"/>
              <w:rPr>
                <w:rFonts w:ascii="宋体" w:hAnsi="宋体" w:eastAsia="宋体" w:cs="宋体"/>
                <w:sz w:val="21"/>
                <w:szCs w:val="21"/>
              </w:rPr>
            </w:pPr>
            <w:r>
              <w:rPr>
                <w:rFonts w:ascii="宋体" w:hAnsi="宋体" w:eastAsia="宋体" w:cs="宋体"/>
                <w:spacing w:val="20"/>
                <w:sz w:val="21"/>
                <w:szCs w:val="21"/>
              </w:rPr>
              <w:t>政管理部门责令其办理</w:t>
            </w:r>
          </w:p>
          <w:p w14:paraId="122352C0">
            <w:pPr>
              <w:spacing w:before="48" w:line="212" w:lineRule="auto"/>
              <w:ind w:left="148"/>
              <w:rPr>
                <w:rFonts w:ascii="宋体" w:hAnsi="宋体" w:eastAsia="宋体" w:cs="宋体"/>
                <w:sz w:val="21"/>
                <w:szCs w:val="21"/>
              </w:rPr>
            </w:pPr>
            <w:r>
              <w:rPr>
                <w:rFonts w:ascii="宋体" w:hAnsi="宋体" w:eastAsia="宋体" w:cs="宋体"/>
                <w:spacing w:val="21"/>
                <w:sz w:val="21"/>
                <w:szCs w:val="21"/>
              </w:rPr>
              <w:t>经营范围变更登记或者</w:t>
            </w:r>
          </w:p>
          <w:p w14:paraId="1239276F">
            <w:pPr>
              <w:spacing w:before="53" w:line="212" w:lineRule="auto"/>
              <w:ind w:left="148"/>
              <w:rPr>
                <w:rFonts w:ascii="宋体" w:hAnsi="宋体" w:eastAsia="宋体" w:cs="宋体"/>
                <w:sz w:val="21"/>
                <w:szCs w:val="21"/>
              </w:rPr>
            </w:pPr>
            <w:r>
              <w:rPr>
                <w:rFonts w:ascii="宋体" w:hAnsi="宋体" w:eastAsia="宋体" w:cs="宋体"/>
                <w:spacing w:val="1"/>
                <w:sz w:val="21"/>
                <w:szCs w:val="21"/>
              </w:rPr>
              <w:t>吊销其营业执照；有关责</w:t>
            </w:r>
          </w:p>
          <w:p w14:paraId="0CA49A7A">
            <w:pPr>
              <w:spacing w:before="43" w:line="208" w:lineRule="auto"/>
              <w:ind w:left="148"/>
              <w:rPr>
                <w:rFonts w:ascii="宋体" w:hAnsi="宋体" w:eastAsia="宋体" w:cs="宋体"/>
                <w:sz w:val="21"/>
                <w:szCs w:val="21"/>
              </w:rPr>
            </w:pPr>
            <w:r>
              <w:rPr>
                <w:rFonts w:ascii="宋体" w:hAnsi="宋体" w:eastAsia="宋体" w:cs="宋体"/>
                <w:spacing w:val="-1"/>
                <w:sz w:val="21"/>
                <w:szCs w:val="21"/>
              </w:rPr>
              <w:t>任人员构成犯罪的，依法</w:t>
            </w:r>
          </w:p>
          <w:p w14:paraId="44EB4AE4">
            <w:pPr>
              <w:spacing w:before="40" w:line="212" w:lineRule="auto"/>
              <w:ind w:left="148"/>
              <w:rPr>
                <w:rFonts w:ascii="宋体" w:hAnsi="宋体" w:eastAsia="宋体" w:cs="宋体"/>
                <w:sz w:val="21"/>
                <w:szCs w:val="21"/>
              </w:rPr>
            </w:pPr>
            <w:r>
              <w:rPr>
                <w:rFonts w:ascii="宋体" w:hAnsi="宋体" w:eastAsia="宋体" w:cs="宋体"/>
                <w:spacing w:val="17"/>
                <w:sz w:val="21"/>
                <w:szCs w:val="21"/>
              </w:rPr>
              <w:t>追究刑事责任：</w:t>
            </w:r>
          </w:p>
          <w:p w14:paraId="5D844003">
            <w:pPr>
              <w:spacing w:before="45" w:line="214" w:lineRule="auto"/>
              <w:ind w:left="707"/>
              <w:rPr>
                <w:rFonts w:ascii="宋体" w:hAnsi="宋体" w:eastAsia="宋体" w:cs="宋体"/>
                <w:sz w:val="21"/>
                <w:szCs w:val="21"/>
              </w:rPr>
            </w:pPr>
            <w:r>
              <w:rPr>
                <w:rFonts w:ascii="宋体" w:hAnsi="宋体" w:eastAsia="宋体" w:cs="宋体"/>
                <w:spacing w:val="15"/>
                <w:sz w:val="21"/>
                <w:szCs w:val="21"/>
              </w:rPr>
              <w:t>(五)危险化学品的</w:t>
            </w:r>
          </w:p>
          <w:p w14:paraId="77C44859">
            <w:pPr>
              <w:spacing w:before="40" w:line="207" w:lineRule="auto"/>
              <w:ind w:left="148"/>
              <w:rPr>
                <w:rFonts w:ascii="宋体" w:hAnsi="宋体" w:eastAsia="宋体" w:cs="宋体"/>
                <w:sz w:val="21"/>
                <w:szCs w:val="21"/>
              </w:rPr>
            </w:pPr>
            <w:r>
              <w:rPr>
                <w:rFonts w:ascii="宋体" w:hAnsi="宋体" w:eastAsia="宋体" w:cs="宋体"/>
                <w:spacing w:val="-1"/>
                <w:sz w:val="21"/>
                <w:szCs w:val="21"/>
              </w:rPr>
              <w:t>储存方式、方法或者储存</w:t>
            </w:r>
          </w:p>
          <w:p w14:paraId="54657876">
            <w:pPr>
              <w:spacing w:before="50" w:line="200" w:lineRule="auto"/>
              <w:ind w:left="148"/>
              <w:rPr>
                <w:rFonts w:ascii="宋体" w:hAnsi="宋体" w:eastAsia="宋体" w:cs="宋体"/>
                <w:sz w:val="21"/>
                <w:szCs w:val="21"/>
              </w:rPr>
            </w:pPr>
            <w:r>
              <w:rPr>
                <w:rFonts w:ascii="宋体" w:hAnsi="宋体" w:eastAsia="宋体" w:cs="宋体"/>
                <w:spacing w:val="21"/>
                <w:sz w:val="21"/>
                <w:szCs w:val="21"/>
              </w:rPr>
              <w:t>数量不符合国家标准或</w:t>
            </w:r>
          </w:p>
          <w:p w14:paraId="0077C114">
            <w:pPr>
              <w:spacing w:before="71" w:line="210" w:lineRule="auto"/>
              <w:ind w:left="148"/>
              <w:rPr>
                <w:rFonts w:ascii="宋体" w:hAnsi="宋体" w:eastAsia="宋体" w:cs="宋体"/>
                <w:sz w:val="21"/>
                <w:szCs w:val="21"/>
              </w:rPr>
            </w:pPr>
            <w:r>
              <w:rPr>
                <w:rFonts w:ascii="宋体" w:hAnsi="宋体" w:eastAsia="宋体" w:cs="宋体"/>
                <w:spacing w:val="13"/>
                <w:sz w:val="21"/>
                <w:szCs w:val="21"/>
              </w:rPr>
              <w:t>者国家有关规定的。</w:t>
            </w:r>
          </w:p>
        </w:tc>
        <w:tc>
          <w:tcPr>
            <w:tcW w:w="1244" w:type="dxa"/>
            <w:noWrap w:val="0"/>
            <w:vAlign w:val="top"/>
          </w:tcPr>
          <w:p w14:paraId="1AA889BB">
            <w:pPr>
              <w:rPr>
                <w:rFonts w:ascii="Arial"/>
                <w:sz w:val="21"/>
                <w:szCs w:val="21"/>
              </w:rPr>
            </w:pPr>
          </w:p>
        </w:tc>
      </w:tr>
      <w:tr w14:paraId="11754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874" w:type="dxa"/>
            <w:noWrap w:val="0"/>
            <w:vAlign w:val="top"/>
          </w:tcPr>
          <w:p w14:paraId="5A1CF1DD">
            <w:pPr>
              <w:spacing w:before="43" w:line="209" w:lineRule="auto"/>
              <w:ind w:left="132"/>
              <w:jc w:val="left"/>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lang w:val="en-US" w:eastAsia="zh-CN"/>
              </w:rPr>
              <w:t>3</w:t>
            </w:r>
          </w:p>
        </w:tc>
        <w:tc>
          <w:tcPr>
            <w:tcW w:w="2520" w:type="dxa"/>
            <w:noWrap w:val="0"/>
            <w:vAlign w:val="top"/>
          </w:tcPr>
          <w:p w14:paraId="7872DC48">
            <w:pPr>
              <w:spacing w:before="43" w:line="209" w:lineRule="auto"/>
              <w:ind w:left="132"/>
              <w:jc w:val="left"/>
              <w:rPr>
                <w:rFonts w:ascii="宋体" w:hAnsi="宋体" w:eastAsia="宋体" w:cs="宋体"/>
                <w:sz w:val="21"/>
                <w:szCs w:val="21"/>
              </w:rPr>
            </w:pPr>
            <w:r>
              <w:rPr>
                <w:rFonts w:ascii="宋体" w:hAnsi="宋体" w:eastAsia="宋体" w:cs="宋体"/>
                <w:sz w:val="21"/>
                <w:szCs w:val="21"/>
              </w:rPr>
              <w:t>企业危险化学品安全生产风险监测预</w:t>
            </w:r>
          </w:p>
        </w:tc>
        <w:tc>
          <w:tcPr>
            <w:tcW w:w="3928" w:type="dxa"/>
            <w:noWrap w:val="0"/>
            <w:vAlign w:val="top"/>
          </w:tcPr>
          <w:p w14:paraId="32739409">
            <w:pPr>
              <w:spacing w:before="43" w:line="209" w:lineRule="auto"/>
              <w:ind w:left="132"/>
              <w:jc w:val="left"/>
              <w:rPr>
                <w:rFonts w:ascii="宋体" w:hAnsi="宋体" w:eastAsia="宋体" w:cs="宋体"/>
                <w:sz w:val="21"/>
                <w:szCs w:val="21"/>
              </w:rPr>
            </w:pPr>
            <w:r>
              <w:rPr>
                <w:rFonts w:ascii="宋体" w:hAnsi="宋体" w:eastAsia="宋体" w:cs="宋体"/>
                <w:sz w:val="21"/>
                <w:szCs w:val="21"/>
              </w:rPr>
              <w:t>1.《中华人民共和国安全生产法》第三十六条第二款生产</w:t>
            </w:r>
          </w:p>
        </w:tc>
        <w:tc>
          <w:tcPr>
            <w:tcW w:w="2145" w:type="dxa"/>
            <w:noWrap w:val="0"/>
            <w:vAlign w:val="top"/>
          </w:tcPr>
          <w:p w14:paraId="13AE93E6">
            <w:pPr>
              <w:spacing w:before="43" w:line="209" w:lineRule="auto"/>
              <w:ind w:left="132"/>
              <w:jc w:val="left"/>
              <w:rPr>
                <w:rFonts w:ascii="宋体" w:hAnsi="宋体" w:eastAsia="宋体" w:cs="宋体"/>
                <w:sz w:val="21"/>
                <w:szCs w:val="21"/>
              </w:rPr>
            </w:pPr>
          </w:p>
        </w:tc>
        <w:tc>
          <w:tcPr>
            <w:tcW w:w="2848" w:type="dxa"/>
            <w:noWrap w:val="0"/>
            <w:vAlign w:val="top"/>
          </w:tcPr>
          <w:p w14:paraId="3210A6AD">
            <w:pPr>
              <w:spacing w:before="43" w:line="209" w:lineRule="auto"/>
              <w:ind w:left="132"/>
              <w:jc w:val="left"/>
              <w:rPr>
                <w:rFonts w:ascii="宋体" w:hAnsi="宋体" w:eastAsia="宋体" w:cs="宋体"/>
                <w:sz w:val="21"/>
                <w:szCs w:val="21"/>
              </w:rPr>
            </w:pPr>
            <w:r>
              <w:rPr>
                <w:rFonts w:ascii="宋体" w:hAnsi="宋体" w:eastAsia="宋体" w:cs="宋体"/>
                <w:sz w:val="21"/>
                <w:szCs w:val="21"/>
              </w:rPr>
              <w:t>《中华人民共和国安全生产法》第九十九条</w:t>
            </w:r>
          </w:p>
        </w:tc>
        <w:tc>
          <w:tcPr>
            <w:tcW w:w="1244" w:type="dxa"/>
            <w:noWrap w:val="0"/>
            <w:vAlign w:val="top"/>
          </w:tcPr>
          <w:p w14:paraId="528EA8C7">
            <w:pPr>
              <w:spacing w:before="43" w:line="209" w:lineRule="auto"/>
              <w:ind w:left="132"/>
              <w:jc w:val="left"/>
              <w:rPr>
                <w:rFonts w:ascii="宋体" w:hAnsi="宋体" w:eastAsia="宋体" w:cs="宋体"/>
                <w:sz w:val="21"/>
                <w:szCs w:val="21"/>
              </w:rPr>
            </w:pPr>
            <w:r>
              <w:rPr>
                <w:rFonts w:ascii="宋体" w:hAnsi="宋体" w:eastAsia="宋体" w:cs="宋体"/>
                <w:sz w:val="21"/>
                <w:szCs w:val="21"/>
              </w:rPr>
              <w:t>危险化学品安全生</w:t>
            </w:r>
          </w:p>
        </w:tc>
      </w:tr>
    </w:tbl>
    <w:p w14:paraId="7333DE85">
      <w:pPr>
        <w:rPr>
          <w:rFonts w:ascii="Arial"/>
          <w:sz w:val="21"/>
        </w:rPr>
      </w:pPr>
    </w:p>
    <w:p w14:paraId="5D083078"/>
    <w:p w14:paraId="5C6B9DEF"/>
    <w:p w14:paraId="2CC8B9C5">
      <w:pPr>
        <w:spacing w:line="3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661"/>
        <w:gridCol w:w="4828"/>
        <w:gridCol w:w="2104"/>
        <w:gridCol w:w="3939"/>
        <w:gridCol w:w="912"/>
      </w:tblGrid>
      <w:tr w14:paraId="5A499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64" w:type="dxa"/>
            <w:noWrap w:val="0"/>
            <w:vAlign w:val="top"/>
          </w:tcPr>
          <w:p w14:paraId="5027B124">
            <w:pPr>
              <w:spacing w:before="21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1661" w:type="dxa"/>
            <w:noWrap w:val="0"/>
            <w:vAlign w:val="top"/>
          </w:tcPr>
          <w:p w14:paraId="6D55508D">
            <w:pPr>
              <w:spacing w:before="61" w:line="219" w:lineRule="auto"/>
              <w:ind w:left="634"/>
              <w:rPr>
                <w:rFonts w:ascii="宋体" w:hAnsi="宋体" w:eastAsia="宋体" w:cs="宋体"/>
                <w:b/>
                <w:bCs/>
                <w:sz w:val="24"/>
                <w:szCs w:val="24"/>
              </w:rPr>
            </w:pPr>
            <w:r>
              <w:rPr>
                <w:rFonts w:ascii="宋体" w:hAnsi="宋体" w:eastAsia="宋体" w:cs="宋体"/>
                <w:b/>
                <w:bCs/>
                <w:spacing w:val="-5"/>
                <w:sz w:val="24"/>
                <w:szCs w:val="24"/>
              </w:rPr>
              <w:t>执法检查</w:t>
            </w:r>
          </w:p>
          <w:p w14:paraId="1C18B91C">
            <w:pPr>
              <w:spacing w:before="44" w:line="210" w:lineRule="auto"/>
              <w:ind w:left="404"/>
              <w:rPr>
                <w:rFonts w:ascii="宋体" w:hAnsi="宋体" w:eastAsia="宋体" w:cs="宋体"/>
                <w:b/>
                <w:bCs/>
                <w:sz w:val="24"/>
                <w:szCs w:val="24"/>
              </w:rPr>
            </w:pPr>
            <w:r>
              <w:rPr>
                <w:rFonts w:ascii="宋体" w:hAnsi="宋体" w:eastAsia="宋体" w:cs="宋体"/>
                <w:b/>
                <w:bCs/>
                <w:spacing w:val="-4"/>
                <w:sz w:val="24"/>
                <w:szCs w:val="24"/>
              </w:rPr>
              <w:t>重点事项内容</w:t>
            </w:r>
          </w:p>
        </w:tc>
        <w:tc>
          <w:tcPr>
            <w:tcW w:w="4828" w:type="dxa"/>
            <w:noWrap w:val="0"/>
            <w:vAlign w:val="top"/>
          </w:tcPr>
          <w:p w14:paraId="59A4653E">
            <w:pPr>
              <w:spacing w:before="209" w:line="219" w:lineRule="auto"/>
              <w:ind w:left="1046"/>
              <w:rPr>
                <w:rFonts w:ascii="宋体" w:hAnsi="宋体" w:eastAsia="宋体" w:cs="宋体"/>
                <w:b/>
                <w:bCs/>
                <w:sz w:val="24"/>
                <w:szCs w:val="24"/>
              </w:rPr>
            </w:pPr>
            <w:r>
              <w:rPr>
                <w:rFonts w:ascii="宋体" w:hAnsi="宋体" w:eastAsia="宋体" w:cs="宋体"/>
                <w:b/>
                <w:bCs/>
                <w:spacing w:val="-4"/>
                <w:sz w:val="24"/>
                <w:szCs w:val="24"/>
              </w:rPr>
              <w:t>执法检查依据</w:t>
            </w:r>
          </w:p>
        </w:tc>
        <w:tc>
          <w:tcPr>
            <w:tcW w:w="2104" w:type="dxa"/>
            <w:noWrap w:val="0"/>
            <w:vAlign w:val="top"/>
          </w:tcPr>
          <w:p w14:paraId="4D443765">
            <w:pPr>
              <w:spacing w:before="85" w:line="220" w:lineRule="auto"/>
              <w:ind w:left="845"/>
              <w:rPr>
                <w:rFonts w:ascii="宋体" w:hAnsi="宋体" w:eastAsia="宋体" w:cs="宋体"/>
                <w:b/>
                <w:bCs/>
                <w:sz w:val="24"/>
                <w:szCs w:val="24"/>
              </w:rPr>
            </w:pPr>
            <w:r>
              <w:rPr>
                <w:rFonts w:ascii="宋体" w:hAnsi="宋体" w:eastAsia="宋体" w:cs="宋体"/>
                <w:b/>
                <w:bCs/>
                <w:spacing w:val="-2"/>
                <w:sz w:val="24"/>
                <w:szCs w:val="24"/>
              </w:rPr>
              <w:t>有关规范性</w:t>
            </w:r>
          </w:p>
          <w:p w14:paraId="34126129">
            <w:pPr>
              <w:spacing w:before="53" w:line="192" w:lineRule="auto"/>
              <w:ind w:left="596"/>
              <w:rPr>
                <w:rFonts w:ascii="宋体" w:hAnsi="宋体" w:eastAsia="宋体" w:cs="宋体"/>
                <w:b/>
                <w:bCs/>
                <w:sz w:val="23"/>
                <w:szCs w:val="23"/>
              </w:rPr>
            </w:pPr>
            <w:r>
              <w:rPr>
                <w:rFonts w:ascii="宋体" w:hAnsi="宋体" w:eastAsia="宋体" w:cs="宋体"/>
                <w:b/>
                <w:bCs/>
                <w:spacing w:val="17"/>
                <w:sz w:val="23"/>
                <w:szCs w:val="23"/>
              </w:rPr>
              <w:t>文件及标准要求</w:t>
            </w:r>
          </w:p>
        </w:tc>
        <w:tc>
          <w:tcPr>
            <w:tcW w:w="3939" w:type="dxa"/>
            <w:noWrap w:val="0"/>
            <w:vAlign w:val="top"/>
          </w:tcPr>
          <w:p w14:paraId="75BB1374">
            <w:pPr>
              <w:spacing w:before="213" w:line="219" w:lineRule="auto"/>
              <w:ind w:left="968"/>
              <w:rPr>
                <w:rFonts w:ascii="宋体" w:hAnsi="宋体" w:eastAsia="宋体" w:cs="宋体"/>
                <w:b/>
                <w:bCs/>
                <w:sz w:val="24"/>
                <w:szCs w:val="24"/>
              </w:rPr>
            </w:pPr>
            <w:r>
              <w:rPr>
                <w:rFonts w:ascii="宋体" w:hAnsi="宋体" w:eastAsia="宋体" w:cs="宋体"/>
                <w:b/>
                <w:bCs/>
                <w:spacing w:val="3"/>
                <w:sz w:val="24"/>
                <w:szCs w:val="24"/>
              </w:rPr>
              <w:t>处罚依据</w:t>
            </w:r>
          </w:p>
        </w:tc>
        <w:tc>
          <w:tcPr>
            <w:tcW w:w="912" w:type="dxa"/>
            <w:noWrap w:val="0"/>
            <w:vAlign w:val="top"/>
          </w:tcPr>
          <w:p w14:paraId="59538E37">
            <w:pPr>
              <w:spacing w:before="212" w:line="221" w:lineRule="auto"/>
              <w:ind w:left="403"/>
              <w:rPr>
                <w:rFonts w:ascii="宋体" w:hAnsi="宋体" w:eastAsia="宋体" w:cs="宋体"/>
                <w:b/>
                <w:bCs/>
                <w:sz w:val="24"/>
                <w:szCs w:val="24"/>
              </w:rPr>
            </w:pPr>
            <w:r>
              <w:rPr>
                <w:rFonts w:ascii="宋体" w:hAnsi="宋体" w:eastAsia="宋体" w:cs="宋体"/>
                <w:b/>
                <w:bCs/>
                <w:spacing w:val="-6"/>
                <w:sz w:val="24"/>
                <w:szCs w:val="24"/>
              </w:rPr>
              <w:t>备注</w:t>
            </w:r>
          </w:p>
        </w:tc>
      </w:tr>
      <w:tr w14:paraId="28D61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7" w:hRule="atLeast"/>
          <w:jc w:val="center"/>
        </w:trPr>
        <w:tc>
          <w:tcPr>
            <w:tcW w:w="864" w:type="dxa"/>
            <w:noWrap w:val="0"/>
            <w:vAlign w:val="top"/>
          </w:tcPr>
          <w:p w14:paraId="710D6A1F">
            <w:pPr>
              <w:rPr>
                <w:rFonts w:ascii="Arial"/>
                <w:sz w:val="21"/>
                <w:szCs w:val="21"/>
              </w:rPr>
            </w:pPr>
          </w:p>
        </w:tc>
        <w:tc>
          <w:tcPr>
            <w:tcW w:w="1661" w:type="dxa"/>
            <w:noWrap w:val="0"/>
            <w:vAlign w:val="top"/>
          </w:tcPr>
          <w:p w14:paraId="7FBC70CF">
            <w:pPr>
              <w:spacing w:before="93" w:line="237" w:lineRule="auto"/>
              <w:ind w:left="121" w:right="154"/>
              <w:jc w:val="both"/>
              <w:rPr>
                <w:rFonts w:ascii="宋体" w:hAnsi="宋体" w:eastAsia="宋体" w:cs="宋体"/>
                <w:sz w:val="21"/>
                <w:szCs w:val="21"/>
              </w:rPr>
            </w:pPr>
            <w:r>
              <w:rPr>
                <w:rFonts w:ascii="宋体" w:hAnsi="宋体" w:eastAsia="宋体" w:cs="宋体"/>
                <w:spacing w:val="1"/>
                <w:sz w:val="21"/>
                <w:szCs w:val="21"/>
              </w:rPr>
              <w:t>警系统现场感知监测监控设备设施未</w:t>
            </w:r>
            <w:r>
              <w:rPr>
                <w:rFonts w:ascii="宋体" w:hAnsi="宋体" w:eastAsia="宋体" w:cs="宋体"/>
                <w:spacing w:val="23"/>
                <w:sz w:val="21"/>
                <w:szCs w:val="21"/>
              </w:rPr>
              <w:t>正常运转。</w:t>
            </w:r>
          </w:p>
        </w:tc>
        <w:tc>
          <w:tcPr>
            <w:tcW w:w="4828" w:type="dxa"/>
            <w:noWrap w:val="0"/>
            <w:vAlign w:val="top"/>
          </w:tcPr>
          <w:p w14:paraId="792EBC41">
            <w:pPr>
              <w:spacing w:before="90" w:line="251" w:lineRule="auto"/>
              <w:ind w:left="122" w:firstLine="9"/>
              <w:rPr>
                <w:rFonts w:ascii="宋体" w:hAnsi="宋体" w:eastAsia="宋体" w:cs="宋体"/>
                <w:sz w:val="21"/>
                <w:szCs w:val="21"/>
              </w:rPr>
            </w:pPr>
            <w:r>
              <w:rPr>
                <w:rFonts w:ascii="宋体" w:hAnsi="宋体" w:eastAsia="宋体" w:cs="宋体"/>
                <w:spacing w:val="13"/>
                <w:sz w:val="21"/>
                <w:szCs w:val="21"/>
              </w:rPr>
              <w:t>经营单位必须对安全设备进行</w:t>
            </w:r>
            <w:r>
              <w:rPr>
                <w:rFonts w:ascii="宋体" w:hAnsi="宋体" w:eastAsia="宋体" w:cs="宋体"/>
                <w:spacing w:val="-6"/>
                <w:sz w:val="21"/>
                <w:szCs w:val="21"/>
              </w:rPr>
              <w:t>经常性维护、保养，并定期检测，</w:t>
            </w:r>
            <w:r>
              <w:rPr>
                <w:rFonts w:ascii="宋体" w:hAnsi="宋体" w:eastAsia="宋体" w:cs="宋体"/>
                <w:spacing w:val="3"/>
                <w:sz w:val="21"/>
                <w:szCs w:val="21"/>
              </w:rPr>
              <w:t>保证正常运转。维护、保养、检</w:t>
            </w:r>
            <w:r>
              <w:rPr>
                <w:rFonts w:ascii="宋体" w:hAnsi="宋体" w:eastAsia="宋体" w:cs="宋体"/>
                <w:spacing w:val="4"/>
                <w:sz w:val="21"/>
                <w:szCs w:val="21"/>
              </w:rPr>
              <w:t>测应当作好记录，并由有关人员</w:t>
            </w:r>
            <w:r>
              <w:rPr>
                <w:rFonts w:ascii="宋体" w:hAnsi="宋体" w:eastAsia="宋体" w:cs="宋体"/>
                <w:spacing w:val="-2"/>
                <w:sz w:val="21"/>
                <w:szCs w:val="21"/>
              </w:rPr>
              <w:t>签字。</w:t>
            </w:r>
          </w:p>
          <w:p w14:paraId="3B22D9FE">
            <w:pPr>
              <w:tabs>
                <w:tab w:val="left" w:pos="222"/>
              </w:tabs>
              <w:spacing w:before="59" w:line="239" w:lineRule="auto"/>
              <w:ind w:left="82" w:right="14" w:firstLine="520"/>
              <w:rPr>
                <w:rFonts w:ascii="宋体" w:hAnsi="宋体" w:eastAsia="宋体" w:cs="宋体"/>
                <w:sz w:val="21"/>
                <w:szCs w:val="21"/>
              </w:rPr>
            </w:pPr>
            <w:r>
              <w:rPr>
                <w:rFonts w:ascii="宋体" w:hAnsi="宋体" w:eastAsia="宋体" w:cs="宋体"/>
                <w:spacing w:val="-11"/>
                <w:sz w:val="21"/>
                <w:szCs w:val="21"/>
              </w:rPr>
              <w:t>2.《危险化学品建设项目安</w:t>
            </w:r>
            <w:r>
              <w:rPr>
                <w:rFonts w:ascii="宋体" w:hAnsi="宋体" w:eastAsia="宋体" w:cs="宋体"/>
                <w:spacing w:val="7"/>
                <w:sz w:val="21"/>
                <w:szCs w:val="21"/>
              </w:rPr>
              <w:t>全设施目录》(安监总危化</w:t>
            </w:r>
            <w:r>
              <w:rPr>
                <w:rFonts w:ascii="宋体" w:hAnsi="宋体" w:eastAsia="宋体" w:cs="宋体"/>
                <w:spacing w:val="11"/>
                <w:sz w:val="21"/>
                <w:szCs w:val="21"/>
              </w:rPr>
              <w:t>〔2007〕225号)预防事故设施</w:t>
            </w:r>
            <w:r>
              <w:rPr>
                <w:rFonts w:ascii="宋体" w:hAnsi="宋体" w:eastAsia="宋体" w:cs="宋体"/>
                <w:sz w:val="21"/>
                <w:szCs w:val="21"/>
              </w:rPr>
              <w:tab/>
            </w:r>
            <w:r>
              <w:rPr>
                <w:rFonts w:ascii="宋体" w:hAnsi="宋体" w:eastAsia="宋体" w:cs="宋体"/>
                <w:spacing w:val="11"/>
                <w:sz w:val="21"/>
                <w:szCs w:val="21"/>
              </w:rPr>
              <w:t>(1)检测、报警设施。压力、</w:t>
            </w:r>
          </w:p>
          <w:p w14:paraId="368B0C04">
            <w:pPr>
              <w:spacing w:before="34" w:line="251" w:lineRule="auto"/>
              <w:ind w:left="132"/>
              <w:rPr>
                <w:rFonts w:ascii="宋体" w:hAnsi="宋体" w:eastAsia="宋体" w:cs="宋体"/>
                <w:sz w:val="21"/>
                <w:szCs w:val="21"/>
              </w:rPr>
            </w:pPr>
            <w:r>
              <w:rPr>
                <w:rFonts w:ascii="宋体" w:hAnsi="宋体" w:eastAsia="宋体" w:cs="宋体"/>
                <w:spacing w:val="2"/>
                <w:sz w:val="21"/>
                <w:szCs w:val="21"/>
              </w:rPr>
              <w:t>温度、液位、流量、组份等报警</w:t>
            </w:r>
            <w:r>
              <w:rPr>
                <w:rFonts w:ascii="宋体" w:hAnsi="宋体" w:eastAsia="宋体" w:cs="宋体"/>
                <w:spacing w:val="-6"/>
                <w:sz w:val="21"/>
                <w:szCs w:val="21"/>
              </w:rPr>
              <w:t>设施，可燃气体、有毒有害气体、</w:t>
            </w:r>
            <w:r>
              <w:rPr>
                <w:rFonts w:ascii="宋体" w:hAnsi="宋体" w:eastAsia="宋体" w:cs="宋体"/>
                <w:spacing w:val="2"/>
                <w:sz w:val="21"/>
                <w:szCs w:val="21"/>
              </w:rPr>
              <w:t>氧气等检测和报警设施，用于安</w:t>
            </w:r>
            <w:r>
              <w:rPr>
                <w:rFonts w:ascii="宋体" w:hAnsi="宋体" w:eastAsia="宋体" w:cs="宋体"/>
                <w:spacing w:val="15"/>
                <w:sz w:val="21"/>
                <w:szCs w:val="21"/>
              </w:rPr>
              <w:t>全检查和安全数据分析等检测</w:t>
            </w:r>
            <w:r>
              <w:rPr>
                <w:rFonts w:ascii="宋体" w:hAnsi="宋体" w:eastAsia="宋体" w:cs="宋体"/>
                <w:spacing w:val="16"/>
                <w:sz w:val="21"/>
                <w:szCs w:val="21"/>
              </w:rPr>
              <w:t>检验设备、仪器。</w:t>
            </w:r>
          </w:p>
        </w:tc>
        <w:tc>
          <w:tcPr>
            <w:tcW w:w="2104" w:type="dxa"/>
            <w:noWrap w:val="0"/>
            <w:vAlign w:val="top"/>
          </w:tcPr>
          <w:p w14:paraId="628D9CA3">
            <w:pPr>
              <w:rPr>
                <w:rFonts w:ascii="Arial"/>
                <w:sz w:val="21"/>
                <w:szCs w:val="21"/>
              </w:rPr>
            </w:pPr>
          </w:p>
        </w:tc>
        <w:tc>
          <w:tcPr>
            <w:tcW w:w="3939" w:type="dxa"/>
            <w:noWrap w:val="0"/>
            <w:vAlign w:val="top"/>
          </w:tcPr>
          <w:p w14:paraId="48B38C1F">
            <w:pPr>
              <w:spacing w:before="87" w:line="256" w:lineRule="auto"/>
              <w:ind w:left="136" w:hanging="9"/>
              <w:jc w:val="both"/>
              <w:rPr>
                <w:rFonts w:ascii="宋体" w:hAnsi="宋体" w:eastAsia="宋体" w:cs="宋体"/>
                <w:sz w:val="21"/>
                <w:szCs w:val="21"/>
              </w:rPr>
            </w:pPr>
            <w:r>
              <w:rPr>
                <w:rFonts w:ascii="宋体" w:hAnsi="宋体" w:eastAsia="宋体" w:cs="宋体"/>
                <w:spacing w:val="17"/>
                <w:sz w:val="21"/>
                <w:szCs w:val="21"/>
              </w:rPr>
              <w:t>第三项生产经营单位</w:t>
            </w:r>
            <w:r>
              <w:rPr>
                <w:rFonts w:ascii="宋体" w:hAnsi="宋体" w:eastAsia="宋体" w:cs="宋体"/>
                <w:spacing w:val="5"/>
                <w:sz w:val="21"/>
                <w:szCs w:val="21"/>
              </w:rPr>
              <w:t>有下列行为之一的，责令</w:t>
            </w:r>
            <w:r>
              <w:rPr>
                <w:rFonts w:ascii="宋体" w:hAnsi="宋体" w:eastAsia="宋体" w:cs="宋体"/>
                <w:spacing w:val="6"/>
                <w:sz w:val="21"/>
                <w:szCs w:val="21"/>
              </w:rPr>
              <w:t>限期改正，处五万元以下</w:t>
            </w:r>
            <w:r>
              <w:rPr>
                <w:rFonts w:ascii="宋体" w:hAnsi="宋体" w:eastAsia="宋体" w:cs="宋体"/>
                <w:spacing w:val="15"/>
                <w:sz w:val="21"/>
                <w:szCs w:val="21"/>
              </w:rPr>
              <w:t>的罚款；逾期未改正的，</w:t>
            </w:r>
            <w:r>
              <w:rPr>
                <w:rFonts w:ascii="宋体" w:hAnsi="宋体" w:eastAsia="宋体" w:cs="宋体"/>
                <w:spacing w:val="25"/>
                <w:sz w:val="21"/>
                <w:szCs w:val="21"/>
              </w:rPr>
              <w:t>处五万元以上二十万元</w:t>
            </w:r>
            <w:r>
              <w:rPr>
                <w:rFonts w:ascii="宋体" w:hAnsi="宋体" w:eastAsia="宋体" w:cs="宋体"/>
                <w:spacing w:val="6"/>
                <w:sz w:val="21"/>
                <w:szCs w:val="21"/>
              </w:rPr>
              <w:t>以下的罚款，对其直接负</w:t>
            </w:r>
            <w:r>
              <w:rPr>
                <w:rFonts w:ascii="宋体" w:hAnsi="宋体" w:eastAsia="宋体" w:cs="宋体"/>
                <w:spacing w:val="25"/>
                <w:sz w:val="21"/>
                <w:szCs w:val="21"/>
              </w:rPr>
              <w:t>责的主管人员和其他直</w:t>
            </w:r>
            <w:r>
              <w:rPr>
                <w:rFonts w:ascii="宋体" w:hAnsi="宋体" w:eastAsia="宋体" w:cs="宋体"/>
                <w:spacing w:val="26"/>
                <w:sz w:val="21"/>
                <w:szCs w:val="21"/>
              </w:rPr>
              <w:t>接责任人员处一万元以</w:t>
            </w:r>
            <w:r>
              <w:rPr>
                <w:rFonts w:ascii="宋体" w:hAnsi="宋体" w:eastAsia="宋体" w:cs="宋体"/>
                <w:spacing w:val="5"/>
                <w:sz w:val="21"/>
                <w:szCs w:val="21"/>
              </w:rPr>
              <w:t>上二万元以下的罚款；情</w:t>
            </w:r>
            <w:r>
              <w:rPr>
                <w:rFonts w:ascii="宋体" w:hAnsi="宋体" w:eastAsia="宋体" w:cs="宋体"/>
                <w:spacing w:val="3"/>
                <w:sz w:val="21"/>
                <w:szCs w:val="21"/>
              </w:rPr>
              <w:t>节严重的，责令停产停业</w:t>
            </w:r>
            <w:r>
              <w:rPr>
                <w:rFonts w:ascii="宋体" w:hAnsi="宋体" w:eastAsia="宋体" w:cs="宋体"/>
                <w:spacing w:val="6"/>
                <w:sz w:val="21"/>
                <w:szCs w:val="21"/>
              </w:rPr>
              <w:t>整顿；构成犯罪的，依照</w:t>
            </w:r>
            <w:r>
              <w:rPr>
                <w:rFonts w:ascii="宋体" w:hAnsi="宋体" w:eastAsia="宋体" w:cs="宋体"/>
                <w:spacing w:val="25"/>
                <w:sz w:val="21"/>
                <w:szCs w:val="21"/>
              </w:rPr>
              <w:t>刑法有关规定追究刑事</w:t>
            </w:r>
            <w:r>
              <w:rPr>
                <w:rFonts w:ascii="宋体" w:hAnsi="宋体" w:eastAsia="宋体" w:cs="宋体"/>
                <w:spacing w:val="-6"/>
                <w:sz w:val="21"/>
                <w:szCs w:val="21"/>
              </w:rPr>
              <w:t>责任：</w:t>
            </w:r>
          </w:p>
          <w:p w14:paraId="617C6B8F">
            <w:pPr>
              <w:spacing w:before="29" w:line="231" w:lineRule="auto"/>
              <w:ind w:left="137" w:right="40" w:firstLine="570"/>
              <w:jc w:val="both"/>
              <w:rPr>
                <w:rFonts w:ascii="宋体" w:hAnsi="宋体" w:eastAsia="宋体" w:cs="宋体"/>
                <w:sz w:val="21"/>
                <w:szCs w:val="21"/>
              </w:rPr>
            </w:pPr>
            <w:r>
              <w:rPr>
                <w:rFonts w:ascii="宋体" w:hAnsi="宋体" w:eastAsia="宋体" w:cs="宋体"/>
                <w:spacing w:val="14"/>
                <w:sz w:val="21"/>
                <w:szCs w:val="21"/>
              </w:rPr>
              <w:t>(三)未对安全设备</w:t>
            </w:r>
            <w:r>
              <w:rPr>
                <w:rFonts w:ascii="宋体" w:hAnsi="宋体" w:eastAsia="宋体" w:cs="宋体"/>
                <w:spacing w:val="1"/>
                <w:sz w:val="21"/>
                <w:szCs w:val="21"/>
              </w:rPr>
              <w:t>进行经常性维护、保养和</w:t>
            </w:r>
            <w:r>
              <w:rPr>
                <w:rFonts w:ascii="宋体" w:hAnsi="宋体" w:eastAsia="宋体" w:cs="宋体"/>
                <w:spacing w:val="19"/>
                <w:sz w:val="21"/>
                <w:szCs w:val="21"/>
              </w:rPr>
              <w:t>定期检测的。</w:t>
            </w:r>
          </w:p>
        </w:tc>
        <w:tc>
          <w:tcPr>
            <w:tcW w:w="912" w:type="dxa"/>
            <w:noWrap w:val="0"/>
            <w:vAlign w:val="top"/>
          </w:tcPr>
          <w:p w14:paraId="1EC289C1">
            <w:pPr>
              <w:spacing w:before="82" w:line="248" w:lineRule="auto"/>
              <w:ind w:left="110" w:right="61" w:firstLine="89"/>
              <w:jc w:val="both"/>
              <w:rPr>
                <w:rFonts w:ascii="宋体" w:hAnsi="宋体" w:eastAsia="宋体" w:cs="宋体"/>
                <w:sz w:val="21"/>
                <w:szCs w:val="21"/>
              </w:rPr>
            </w:pPr>
            <w:r>
              <w:rPr>
                <w:rFonts w:ascii="宋体" w:hAnsi="宋体" w:eastAsia="宋体" w:cs="宋体"/>
                <w:spacing w:val="-3"/>
                <w:sz w:val="21"/>
                <w:szCs w:val="21"/>
              </w:rPr>
              <w:t>产风险监</w:t>
            </w:r>
            <w:r>
              <w:rPr>
                <w:rFonts w:ascii="宋体" w:hAnsi="宋体" w:eastAsia="宋体" w:cs="宋体"/>
                <w:spacing w:val="28"/>
                <w:sz w:val="21"/>
                <w:szCs w:val="21"/>
              </w:rPr>
              <w:t>测预警系</w:t>
            </w:r>
            <w:r>
              <w:rPr>
                <w:rFonts w:ascii="宋体" w:hAnsi="宋体" w:eastAsia="宋体" w:cs="宋体"/>
                <w:spacing w:val="25"/>
                <w:sz w:val="21"/>
                <w:szCs w:val="21"/>
              </w:rPr>
              <w:t>统运行管</w:t>
            </w:r>
            <w:r>
              <w:rPr>
                <w:rFonts w:ascii="宋体" w:hAnsi="宋体" w:eastAsia="宋体" w:cs="宋体"/>
                <w:sz w:val="21"/>
                <w:szCs w:val="21"/>
              </w:rPr>
              <w:t>理</w:t>
            </w:r>
          </w:p>
        </w:tc>
      </w:tr>
      <w:tr w14:paraId="52BA1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4308" w:type="dxa"/>
            <w:gridSpan w:val="6"/>
            <w:noWrap w:val="0"/>
            <w:vAlign w:val="top"/>
          </w:tcPr>
          <w:p w14:paraId="088D8374">
            <w:pPr>
              <w:spacing w:before="63" w:line="219" w:lineRule="auto"/>
              <w:ind w:left="5938"/>
              <w:rPr>
                <w:rFonts w:ascii="宋体" w:hAnsi="宋体" w:eastAsia="宋体" w:cs="宋体"/>
                <w:b/>
                <w:bCs/>
                <w:spacing w:val="-5"/>
                <w:sz w:val="24"/>
                <w:szCs w:val="24"/>
              </w:rPr>
            </w:pPr>
            <w:r>
              <w:rPr>
                <w:rFonts w:ascii="宋体" w:hAnsi="宋体" w:eastAsia="宋体" w:cs="宋体"/>
                <w:b/>
                <w:bCs/>
                <w:spacing w:val="-5"/>
                <w:sz w:val="24"/>
                <w:szCs w:val="24"/>
              </w:rPr>
              <w:t>高危细分领域类</w:t>
            </w:r>
          </w:p>
          <w:p w14:paraId="39BCA668">
            <w:pPr>
              <w:spacing w:before="63" w:line="219" w:lineRule="auto"/>
              <w:ind w:left="5938"/>
              <w:rPr>
                <w:rFonts w:ascii="宋体" w:hAnsi="宋体" w:eastAsia="宋体" w:cs="宋体"/>
                <w:b/>
                <w:bCs/>
                <w:spacing w:val="-5"/>
                <w:sz w:val="24"/>
                <w:szCs w:val="24"/>
              </w:rPr>
            </w:pPr>
          </w:p>
        </w:tc>
      </w:tr>
      <w:tr w14:paraId="1C60B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jc w:val="center"/>
        </w:trPr>
        <w:tc>
          <w:tcPr>
            <w:tcW w:w="864" w:type="dxa"/>
            <w:noWrap w:val="0"/>
            <w:vAlign w:val="top"/>
          </w:tcPr>
          <w:p w14:paraId="30FFDE88">
            <w:pPr>
              <w:spacing w:line="275" w:lineRule="auto"/>
              <w:rPr>
                <w:rFonts w:ascii="Arial"/>
                <w:sz w:val="21"/>
                <w:szCs w:val="21"/>
              </w:rPr>
            </w:pPr>
          </w:p>
          <w:p w14:paraId="304548CE">
            <w:pPr>
              <w:spacing w:line="275" w:lineRule="auto"/>
              <w:rPr>
                <w:rFonts w:ascii="Arial"/>
                <w:sz w:val="21"/>
                <w:szCs w:val="21"/>
              </w:rPr>
            </w:pPr>
          </w:p>
          <w:p w14:paraId="0E50D5B4">
            <w:pPr>
              <w:spacing w:line="276" w:lineRule="auto"/>
              <w:rPr>
                <w:rFonts w:ascii="Arial"/>
                <w:sz w:val="21"/>
                <w:szCs w:val="21"/>
              </w:rPr>
            </w:pPr>
          </w:p>
          <w:p w14:paraId="12D4F8C6">
            <w:pPr>
              <w:spacing w:before="78" w:line="183" w:lineRule="auto"/>
              <w:ind w:left="305"/>
              <w:rPr>
                <w:rFonts w:ascii="宋体" w:hAnsi="宋体" w:eastAsia="宋体" w:cs="宋体"/>
                <w:sz w:val="21"/>
                <w:szCs w:val="21"/>
              </w:rPr>
            </w:pPr>
            <w:r>
              <w:rPr>
                <w:rFonts w:ascii="宋体" w:hAnsi="宋体" w:eastAsia="宋体" w:cs="宋体"/>
                <w:spacing w:val="-4"/>
                <w:sz w:val="21"/>
                <w:szCs w:val="21"/>
              </w:rPr>
              <w:t>2</w:t>
            </w:r>
            <w:r>
              <w:rPr>
                <w:rFonts w:hint="eastAsia" w:ascii="宋体" w:hAnsi="宋体" w:eastAsia="宋体" w:cs="宋体"/>
                <w:spacing w:val="-4"/>
                <w:sz w:val="21"/>
                <w:szCs w:val="21"/>
                <w:lang w:val="en-US" w:eastAsia="zh-CN"/>
              </w:rPr>
              <w:t>4</w:t>
            </w:r>
          </w:p>
        </w:tc>
        <w:tc>
          <w:tcPr>
            <w:tcW w:w="1661" w:type="dxa"/>
            <w:noWrap w:val="0"/>
            <w:vAlign w:val="top"/>
          </w:tcPr>
          <w:p w14:paraId="2D4DDE23">
            <w:pPr>
              <w:spacing w:line="308" w:lineRule="auto"/>
              <w:rPr>
                <w:rFonts w:ascii="Arial"/>
                <w:sz w:val="21"/>
                <w:szCs w:val="21"/>
              </w:rPr>
            </w:pPr>
          </w:p>
          <w:p w14:paraId="145C2646">
            <w:pPr>
              <w:spacing w:before="78" w:line="237" w:lineRule="auto"/>
              <w:ind w:left="121" w:right="155"/>
              <w:rPr>
                <w:rFonts w:ascii="宋体" w:hAnsi="宋体" w:eastAsia="宋体" w:cs="宋体"/>
                <w:sz w:val="21"/>
                <w:szCs w:val="21"/>
              </w:rPr>
            </w:pPr>
            <w:r>
              <w:rPr>
                <w:rFonts w:ascii="宋体" w:hAnsi="宋体" w:eastAsia="宋体" w:cs="宋体"/>
                <w:spacing w:val="1"/>
                <w:sz w:val="21"/>
                <w:szCs w:val="21"/>
              </w:rPr>
              <w:t>涉及硝化反应的装</w:t>
            </w:r>
            <w:r>
              <w:rPr>
                <w:rFonts w:ascii="宋体" w:hAnsi="宋体" w:eastAsia="宋体" w:cs="宋体"/>
                <w:spacing w:val="4"/>
                <w:sz w:val="21"/>
                <w:szCs w:val="21"/>
              </w:rPr>
              <w:t>置(厂房)同一时</w:t>
            </w:r>
          </w:p>
          <w:p w14:paraId="3FF7FCF5">
            <w:pPr>
              <w:spacing w:before="21"/>
              <w:ind w:left="121" w:right="156"/>
              <w:rPr>
                <w:rFonts w:ascii="宋体" w:hAnsi="宋体" w:eastAsia="宋体" w:cs="宋体"/>
                <w:sz w:val="21"/>
                <w:szCs w:val="21"/>
              </w:rPr>
            </w:pPr>
            <w:r>
              <w:rPr>
                <w:rFonts w:ascii="宋体" w:hAnsi="宋体" w:eastAsia="宋体" w:cs="宋体"/>
                <w:spacing w:val="1"/>
                <w:sz w:val="21"/>
                <w:szCs w:val="21"/>
              </w:rPr>
              <w:t>间现场操作人员超</w:t>
            </w:r>
            <w:r>
              <w:rPr>
                <w:rFonts w:ascii="宋体" w:hAnsi="宋体" w:eastAsia="宋体" w:cs="宋体"/>
                <w:spacing w:val="29"/>
                <w:sz w:val="21"/>
                <w:szCs w:val="21"/>
              </w:rPr>
              <w:t>过3人。</w:t>
            </w:r>
          </w:p>
        </w:tc>
        <w:tc>
          <w:tcPr>
            <w:tcW w:w="4828" w:type="dxa"/>
            <w:noWrap w:val="0"/>
            <w:vAlign w:val="top"/>
          </w:tcPr>
          <w:p w14:paraId="75B0BCDA">
            <w:pPr>
              <w:rPr>
                <w:rFonts w:ascii="Arial"/>
                <w:sz w:val="21"/>
                <w:szCs w:val="21"/>
              </w:rPr>
            </w:pPr>
          </w:p>
        </w:tc>
        <w:tc>
          <w:tcPr>
            <w:tcW w:w="2104" w:type="dxa"/>
            <w:noWrap w:val="0"/>
            <w:vAlign w:val="top"/>
          </w:tcPr>
          <w:p w14:paraId="634F4551">
            <w:pPr>
              <w:spacing w:before="105" w:line="243" w:lineRule="auto"/>
              <w:ind w:left="135" w:firstLine="450"/>
              <w:jc w:val="both"/>
              <w:rPr>
                <w:rFonts w:ascii="宋体" w:hAnsi="宋体" w:eastAsia="宋体" w:cs="宋体"/>
                <w:sz w:val="21"/>
                <w:szCs w:val="21"/>
              </w:rPr>
            </w:pPr>
            <w:r>
              <w:rPr>
                <w:rFonts w:ascii="宋体" w:hAnsi="宋体" w:eastAsia="宋体" w:cs="宋体"/>
                <w:spacing w:val="-6"/>
                <w:sz w:val="21"/>
                <w:szCs w:val="21"/>
              </w:rPr>
              <w:t>1.《硝化企业安全风</w:t>
            </w:r>
            <w:r>
              <w:rPr>
                <w:rFonts w:ascii="宋体" w:hAnsi="宋体" w:eastAsia="宋体" w:cs="宋体"/>
                <w:spacing w:val="15"/>
                <w:sz w:val="21"/>
                <w:szCs w:val="21"/>
              </w:rPr>
              <w:t>险隐患排查指南(试行)》</w:t>
            </w:r>
            <w:r>
              <w:rPr>
                <w:rFonts w:ascii="宋体" w:hAnsi="宋体" w:eastAsia="宋体" w:cs="宋体"/>
                <w:spacing w:val="14"/>
                <w:sz w:val="21"/>
                <w:szCs w:val="21"/>
              </w:rPr>
              <w:t>表2重点检查项安全风</w:t>
            </w:r>
            <w:r>
              <w:rPr>
                <w:rFonts w:ascii="宋体" w:hAnsi="宋体" w:eastAsia="宋体" w:cs="宋体"/>
                <w:spacing w:val="12"/>
                <w:sz w:val="21"/>
                <w:szCs w:val="21"/>
              </w:rPr>
              <w:t>险隐患排查表第9条硝</w:t>
            </w:r>
            <w:r>
              <w:rPr>
                <w:rFonts w:ascii="宋体" w:hAnsi="宋体" w:eastAsia="宋体" w:cs="宋体"/>
                <w:spacing w:val="27"/>
                <w:sz w:val="21"/>
                <w:szCs w:val="21"/>
              </w:rPr>
              <w:t>化车间(装置)、硝化工</w:t>
            </w:r>
            <w:r>
              <w:rPr>
                <w:rFonts w:ascii="宋体" w:hAnsi="宋体" w:eastAsia="宋体" w:cs="宋体"/>
                <w:spacing w:val="6"/>
                <w:sz w:val="21"/>
                <w:szCs w:val="21"/>
              </w:rPr>
              <w:t>艺上下游装置的所有生产</w:t>
            </w:r>
          </w:p>
        </w:tc>
        <w:tc>
          <w:tcPr>
            <w:tcW w:w="3939" w:type="dxa"/>
            <w:noWrap w:val="0"/>
            <w:vAlign w:val="top"/>
          </w:tcPr>
          <w:p w14:paraId="6901AF95">
            <w:pPr>
              <w:rPr>
                <w:rFonts w:ascii="Arial"/>
                <w:sz w:val="21"/>
                <w:szCs w:val="21"/>
              </w:rPr>
            </w:pPr>
          </w:p>
        </w:tc>
        <w:tc>
          <w:tcPr>
            <w:tcW w:w="912" w:type="dxa"/>
            <w:noWrap w:val="0"/>
            <w:vAlign w:val="top"/>
          </w:tcPr>
          <w:p w14:paraId="0BA8EEC4">
            <w:pPr>
              <w:spacing w:line="323" w:lineRule="auto"/>
              <w:rPr>
                <w:rFonts w:ascii="Arial"/>
                <w:sz w:val="21"/>
                <w:szCs w:val="21"/>
              </w:rPr>
            </w:pPr>
          </w:p>
          <w:p w14:paraId="3C178666">
            <w:pPr>
              <w:spacing w:line="324" w:lineRule="auto"/>
              <w:rPr>
                <w:rFonts w:ascii="Arial"/>
                <w:sz w:val="21"/>
                <w:szCs w:val="21"/>
              </w:rPr>
            </w:pPr>
          </w:p>
          <w:p w14:paraId="775B0CAE">
            <w:pPr>
              <w:spacing w:before="78" w:line="232" w:lineRule="auto"/>
              <w:ind w:left="129" w:right="69" w:firstLine="70"/>
              <w:rPr>
                <w:rFonts w:ascii="宋体" w:hAnsi="宋体" w:eastAsia="宋体" w:cs="宋体"/>
                <w:sz w:val="21"/>
                <w:szCs w:val="21"/>
              </w:rPr>
            </w:pPr>
            <w:r>
              <w:rPr>
                <w:rFonts w:ascii="宋体" w:hAnsi="宋体" w:eastAsia="宋体" w:cs="宋体"/>
                <w:spacing w:val="3"/>
                <w:sz w:val="21"/>
                <w:szCs w:val="21"/>
              </w:rPr>
              <w:t>硝化工艺</w:t>
            </w:r>
            <w:r>
              <w:rPr>
                <w:rFonts w:ascii="宋体" w:hAnsi="宋体" w:eastAsia="宋体" w:cs="宋体"/>
                <w:spacing w:val="4"/>
                <w:sz w:val="21"/>
                <w:szCs w:val="21"/>
              </w:rPr>
              <w:t>管理</w:t>
            </w:r>
          </w:p>
        </w:tc>
      </w:tr>
    </w:tbl>
    <w:p w14:paraId="24FE1F24"/>
    <w:p w14:paraId="77353085"/>
    <w:p w14:paraId="251D3BA9"/>
    <w:p w14:paraId="64069FC0"/>
    <w:p w14:paraId="0E37796C">
      <w:pPr>
        <w:spacing w:line="7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2228"/>
        <w:gridCol w:w="2873"/>
        <w:gridCol w:w="4315"/>
        <w:gridCol w:w="2025"/>
        <w:gridCol w:w="1244"/>
      </w:tblGrid>
      <w:tr w14:paraId="1CE9E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75" w:type="dxa"/>
            <w:noWrap w:val="0"/>
            <w:vAlign w:val="top"/>
          </w:tcPr>
          <w:p w14:paraId="3DD020F0">
            <w:pPr>
              <w:spacing w:before="22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28" w:type="dxa"/>
            <w:noWrap w:val="0"/>
            <w:vAlign w:val="top"/>
          </w:tcPr>
          <w:p w14:paraId="56C6963E">
            <w:pPr>
              <w:spacing w:before="65" w:line="219" w:lineRule="auto"/>
              <w:ind w:left="620"/>
              <w:rPr>
                <w:rFonts w:ascii="宋体" w:hAnsi="宋体" w:eastAsia="宋体" w:cs="宋体"/>
                <w:b/>
                <w:bCs/>
                <w:sz w:val="24"/>
                <w:szCs w:val="24"/>
              </w:rPr>
            </w:pPr>
            <w:r>
              <w:rPr>
                <w:rFonts w:ascii="宋体" w:hAnsi="宋体" w:eastAsia="宋体" w:cs="宋体"/>
                <w:b/>
                <w:bCs/>
                <w:spacing w:val="3"/>
                <w:sz w:val="24"/>
                <w:szCs w:val="24"/>
              </w:rPr>
              <w:t>执法检查</w:t>
            </w:r>
          </w:p>
          <w:p w14:paraId="1C1B4761">
            <w:pPr>
              <w:spacing w:before="55" w:line="207" w:lineRule="auto"/>
              <w:ind w:left="380"/>
              <w:rPr>
                <w:rFonts w:ascii="宋体" w:hAnsi="宋体" w:eastAsia="宋体" w:cs="宋体"/>
                <w:b/>
                <w:bCs/>
                <w:sz w:val="24"/>
                <w:szCs w:val="24"/>
              </w:rPr>
            </w:pPr>
            <w:r>
              <w:rPr>
                <w:rFonts w:ascii="宋体" w:hAnsi="宋体" w:eastAsia="宋体" w:cs="宋体"/>
                <w:b/>
                <w:bCs/>
                <w:spacing w:val="2"/>
                <w:sz w:val="24"/>
                <w:szCs w:val="24"/>
              </w:rPr>
              <w:t>重点事项内容</w:t>
            </w:r>
          </w:p>
        </w:tc>
        <w:tc>
          <w:tcPr>
            <w:tcW w:w="2873" w:type="dxa"/>
            <w:noWrap w:val="0"/>
            <w:vAlign w:val="top"/>
          </w:tcPr>
          <w:p w14:paraId="54F6F459">
            <w:pPr>
              <w:spacing w:before="223" w:line="219" w:lineRule="auto"/>
              <w:ind w:left="1032"/>
              <w:rPr>
                <w:rFonts w:ascii="宋体" w:hAnsi="宋体" w:eastAsia="宋体" w:cs="宋体"/>
                <w:b/>
                <w:bCs/>
                <w:sz w:val="24"/>
                <w:szCs w:val="24"/>
              </w:rPr>
            </w:pPr>
            <w:r>
              <w:rPr>
                <w:rFonts w:ascii="宋体" w:hAnsi="宋体" w:eastAsia="宋体" w:cs="宋体"/>
                <w:b/>
                <w:bCs/>
                <w:spacing w:val="9"/>
                <w:sz w:val="24"/>
                <w:szCs w:val="24"/>
              </w:rPr>
              <w:t>执法检查依据</w:t>
            </w:r>
          </w:p>
        </w:tc>
        <w:tc>
          <w:tcPr>
            <w:tcW w:w="4315" w:type="dxa"/>
            <w:noWrap w:val="0"/>
            <w:vAlign w:val="top"/>
          </w:tcPr>
          <w:p w14:paraId="545BCE77">
            <w:pPr>
              <w:spacing w:before="85" w:line="220" w:lineRule="auto"/>
              <w:ind w:left="855"/>
              <w:rPr>
                <w:rFonts w:ascii="宋体" w:hAnsi="宋体" w:eastAsia="宋体" w:cs="宋体"/>
                <w:b/>
                <w:bCs/>
                <w:sz w:val="24"/>
                <w:szCs w:val="24"/>
              </w:rPr>
            </w:pPr>
            <w:r>
              <w:rPr>
                <w:rFonts w:ascii="宋体" w:hAnsi="宋体" w:eastAsia="宋体" w:cs="宋体"/>
                <w:b/>
                <w:bCs/>
                <w:spacing w:val="-2"/>
                <w:sz w:val="24"/>
                <w:szCs w:val="24"/>
              </w:rPr>
              <w:t>有关规范性</w:t>
            </w:r>
          </w:p>
          <w:p w14:paraId="16A9BEC2">
            <w:pPr>
              <w:spacing w:before="52" w:line="192" w:lineRule="auto"/>
              <w:ind w:left="60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025" w:type="dxa"/>
            <w:noWrap w:val="0"/>
            <w:vAlign w:val="top"/>
          </w:tcPr>
          <w:p w14:paraId="7A2C60C1">
            <w:pPr>
              <w:spacing w:before="223" w:line="219" w:lineRule="auto"/>
              <w:ind w:left="947"/>
              <w:rPr>
                <w:rFonts w:ascii="宋体" w:hAnsi="宋体" w:eastAsia="宋体" w:cs="宋体"/>
                <w:b/>
                <w:bCs/>
                <w:sz w:val="24"/>
                <w:szCs w:val="24"/>
              </w:rPr>
            </w:pPr>
            <w:r>
              <w:rPr>
                <w:rFonts w:ascii="宋体" w:hAnsi="宋体" w:eastAsia="宋体" w:cs="宋体"/>
                <w:b/>
                <w:bCs/>
                <w:spacing w:val="13"/>
                <w:sz w:val="24"/>
                <w:szCs w:val="24"/>
              </w:rPr>
              <w:t>处罚依据</w:t>
            </w:r>
          </w:p>
        </w:tc>
        <w:tc>
          <w:tcPr>
            <w:tcW w:w="1244" w:type="dxa"/>
            <w:noWrap w:val="0"/>
            <w:vAlign w:val="top"/>
          </w:tcPr>
          <w:p w14:paraId="32FADDAE">
            <w:pPr>
              <w:spacing w:before="222" w:line="221" w:lineRule="auto"/>
              <w:ind w:left="402"/>
              <w:rPr>
                <w:rFonts w:ascii="宋体" w:hAnsi="宋体" w:eastAsia="宋体" w:cs="宋体"/>
                <w:b/>
                <w:bCs/>
                <w:sz w:val="24"/>
                <w:szCs w:val="24"/>
              </w:rPr>
            </w:pPr>
            <w:r>
              <w:rPr>
                <w:rFonts w:ascii="宋体" w:hAnsi="宋体" w:eastAsia="宋体" w:cs="宋体"/>
                <w:b/>
                <w:bCs/>
                <w:spacing w:val="-6"/>
                <w:sz w:val="24"/>
                <w:szCs w:val="24"/>
              </w:rPr>
              <w:t>备注</w:t>
            </w:r>
          </w:p>
        </w:tc>
      </w:tr>
      <w:tr w14:paraId="671AC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1" w:hRule="atLeast"/>
          <w:jc w:val="center"/>
        </w:trPr>
        <w:tc>
          <w:tcPr>
            <w:tcW w:w="875" w:type="dxa"/>
            <w:noWrap w:val="0"/>
            <w:vAlign w:val="top"/>
          </w:tcPr>
          <w:p w14:paraId="65678B59">
            <w:pPr>
              <w:rPr>
                <w:rFonts w:ascii="Arial"/>
                <w:sz w:val="21"/>
              </w:rPr>
            </w:pPr>
          </w:p>
        </w:tc>
        <w:tc>
          <w:tcPr>
            <w:tcW w:w="2228" w:type="dxa"/>
            <w:noWrap w:val="0"/>
            <w:vAlign w:val="top"/>
          </w:tcPr>
          <w:p w14:paraId="19B5C708">
            <w:pPr>
              <w:rPr>
                <w:rFonts w:ascii="Arial"/>
                <w:sz w:val="21"/>
              </w:rPr>
            </w:pPr>
          </w:p>
        </w:tc>
        <w:tc>
          <w:tcPr>
            <w:tcW w:w="2873" w:type="dxa"/>
            <w:noWrap w:val="0"/>
            <w:vAlign w:val="top"/>
          </w:tcPr>
          <w:p w14:paraId="06FFBD0A">
            <w:pPr>
              <w:rPr>
                <w:rFonts w:ascii="Arial"/>
                <w:sz w:val="21"/>
                <w:szCs w:val="21"/>
              </w:rPr>
            </w:pPr>
          </w:p>
        </w:tc>
        <w:tc>
          <w:tcPr>
            <w:tcW w:w="4315" w:type="dxa"/>
            <w:noWrap w:val="0"/>
            <w:vAlign w:val="top"/>
          </w:tcPr>
          <w:p w14:paraId="2B0FBC60">
            <w:pPr>
              <w:spacing w:before="93" w:line="235" w:lineRule="auto"/>
              <w:ind w:left="135" w:right="53"/>
              <w:jc w:val="both"/>
              <w:rPr>
                <w:rFonts w:ascii="宋体" w:hAnsi="宋体" w:eastAsia="宋体" w:cs="宋体"/>
                <w:sz w:val="21"/>
                <w:szCs w:val="21"/>
              </w:rPr>
            </w:pPr>
            <w:r>
              <w:rPr>
                <w:rFonts w:ascii="宋体" w:hAnsi="宋体" w:eastAsia="宋体" w:cs="宋体"/>
                <w:sz w:val="21"/>
                <w:szCs w:val="21"/>
              </w:rPr>
              <w:t>工序应实现全流程自动化</w:t>
            </w:r>
            <w:r>
              <w:rPr>
                <w:rFonts w:ascii="宋体" w:hAnsi="宋体" w:eastAsia="宋体" w:cs="宋体"/>
                <w:spacing w:val="-1"/>
                <w:sz w:val="21"/>
                <w:szCs w:val="21"/>
              </w:rPr>
              <w:t>控制，生产装置和储存设</w:t>
            </w:r>
            <w:r>
              <w:rPr>
                <w:rFonts w:ascii="宋体" w:hAnsi="宋体" w:eastAsia="宋体" w:cs="宋体"/>
                <w:spacing w:val="2"/>
                <w:sz w:val="21"/>
                <w:szCs w:val="21"/>
              </w:rPr>
              <w:t>施的自动化系统装备投用</w:t>
            </w:r>
            <w:r>
              <w:rPr>
                <w:rFonts w:ascii="宋体" w:hAnsi="宋体" w:eastAsia="宋体" w:cs="宋体"/>
                <w:spacing w:val="13"/>
                <w:sz w:val="21"/>
                <w:szCs w:val="21"/>
              </w:rPr>
              <w:t>率应达到100%。</w:t>
            </w:r>
          </w:p>
          <w:p w14:paraId="06F63827">
            <w:pPr>
              <w:spacing w:before="52" w:line="250" w:lineRule="auto"/>
              <w:ind w:left="125" w:right="30" w:firstLine="470"/>
              <w:jc w:val="both"/>
              <w:rPr>
                <w:rFonts w:ascii="宋体" w:hAnsi="宋体" w:eastAsia="宋体" w:cs="宋体"/>
                <w:sz w:val="21"/>
                <w:szCs w:val="21"/>
              </w:rPr>
            </w:pPr>
            <w:r>
              <w:rPr>
                <w:rFonts w:ascii="宋体" w:hAnsi="宋体" w:eastAsia="宋体" w:cs="宋体"/>
                <w:spacing w:val="-5"/>
                <w:sz w:val="21"/>
                <w:szCs w:val="21"/>
              </w:rPr>
              <w:t>2.《危险化学品企业</w:t>
            </w:r>
            <w:r>
              <w:rPr>
                <w:rFonts w:ascii="宋体" w:hAnsi="宋体" w:eastAsia="宋体" w:cs="宋体"/>
                <w:spacing w:val="12"/>
                <w:sz w:val="21"/>
                <w:szCs w:val="21"/>
              </w:rPr>
              <w:t>安全风险隐患排查治理导</w:t>
            </w:r>
            <w:r>
              <w:rPr>
                <w:rFonts w:ascii="宋体" w:hAnsi="宋体" w:eastAsia="宋体" w:cs="宋体"/>
                <w:spacing w:val="11"/>
                <w:sz w:val="21"/>
                <w:szCs w:val="21"/>
              </w:rPr>
              <w:t>则》(应急〔2019〕78号)</w:t>
            </w:r>
            <w:r>
              <w:rPr>
                <w:rFonts w:ascii="宋体" w:hAnsi="宋体" w:eastAsia="宋体" w:cs="宋体"/>
                <w:spacing w:val="16"/>
                <w:sz w:val="21"/>
                <w:szCs w:val="21"/>
              </w:rPr>
              <w:t>附件1安全基础管理安</w:t>
            </w:r>
            <w:r>
              <w:rPr>
                <w:rFonts w:ascii="宋体" w:hAnsi="宋体" w:eastAsia="宋体" w:cs="宋体"/>
                <w:spacing w:val="10"/>
                <w:sz w:val="21"/>
                <w:szCs w:val="21"/>
              </w:rPr>
              <w:t>全风险隐患排查表涉及</w:t>
            </w:r>
            <w:r>
              <w:rPr>
                <w:rFonts w:ascii="宋体" w:hAnsi="宋体" w:eastAsia="宋体" w:cs="宋体"/>
                <w:spacing w:val="11"/>
                <w:sz w:val="21"/>
                <w:szCs w:val="21"/>
              </w:rPr>
              <w:t>硝化、加氢、氟化、氯化等重点监管化工工艺及其</w:t>
            </w:r>
            <w:r>
              <w:rPr>
                <w:rFonts w:ascii="宋体" w:hAnsi="宋体" w:eastAsia="宋体" w:cs="宋体"/>
                <w:spacing w:val="18"/>
                <w:sz w:val="21"/>
                <w:szCs w:val="21"/>
              </w:rPr>
              <w:t>他反应工艺危险度2级及</w:t>
            </w:r>
            <w:r>
              <w:rPr>
                <w:rFonts w:ascii="宋体" w:hAnsi="宋体" w:eastAsia="宋体" w:cs="宋体"/>
                <w:spacing w:val="22"/>
                <w:sz w:val="21"/>
                <w:szCs w:val="21"/>
              </w:rPr>
              <w:t>以上的生产车间(区域),</w:t>
            </w:r>
            <w:r>
              <w:rPr>
                <w:rFonts w:ascii="宋体" w:hAnsi="宋体" w:eastAsia="宋体" w:cs="宋体"/>
                <w:spacing w:val="10"/>
                <w:sz w:val="21"/>
                <w:szCs w:val="21"/>
              </w:rPr>
              <w:t>同一时间现场操作人员控</w:t>
            </w:r>
            <w:r>
              <w:rPr>
                <w:rFonts w:ascii="宋体" w:hAnsi="宋体" w:eastAsia="宋体" w:cs="宋体"/>
                <w:spacing w:val="27"/>
                <w:sz w:val="21"/>
                <w:szCs w:val="21"/>
              </w:rPr>
              <w:t>制在3人以下。</w:t>
            </w:r>
          </w:p>
        </w:tc>
        <w:tc>
          <w:tcPr>
            <w:tcW w:w="2025" w:type="dxa"/>
            <w:noWrap w:val="0"/>
            <w:vAlign w:val="top"/>
          </w:tcPr>
          <w:p w14:paraId="37DA64CD">
            <w:pPr>
              <w:rPr>
                <w:rFonts w:ascii="Arial"/>
                <w:sz w:val="21"/>
                <w:szCs w:val="21"/>
              </w:rPr>
            </w:pPr>
          </w:p>
        </w:tc>
        <w:tc>
          <w:tcPr>
            <w:tcW w:w="1244" w:type="dxa"/>
            <w:noWrap w:val="0"/>
            <w:vAlign w:val="top"/>
          </w:tcPr>
          <w:p w14:paraId="004D9759">
            <w:pPr>
              <w:rPr>
                <w:rFonts w:ascii="Arial"/>
                <w:sz w:val="21"/>
              </w:rPr>
            </w:pPr>
          </w:p>
        </w:tc>
      </w:tr>
      <w:tr w14:paraId="13805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jc w:val="center"/>
        </w:trPr>
        <w:tc>
          <w:tcPr>
            <w:tcW w:w="875" w:type="dxa"/>
            <w:noWrap w:val="0"/>
            <w:vAlign w:val="top"/>
          </w:tcPr>
          <w:p w14:paraId="3141AE2C">
            <w:pPr>
              <w:spacing w:line="290" w:lineRule="auto"/>
              <w:rPr>
                <w:rFonts w:ascii="Arial"/>
                <w:sz w:val="21"/>
              </w:rPr>
            </w:pPr>
          </w:p>
          <w:p w14:paraId="5F8E284A">
            <w:pPr>
              <w:spacing w:line="291" w:lineRule="auto"/>
              <w:rPr>
                <w:rFonts w:ascii="Arial"/>
                <w:sz w:val="21"/>
              </w:rPr>
            </w:pPr>
          </w:p>
          <w:p w14:paraId="6298EA15">
            <w:pPr>
              <w:spacing w:line="291" w:lineRule="auto"/>
              <w:rPr>
                <w:rFonts w:ascii="Arial"/>
                <w:sz w:val="21"/>
              </w:rPr>
            </w:pPr>
          </w:p>
          <w:p w14:paraId="288DB11B">
            <w:pPr>
              <w:spacing w:line="291" w:lineRule="auto"/>
              <w:rPr>
                <w:rFonts w:ascii="Arial"/>
                <w:sz w:val="21"/>
              </w:rPr>
            </w:pPr>
          </w:p>
          <w:p w14:paraId="3E6AD3DB">
            <w:pPr>
              <w:spacing w:before="78" w:line="183" w:lineRule="auto"/>
              <w:ind w:left="305"/>
              <w:rPr>
                <w:rFonts w:ascii="宋体" w:hAnsi="宋体" w:eastAsia="宋体" w:cs="宋体"/>
                <w:sz w:val="24"/>
                <w:szCs w:val="24"/>
              </w:rPr>
            </w:pPr>
            <w:r>
              <w:rPr>
                <w:rFonts w:ascii="宋体" w:hAnsi="宋体" w:eastAsia="宋体" w:cs="宋体"/>
                <w:spacing w:val="-4"/>
                <w:sz w:val="24"/>
                <w:szCs w:val="24"/>
              </w:rPr>
              <w:t>2</w:t>
            </w:r>
            <w:r>
              <w:rPr>
                <w:rFonts w:hint="eastAsia" w:ascii="宋体" w:hAnsi="宋体" w:eastAsia="宋体" w:cs="宋体"/>
                <w:spacing w:val="-4"/>
                <w:sz w:val="24"/>
                <w:szCs w:val="24"/>
                <w:lang w:val="en-US" w:eastAsia="zh-CN"/>
              </w:rPr>
              <w:t>5</w:t>
            </w:r>
          </w:p>
        </w:tc>
        <w:tc>
          <w:tcPr>
            <w:tcW w:w="2228" w:type="dxa"/>
            <w:noWrap w:val="0"/>
            <w:vAlign w:val="top"/>
          </w:tcPr>
          <w:p w14:paraId="27BBDBAD">
            <w:pPr>
              <w:spacing w:before="125"/>
              <w:ind w:left="130" w:right="37" w:firstLine="9"/>
              <w:rPr>
                <w:rFonts w:ascii="宋体" w:hAnsi="宋体" w:eastAsia="宋体" w:cs="宋体"/>
                <w:sz w:val="21"/>
                <w:szCs w:val="21"/>
              </w:rPr>
            </w:pPr>
            <w:r>
              <w:rPr>
                <w:rFonts w:ascii="宋体" w:hAnsi="宋体" w:eastAsia="宋体" w:cs="宋体"/>
                <w:spacing w:val="15"/>
                <w:sz w:val="21"/>
                <w:szCs w:val="21"/>
              </w:rPr>
              <w:t>硝酸铵储存方式、</w:t>
            </w:r>
            <w:r>
              <w:rPr>
                <w:rFonts w:ascii="宋体" w:hAnsi="宋体" w:eastAsia="宋体" w:cs="宋体"/>
                <w:spacing w:val="-1"/>
                <w:sz w:val="21"/>
                <w:szCs w:val="21"/>
              </w:rPr>
              <w:t>方法以及储存数量</w:t>
            </w:r>
            <w:r>
              <w:rPr>
                <w:rFonts w:ascii="宋体" w:hAnsi="宋体" w:eastAsia="宋体" w:cs="宋体"/>
                <w:spacing w:val="2"/>
                <w:sz w:val="21"/>
                <w:szCs w:val="21"/>
              </w:rPr>
              <w:t>不符合国家标准或者国家有关规定</w:t>
            </w:r>
          </w:p>
          <w:p w14:paraId="6FFA5562">
            <w:pPr>
              <w:spacing w:before="42" w:line="239" w:lineRule="auto"/>
              <w:ind w:left="139" w:right="105" w:firstLine="60"/>
              <w:rPr>
                <w:rFonts w:ascii="宋体" w:hAnsi="宋体" w:eastAsia="宋体" w:cs="宋体"/>
                <w:sz w:val="21"/>
                <w:szCs w:val="21"/>
              </w:rPr>
            </w:pPr>
            <w:r>
              <w:rPr>
                <w:rFonts w:ascii="宋体" w:hAnsi="宋体" w:eastAsia="宋体" w:cs="宋体"/>
                <w:spacing w:val="10"/>
                <w:sz w:val="21"/>
                <w:szCs w:val="21"/>
              </w:rPr>
              <w:t>(包括未根据《危</w:t>
            </w:r>
            <w:r>
              <w:rPr>
                <w:rFonts w:ascii="宋体" w:hAnsi="宋体" w:eastAsia="宋体" w:cs="宋体"/>
                <w:spacing w:val="11"/>
                <w:sz w:val="21"/>
                <w:szCs w:val="21"/>
              </w:rPr>
              <w:t>险化学品生产装置和储存设施风险基</w:t>
            </w:r>
            <w:r>
              <w:rPr>
                <w:rFonts w:ascii="宋体" w:hAnsi="宋体" w:eastAsia="宋体" w:cs="宋体"/>
                <w:spacing w:val="-5"/>
                <w:sz w:val="21"/>
                <w:szCs w:val="21"/>
              </w:rPr>
              <w:t>准》(GB</w:t>
            </w:r>
            <w:r>
              <w:rPr>
                <w:rFonts w:ascii="宋体" w:hAnsi="宋体" w:eastAsia="宋体" w:cs="宋体"/>
                <w:spacing w:val="29"/>
                <w:sz w:val="21"/>
                <w:szCs w:val="21"/>
              </w:rPr>
              <w:t xml:space="preserve"> </w:t>
            </w:r>
            <w:r>
              <w:rPr>
                <w:rFonts w:ascii="宋体" w:hAnsi="宋体" w:eastAsia="宋体" w:cs="宋体"/>
                <w:spacing w:val="-5"/>
                <w:sz w:val="21"/>
                <w:szCs w:val="21"/>
              </w:rPr>
              <w:t>36894)</w:t>
            </w:r>
          </w:p>
        </w:tc>
        <w:tc>
          <w:tcPr>
            <w:tcW w:w="2873" w:type="dxa"/>
            <w:noWrap w:val="0"/>
            <w:vAlign w:val="top"/>
          </w:tcPr>
          <w:p w14:paraId="5898A286">
            <w:pPr>
              <w:spacing w:before="116" w:line="248" w:lineRule="auto"/>
              <w:ind w:left="142" w:firstLine="477"/>
              <w:jc w:val="both"/>
              <w:rPr>
                <w:rFonts w:ascii="宋体" w:hAnsi="宋体" w:eastAsia="宋体" w:cs="宋体"/>
                <w:sz w:val="21"/>
                <w:szCs w:val="21"/>
              </w:rPr>
            </w:pPr>
            <w:r>
              <w:rPr>
                <w:rFonts w:ascii="宋体" w:hAnsi="宋体" w:eastAsia="宋体" w:cs="宋体"/>
                <w:spacing w:val="-2"/>
                <w:sz w:val="21"/>
                <w:szCs w:val="21"/>
              </w:rPr>
              <w:t>1.《危险化学品安全管理条</w:t>
            </w:r>
            <w:r>
              <w:rPr>
                <w:rFonts w:ascii="宋体" w:hAnsi="宋体" w:eastAsia="宋体" w:cs="宋体"/>
                <w:spacing w:val="7"/>
                <w:sz w:val="21"/>
                <w:szCs w:val="21"/>
              </w:rPr>
              <w:t>例》第二十四条第二款危险化</w:t>
            </w:r>
            <w:r>
              <w:rPr>
                <w:rFonts w:ascii="宋体" w:hAnsi="宋体" w:eastAsia="宋体" w:cs="宋体"/>
                <w:spacing w:val="9"/>
                <w:sz w:val="21"/>
                <w:szCs w:val="21"/>
              </w:rPr>
              <w:t>学品的储存方式、方法以及储存</w:t>
            </w:r>
            <w:r>
              <w:rPr>
                <w:rFonts w:ascii="宋体" w:hAnsi="宋体" w:eastAsia="宋体" w:cs="宋体"/>
                <w:spacing w:val="19"/>
                <w:sz w:val="21"/>
                <w:szCs w:val="21"/>
              </w:rPr>
              <w:t>数量应当符合国家标准或者国</w:t>
            </w:r>
            <w:r>
              <w:rPr>
                <w:rFonts w:ascii="宋体" w:hAnsi="宋体" w:eastAsia="宋体" w:cs="宋体"/>
                <w:spacing w:val="28"/>
                <w:sz w:val="21"/>
                <w:szCs w:val="21"/>
              </w:rPr>
              <w:t>家有关规定。</w:t>
            </w:r>
          </w:p>
          <w:p w14:paraId="60A45257">
            <w:pPr>
              <w:spacing w:before="33" w:line="244" w:lineRule="auto"/>
              <w:ind w:left="142" w:right="44" w:firstLine="429"/>
              <w:jc w:val="both"/>
              <w:rPr>
                <w:rFonts w:ascii="宋体" w:hAnsi="宋体" w:eastAsia="宋体" w:cs="宋体"/>
                <w:sz w:val="21"/>
                <w:szCs w:val="21"/>
              </w:rPr>
            </w:pPr>
            <w:r>
              <w:rPr>
                <w:rFonts w:ascii="宋体" w:hAnsi="宋体" w:eastAsia="宋体" w:cs="宋体"/>
                <w:spacing w:val="-1"/>
                <w:sz w:val="21"/>
                <w:szCs w:val="21"/>
              </w:rPr>
              <w:t>2.《化工和危险化学品生产</w:t>
            </w:r>
            <w:r>
              <w:rPr>
                <w:rFonts w:ascii="宋体" w:hAnsi="宋体" w:eastAsia="宋体" w:cs="宋体"/>
                <w:spacing w:val="21"/>
                <w:sz w:val="21"/>
                <w:szCs w:val="21"/>
              </w:rPr>
              <w:t>经营单位重大生产安全事故隐</w:t>
            </w:r>
            <w:r>
              <w:rPr>
                <w:rFonts w:ascii="宋体" w:hAnsi="宋体" w:eastAsia="宋体" w:cs="宋体"/>
                <w:spacing w:val="27"/>
                <w:sz w:val="21"/>
                <w:szCs w:val="21"/>
              </w:rPr>
              <w:t>患判定标准(试行)》(安监总</w:t>
            </w:r>
          </w:p>
        </w:tc>
        <w:tc>
          <w:tcPr>
            <w:tcW w:w="4315" w:type="dxa"/>
            <w:noWrap w:val="0"/>
            <w:vAlign w:val="top"/>
          </w:tcPr>
          <w:p w14:paraId="47548542">
            <w:pPr>
              <w:spacing w:before="105" w:line="251" w:lineRule="auto"/>
              <w:ind w:left="135" w:firstLine="458"/>
              <w:jc w:val="both"/>
              <w:rPr>
                <w:rFonts w:ascii="宋体" w:hAnsi="宋体" w:eastAsia="宋体" w:cs="宋体"/>
                <w:sz w:val="21"/>
                <w:szCs w:val="21"/>
              </w:rPr>
            </w:pPr>
            <w:r>
              <w:rPr>
                <w:rFonts w:ascii="宋体" w:hAnsi="宋体" w:eastAsia="宋体" w:cs="宋体"/>
                <w:spacing w:val="20"/>
                <w:sz w:val="21"/>
                <w:szCs w:val="21"/>
              </w:rPr>
              <w:t>《硝酸铵生产企业专</w:t>
            </w:r>
            <w:r>
              <w:rPr>
                <w:rFonts w:ascii="宋体" w:hAnsi="宋体" w:eastAsia="宋体" w:cs="宋体"/>
                <w:spacing w:val="10"/>
                <w:sz w:val="21"/>
                <w:szCs w:val="21"/>
              </w:rPr>
              <w:t>项安全风险隐患排查指南</w:t>
            </w:r>
            <w:r>
              <w:rPr>
                <w:rFonts w:ascii="宋体" w:hAnsi="宋体" w:eastAsia="宋体" w:cs="宋体"/>
                <w:spacing w:val="34"/>
                <w:sz w:val="21"/>
                <w:szCs w:val="21"/>
              </w:rPr>
              <w:t>(试行)》表1硝酸铵</w:t>
            </w:r>
            <w:r>
              <w:rPr>
                <w:rFonts w:ascii="宋体" w:hAnsi="宋体" w:eastAsia="宋体" w:cs="宋体"/>
                <w:spacing w:val="10"/>
                <w:sz w:val="21"/>
                <w:szCs w:val="21"/>
              </w:rPr>
              <w:t>企业重点检查项安全风险</w:t>
            </w:r>
            <w:r>
              <w:rPr>
                <w:rFonts w:ascii="宋体" w:hAnsi="宋体" w:eastAsia="宋体" w:cs="宋体"/>
                <w:spacing w:val="29"/>
                <w:sz w:val="21"/>
                <w:szCs w:val="21"/>
              </w:rPr>
              <w:t>隐患排查表第11条</w:t>
            </w:r>
            <w:r>
              <w:rPr>
                <w:rFonts w:ascii="宋体" w:hAnsi="宋体" w:eastAsia="宋体" w:cs="宋体"/>
                <w:spacing w:val="12"/>
                <w:sz w:val="21"/>
                <w:szCs w:val="21"/>
              </w:rPr>
              <w:t>固体硝酸铵应储存在专用</w:t>
            </w:r>
            <w:r>
              <w:rPr>
                <w:rFonts w:ascii="宋体" w:hAnsi="宋体" w:eastAsia="宋体" w:cs="宋体"/>
                <w:spacing w:val="-4"/>
                <w:sz w:val="21"/>
                <w:szCs w:val="21"/>
              </w:rPr>
              <w:t>仓库内，严禁与易燃物、可</w:t>
            </w:r>
            <w:r>
              <w:rPr>
                <w:rFonts w:ascii="宋体" w:hAnsi="宋体" w:eastAsia="宋体" w:cs="宋体"/>
                <w:spacing w:val="10"/>
                <w:sz w:val="21"/>
                <w:szCs w:val="21"/>
              </w:rPr>
              <w:t>燃物、还原剂、强酸、强</w:t>
            </w:r>
          </w:p>
        </w:tc>
        <w:tc>
          <w:tcPr>
            <w:tcW w:w="2025" w:type="dxa"/>
            <w:noWrap w:val="0"/>
            <w:vAlign w:val="top"/>
          </w:tcPr>
          <w:p w14:paraId="0CBFC06B">
            <w:pPr>
              <w:spacing w:before="125" w:line="249" w:lineRule="auto"/>
              <w:ind w:left="157" w:firstLine="445"/>
              <w:jc w:val="both"/>
              <w:rPr>
                <w:rFonts w:ascii="宋体" w:hAnsi="宋体" w:eastAsia="宋体" w:cs="宋体"/>
                <w:sz w:val="21"/>
                <w:szCs w:val="21"/>
              </w:rPr>
            </w:pPr>
            <w:r>
              <w:rPr>
                <w:rFonts w:ascii="宋体" w:hAnsi="宋体" w:eastAsia="宋体" w:cs="宋体"/>
                <w:spacing w:val="28"/>
                <w:sz w:val="21"/>
                <w:szCs w:val="21"/>
              </w:rPr>
              <w:t>《危险化学品安全</w:t>
            </w:r>
            <w:r>
              <w:rPr>
                <w:rFonts w:ascii="宋体" w:hAnsi="宋体" w:eastAsia="宋体" w:cs="宋体"/>
                <w:spacing w:val="3"/>
                <w:sz w:val="21"/>
                <w:szCs w:val="21"/>
              </w:rPr>
              <w:t>管理条例》第八十条第五</w:t>
            </w:r>
            <w:r>
              <w:rPr>
                <w:rFonts w:ascii="宋体" w:hAnsi="宋体" w:eastAsia="宋体" w:cs="宋体"/>
                <w:spacing w:val="1"/>
                <w:sz w:val="21"/>
                <w:szCs w:val="21"/>
              </w:rPr>
              <w:t>项生产、储存、使用危</w:t>
            </w:r>
            <w:r>
              <w:rPr>
                <w:rFonts w:ascii="宋体" w:hAnsi="宋体" w:eastAsia="宋体" w:cs="宋体"/>
                <w:spacing w:val="23"/>
                <w:sz w:val="21"/>
                <w:szCs w:val="21"/>
              </w:rPr>
              <w:t>险化学品的单位有下列</w:t>
            </w:r>
            <w:r>
              <w:rPr>
                <w:rFonts w:ascii="宋体" w:hAnsi="宋体" w:eastAsia="宋体" w:cs="宋体"/>
                <w:spacing w:val="3"/>
                <w:sz w:val="21"/>
                <w:szCs w:val="21"/>
              </w:rPr>
              <w:t>情形之一的，由安全生产</w:t>
            </w:r>
            <w:r>
              <w:rPr>
                <w:rFonts w:ascii="宋体" w:hAnsi="宋体" w:eastAsia="宋体" w:cs="宋体"/>
                <w:spacing w:val="12"/>
                <w:sz w:val="21"/>
                <w:szCs w:val="21"/>
              </w:rPr>
              <w:t>监督管理部门责令改正，</w:t>
            </w:r>
            <w:r>
              <w:rPr>
                <w:rFonts w:ascii="宋体" w:hAnsi="宋体" w:eastAsia="宋体" w:cs="宋体"/>
                <w:spacing w:val="30"/>
                <w:sz w:val="21"/>
                <w:szCs w:val="21"/>
              </w:rPr>
              <w:t>处5万元以上10万元以</w:t>
            </w:r>
            <w:r>
              <w:rPr>
                <w:rFonts w:ascii="宋体" w:hAnsi="宋体" w:eastAsia="宋体" w:cs="宋体"/>
                <w:spacing w:val="12"/>
                <w:sz w:val="21"/>
                <w:szCs w:val="21"/>
              </w:rPr>
              <w:t>下的罚款；拒不改正的，</w:t>
            </w:r>
          </w:p>
        </w:tc>
        <w:tc>
          <w:tcPr>
            <w:tcW w:w="1244" w:type="dxa"/>
            <w:noWrap w:val="0"/>
            <w:vAlign w:val="top"/>
          </w:tcPr>
          <w:p w14:paraId="502C98F9">
            <w:pPr>
              <w:spacing w:line="317" w:lineRule="auto"/>
              <w:rPr>
                <w:rFonts w:ascii="Arial"/>
                <w:sz w:val="21"/>
              </w:rPr>
            </w:pPr>
          </w:p>
          <w:p w14:paraId="1D8D10DE">
            <w:pPr>
              <w:spacing w:line="317" w:lineRule="auto"/>
              <w:rPr>
                <w:rFonts w:ascii="Arial"/>
                <w:sz w:val="21"/>
              </w:rPr>
            </w:pPr>
          </w:p>
          <w:p w14:paraId="22509381">
            <w:pPr>
              <w:spacing w:line="317" w:lineRule="auto"/>
              <w:rPr>
                <w:rFonts w:ascii="Arial"/>
                <w:sz w:val="21"/>
              </w:rPr>
            </w:pPr>
          </w:p>
          <w:p w14:paraId="15FF7AF8">
            <w:pPr>
              <w:spacing w:before="78" w:line="251" w:lineRule="auto"/>
              <w:ind w:left="119" w:right="141"/>
              <w:rPr>
                <w:rFonts w:ascii="宋体" w:hAnsi="宋体" w:eastAsia="宋体" w:cs="宋体"/>
                <w:sz w:val="24"/>
                <w:szCs w:val="24"/>
              </w:rPr>
            </w:pPr>
            <w:r>
              <w:rPr>
                <w:rFonts w:ascii="宋体" w:hAnsi="宋体" w:eastAsia="宋体" w:cs="宋体"/>
                <w:spacing w:val="3"/>
                <w:sz w:val="24"/>
                <w:szCs w:val="24"/>
              </w:rPr>
              <w:t>硝酸铵管</w:t>
            </w:r>
            <w:r>
              <w:rPr>
                <w:rFonts w:ascii="宋体" w:hAnsi="宋体" w:eastAsia="宋体" w:cs="宋体"/>
                <w:sz w:val="24"/>
                <w:szCs w:val="24"/>
              </w:rPr>
              <w:t>理</w:t>
            </w:r>
          </w:p>
        </w:tc>
      </w:tr>
    </w:tbl>
    <w:p w14:paraId="1AC5F7E2"/>
    <w:p w14:paraId="2F319FD7"/>
    <w:p w14:paraId="44BECD4C"/>
    <w:p w14:paraId="781DEC4C">
      <w:pPr>
        <w:spacing w:line="49" w:lineRule="exact"/>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38"/>
        <w:gridCol w:w="3497"/>
        <w:gridCol w:w="2868"/>
        <w:gridCol w:w="2848"/>
        <w:gridCol w:w="1244"/>
      </w:tblGrid>
      <w:tr w14:paraId="50B5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54" w:type="dxa"/>
            <w:noWrap w:val="0"/>
            <w:vAlign w:val="top"/>
          </w:tcPr>
          <w:p w14:paraId="63118E05">
            <w:pPr>
              <w:spacing w:before="222" w:line="221" w:lineRule="auto"/>
              <w:ind w:left="178"/>
              <w:rPr>
                <w:rFonts w:ascii="宋体" w:hAnsi="宋体" w:eastAsia="宋体" w:cs="宋体"/>
                <w:sz w:val="24"/>
                <w:szCs w:val="24"/>
              </w:rPr>
            </w:pPr>
            <w:r>
              <w:rPr>
                <w:rFonts w:ascii="宋体" w:hAnsi="宋体" w:eastAsia="宋体" w:cs="宋体"/>
                <w:b/>
                <w:bCs/>
                <w:spacing w:val="-5"/>
                <w:sz w:val="24"/>
                <w:szCs w:val="24"/>
              </w:rPr>
              <w:t>序号</w:t>
            </w:r>
          </w:p>
        </w:tc>
        <w:tc>
          <w:tcPr>
            <w:tcW w:w="2238" w:type="dxa"/>
            <w:noWrap w:val="0"/>
            <w:vAlign w:val="top"/>
          </w:tcPr>
          <w:p w14:paraId="2DF743C4">
            <w:pPr>
              <w:spacing w:before="91" w:line="219" w:lineRule="auto"/>
              <w:ind w:left="644"/>
              <w:rPr>
                <w:rFonts w:ascii="宋体" w:hAnsi="宋体" w:eastAsia="宋体" w:cs="宋体"/>
                <w:sz w:val="24"/>
                <w:szCs w:val="24"/>
              </w:rPr>
            </w:pPr>
            <w:r>
              <w:rPr>
                <w:rFonts w:ascii="宋体" w:hAnsi="宋体" w:eastAsia="宋体" w:cs="宋体"/>
                <w:b/>
                <w:bCs/>
                <w:spacing w:val="-5"/>
                <w:sz w:val="24"/>
                <w:szCs w:val="24"/>
              </w:rPr>
              <w:t>执法检查</w:t>
            </w:r>
          </w:p>
          <w:p w14:paraId="27594FAF">
            <w:pPr>
              <w:spacing w:before="35" w:line="202" w:lineRule="auto"/>
              <w:ind w:left="414"/>
              <w:rPr>
                <w:rFonts w:ascii="宋体" w:hAnsi="宋体" w:eastAsia="宋体" w:cs="宋体"/>
                <w:sz w:val="24"/>
                <w:szCs w:val="24"/>
              </w:rPr>
            </w:pPr>
            <w:r>
              <w:rPr>
                <w:rFonts w:ascii="宋体" w:hAnsi="宋体" w:eastAsia="宋体" w:cs="宋体"/>
                <w:b/>
                <w:bCs/>
                <w:spacing w:val="-4"/>
                <w:sz w:val="24"/>
                <w:szCs w:val="24"/>
              </w:rPr>
              <w:t>重点事项内容</w:t>
            </w:r>
          </w:p>
        </w:tc>
        <w:tc>
          <w:tcPr>
            <w:tcW w:w="3497" w:type="dxa"/>
            <w:noWrap w:val="0"/>
            <w:vAlign w:val="top"/>
          </w:tcPr>
          <w:p w14:paraId="570117AF">
            <w:pPr>
              <w:spacing w:before="219" w:line="219" w:lineRule="auto"/>
              <w:ind w:left="1046"/>
              <w:rPr>
                <w:rFonts w:ascii="宋体" w:hAnsi="宋体" w:eastAsia="宋体" w:cs="宋体"/>
                <w:sz w:val="24"/>
                <w:szCs w:val="24"/>
              </w:rPr>
            </w:pPr>
            <w:r>
              <w:rPr>
                <w:rFonts w:ascii="宋体" w:hAnsi="宋体" w:eastAsia="宋体" w:cs="宋体"/>
                <w:b/>
                <w:bCs/>
                <w:spacing w:val="-4"/>
                <w:sz w:val="24"/>
                <w:szCs w:val="24"/>
              </w:rPr>
              <w:t>执法检查依据</w:t>
            </w:r>
          </w:p>
        </w:tc>
        <w:tc>
          <w:tcPr>
            <w:tcW w:w="2868" w:type="dxa"/>
            <w:noWrap w:val="0"/>
            <w:vAlign w:val="top"/>
          </w:tcPr>
          <w:p w14:paraId="335C61E2">
            <w:pPr>
              <w:spacing w:before="82" w:line="220" w:lineRule="auto"/>
              <w:ind w:left="849"/>
              <w:rPr>
                <w:rFonts w:ascii="宋体" w:hAnsi="宋体" w:eastAsia="宋体" w:cs="宋体"/>
                <w:sz w:val="24"/>
                <w:szCs w:val="24"/>
              </w:rPr>
            </w:pPr>
            <w:r>
              <w:rPr>
                <w:rFonts w:ascii="宋体" w:hAnsi="宋体" w:eastAsia="宋体" w:cs="宋体"/>
                <w:b/>
                <w:bCs/>
                <w:spacing w:val="-5"/>
                <w:sz w:val="24"/>
                <w:szCs w:val="24"/>
              </w:rPr>
              <w:t>有关规范性</w:t>
            </w:r>
          </w:p>
          <w:p w14:paraId="222321D7">
            <w:pPr>
              <w:spacing w:before="22" w:line="218" w:lineRule="auto"/>
              <w:ind w:left="609"/>
              <w:rPr>
                <w:rFonts w:ascii="宋体" w:hAnsi="宋体" w:eastAsia="宋体" w:cs="宋体"/>
                <w:sz w:val="24"/>
                <w:szCs w:val="24"/>
              </w:rPr>
            </w:pPr>
            <w:r>
              <w:rPr>
                <w:rFonts w:ascii="宋体" w:hAnsi="宋体" w:eastAsia="宋体" w:cs="宋体"/>
                <w:b/>
                <w:bCs/>
                <w:spacing w:val="-4"/>
                <w:sz w:val="24"/>
                <w:szCs w:val="24"/>
              </w:rPr>
              <w:t>文件及标准要求</w:t>
            </w:r>
          </w:p>
        </w:tc>
        <w:tc>
          <w:tcPr>
            <w:tcW w:w="2848" w:type="dxa"/>
            <w:noWrap w:val="0"/>
            <w:vAlign w:val="top"/>
          </w:tcPr>
          <w:p w14:paraId="01FBA2DE">
            <w:pPr>
              <w:spacing w:before="219" w:line="219" w:lineRule="auto"/>
              <w:ind w:left="961"/>
              <w:rPr>
                <w:rFonts w:ascii="宋体" w:hAnsi="宋体" w:eastAsia="宋体" w:cs="宋体"/>
                <w:sz w:val="24"/>
                <w:szCs w:val="24"/>
              </w:rPr>
            </w:pPr>
            <w:r>
              <w:rPr>
                <w:rFonts w:ascii="宋体" w:hAnsi="宋体" w:eastAsia="宋体" w:cs="宋体"/>
                <w:b/>
                <w:bCs/>
                <w:spacing w:val="4"/>
                <w:sz w:val="24"/>
                <w:szCs w:val="24"/>
              </w:rPr>
              <w:t>处罚依据</w:t>
            </w:r>
          </w:p>
        </w:tc>
        <w:tc>
          <w:tcPr>
            <w:tcW w:w="1244" w:type="dxa"/>
            <w:noWrap w:val="0"/>
            <w:vAlign w:val="top"/>
          </w:tcPr>
          <w:p w14:paraId="5601D9F5">
            <w:pPr>
              <w:spacing w:before="222" w:line="221" w:lineRule="auto"/>
              <w:ind w:left="383"/>
              <w:rPr>
                <w:rFonts w:ascii="宋体" w:hAnsi="宋体" w:eastAsia="宋体" w:cs="宋体"/>
                <w:sz w:val="24"/>
                <w:szCs w:val="24"/>
              </w:rPr>
            </w:pPr>
            <w:r>
              <w:rPr>
                <w:rFonts w:ascii="宋体" w:hAnsi="宋体" w:eastAsia="宋体" w:cs="宋体"/>
                <w:b/>
                <w:bCs/>
                <w:spacing w:val="-6"/>
                <w:sz w:val="24"/>
                <w:szCs w:val="24"/>
              </w:rPr>
              <w:t>备注</w:t>
            </w:r>
          </w:p>
        </w:tc>
      </w:tr>
      <w:tr w14:paraId="0B9DC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4" w:type="dxa"/>
            <w:noWrap w:val="0"/>
            <w:vAlign w:val="top"/>
          </w:tcPr>
          <w:p w14:paraId="2DDA806C">
            <w:pPr>
              <w:rPr>
                <w:rFonts w:ascii="Arial"/>
                <w:sz w:val="21"/>
                <w:szCs w:val="21"/>
              </w:rPr>
            </w:pPr>
          </w:p>
        </w:tc>
        <w:tc>
          <w:tcPr>
            <w:tcW w:w="2238" w:type="dxa"/>
            <w:noWrap w:val="0"/>
            <w:vAlign w:val="top"/>
          </w:tcPr>
          <w:p w14:paraId="4E40E95E">
            <w:pPr>
              <w:spacing w:before="93" w:line="255" w:lineRule="auto"/>
              <w:ind w:left="131" w:firstLine="79"/>
              <w:jc w:val="both"/>
              <w:rPr>
                <w:rFonts w:ascii="宋体" w:hAnsi="宋体" w:eastAsia="宋体" w:cs="宋体"/>
                <w:sz w:val="21"/>
                <w:szCs w:val="21"/>
              </w:rPr>
            </w:pPr>
            <w:r>
              <w:rPr>
                <w:rFonts w:ascii="宋体" w:hAnsi="宋体" w:eastAsia="宋体" w:cs="宋体"/>
                <w:spacing w:val="9"/>
                <w:sz w:val="21"/>
                <w:szCs w:val="21"/>
              </w:rPr>
              <w:t>等标准要求确定硝</w:t>
            </w:r>
            <w:r>
              <w:rPr>
                <w:rFonts w:ascii="宋体" w:hAnsi="宋体" w:eastAsia="宋体" w:cs="宋体"/>
                <w:spacing w:val="31"/>
                <w:sz w:val="21"/>
                <w:szCs w:val="21"/>
              </w:rPr>
              <w:t>酸铵最大储存量。</w:t>
            </w:r>
            <w:r>
              <w:rPr>
                <w:rFonts w:ascii="宋体" w:hAnsi="宋体" w:eastAsia="宋体" w:cs="宋体"/>
                <w:spacing w:val="19"/>
                <w:sz w:val="21"/>
                <w:szCs w:val="21"/>
              </w:rPr>
              <w:t>硝酸铵库房间距离</w:t>
            </w:r>
            <w:r>
              <w:rPr>
                <w:rFonts w:ascii="宋体" w:hAnsi="宋体" w:eastAsia="宋体" w:cs="宋体"/>
                <w:spacing w:val="17"/>
                <w:sz w:val="21"/>
                <w:szCs w:val="21"/>
              </w:rPr>
              <w:t>不足50米；固体硝</w:t>
            </w:r>
            <w:r>
              <w:rPr>
                <w:rFonts w:ascii="宋体" w:hAnsi="宋体" w:eastAsia="宋体" w:cs="宋体"/>
                <w:spacing w:val="16"/>
                <w:sz w:val="21"/>
                <w:szCs w:val="21"/>
              </w:rPr>
              <w:t>酸铵仓库周边50米</w:t>
            </w:r>
            <w:r>
              <w:rPr>
                <w:rFonts w:ascii="宋体" w:hAnsi="宋体" w:eastAsia="宋体" w:cs="宋体"/>
                <w:spacing w:val="18"/>
                <w:sz w:val="21"/>
                <w:szCs w:val="21"/>
              </w:rPr>
              <w:t>内，存放易燃易爆</w:t>
            </w:r>
            <w:r>
              <w:rPr>
                <w:rFonts w:ascii="宋体" w:hAnsi="宋体" w:eastAsia="宋体" w:cs="宋体"/>
                <w:spacing w:val="20"/>
                <w:sz w:val="21"/>
                <w:szCs w:val="21"/>
              </w:rPr>
              <w:t>物品，建有涉及易</w:t>
            </w:r>
            <w:r>
              <w:rPr>
                <w:rFonts w:ascii="宋体" w:hAnsi="宋体" w:eastAsia="宋体" w:cs="宋体"/>
                <w:spacing w:val="19"/>
                <w:sz w:val="21"/>
                <w:szCs w:val="21"/>
              </w:rPr>
              <w:t>燃易爆物品的生产</w:t>
            </w:r>
            <w:r>
              <w:rPr>
                <w:rFonts w:ascii="宋体" w:hAnsi="宋体" w:eastAsia="宋体" w:cs="宋体"/>
                <w:spacing w:val="31"/>
                <w:sz w:val="21"/>
                <w:szCs w:val="21"/>
              </w:rPr>
              <w:t>装置和储存设施。</w:t>
            </w:r>
            <w:r>
              <w:rPr>
                <w:rFonts w:ascii="宋体" w:hAnsi="宋体" w:eastAsia="宋体" w:cs="宋体"/>
                <w:spacing w:val="16"/>
                <w:sz w:val="21"/>
                <w:szCs w:val="21"/>
              </w:rPr>
              <w:t>散装储存和露天存</w:t>
            </w:r>
            <w:r>
              <w:rPr>
                <w:rFonts w:ascii="宋体" w:hAnsi="宋体" w:eastAsia="宋体" w:cs="宋体"/>
                <w:spacing w:val="19"/>
                <w:sz w:val="21"/>
                <w:szCs w:val="21"/>
              </w:rPr>
              <w:t>放固体硝酸铵等相</w:t>
            </w:r>
            <w:r>
              <w:rPr>
                <w:rFonts w:ascii="宋体" w:hAnsi="宋体" w:eastAsia="宋体" w:cs="宋体"/>
                <w:spacing w:val="29"/>
                <w:sz w:val="21"/>
                <w:szCs w:val="21"/>
              </w:rPr>
              <w:t>关情形)。</w:t>
            </w:r>
          </w:p>
        </w:tc>
        <w:tc>
          <w:tcPr>
            <w:tcW w:w="3497" w:type="dxa"/>
            <w:noWrap w:val="0"/>
            <w:vAlign w:val="top"/>
          </w:tcPr>
          <w:p w14:paraId="6F919D79">
            <w:pPr>
              <w:spacing w:before="92" w:line="249" w:lineRule="auto"/>
              <w:ind w:left="132"/>
              <w:jc w:val="both"/>
              <w:rPr>
                <w:rFonts w:ascii="宋体" w:hAnsi="宋体" w:eastAsia="宋体" w:cs="宋体"/>
                <w:sz w:val="21"/>
                <w:szCs w:val="21"/>
              </w:rPr>
            </w:pPr>
            <w:r>
              <w:rPr>
                <w:rFonts w:ascii="宋体" w:hAnsi="宋体" w:eastAsia="宋体" w:cs="宋体"/>
                <w:spacing w:val="15"/>
                <w:sz w:val="21"/>
                <w:szCs w:val="21"/>
              </w:rPr>
              <w:t>管三〔2017〕121号)第二十条</w:t>
            </w:r>
            <w:r>
              <w:rPr>
                <w:rFonts w:ascii="宋体" w:hAnsi="宋体" w:eastAsia="宋体" w:cs="宋体"/>
                <w:spacing w:val="20"/>
                <w:sz w:val="21"/>
                <w:szCs w:val="21"/>
              </w:rPr>
              <w:t>未按国家标准分区分类储存危</w:t>
            </w:r>
            <w:r>
              <w:rPr>
                <w:rFonts w:ascii="宋体" w:hAnsi="宋体" w:eastAsia="宋体" w:cs="宋体"/>
                <w:spacing w:val="9"/>
                <w:sz w:val="21"/>
                <w:szCs w:val="21"/>
              </w:rPr>
              <w:t>险化学品，超量、超品种储存危险化学品，相互禁配物质混放混</w:t>
            </w:r>
            <w:r>
              <w:rPr>
                <w:rFonts w:ascii="宋体" w:hAnsi="宋体" w:eastAsia="宋体" w:cs="宋体"/>
                <w:sz w:val="21"/>
                <w:szCs w:val="21"/>
              </w:rPr>
              <w:t>存。</w:t>
            </w:r>
          </w:p>
          <w:p w14:paraId="16568E88">
            <w:pPr>
              <w:spacing w:before="60" w:line="254" w:lineRule="auto"/>
              <w:ind w:left="113" w:firstLine="454"/>
              <w:rPr>
                <w:rFonts w:ascii="宋体" w:hAnsi="宋体" w:eastAsia="宋体" w:cs="宋体"/>
                <w:sz w:val="21"/>
                <w:szCs w:val="21"/>
              </w:rPr>
            </w:pPr>
            <w:r>
              <w:rPr>
                <w:rFonts w:ascii="宋体" w:hAnsi="宋体" w:eastAsia="宋体" w:cs="宋体"/>
                <w:spacing w:val="-8"/>
                <w:sz w:val="21"/>
                <w:szCs w:val="21"/>
              </w:rPr>
              <w:t>3.《关于进一步加强硝酸铵</w:t>
            </w:r>
            <w:r>
              <w:rPr>
                <w:rFonts w:ascii="宋体" w:hAnsi="宋体" w:eastAsia="宋体" w:cs="宋体"/>
                <w:spacing w:val="2"/>
                <w:sz w:val="21"/>
                <w:szCs w:val="21"/>
              </w:rPr>
              <w:t>安全管理的通知》(应急〔2021〕</w:t>
            </w:r>
            <w:r>
              <w:rPr>
                <w:rFonts w:ascii="宋体" w:hAnsi="宋体" w:eastAsia="宋体" w:cs="宋体"/>
                <w:spacing w:val="23"/>
                <w:sz w:val="21"/>
                <w:szCs w:val="21"/>
              </w:rPr>
              <w:t>64号)三、完善硝酸铵储存安</w:t>
            </w:r>
            <w:r>
              <w:rPr>
                <w:rFonts w:ascii="宋体" w:hAnsi="宋体" w:eastAsia="宋体" w:cs="宋体"/>
                <w:spacing w:val="3"/>
                <w:sz w:val="21"/>
                <w:szCs w:val="21"/>
              </w:rPr>
              <w:t>全管理措施硝酸铵生产、经营</w:t>
            </w:r>
            <w:r>
              <w:rPr>
                <w:rFonts w:ascii="宋体" w:hAnsi="宋体" w:eastAsia="宋体" w:cs="宋体"/>
                <w:spacing w:val="7"/>
                <w:sz w:val="21"/>
                <w:szCs w:val="21"/>
              </w:rPr>
              <w:t>(带储存)企业和使用硝酸铵的</w:t>
            </w:r>
            <w:r>
              <w:rPr>
                <w:rFonts w:ascii="宋体" w:hAnsi="宋体" w:eastAsia="宋体" w:cs="宋体"/>
                <w:spacing w:val="13"/>
                <w:sz w:val="21"/>
                <w:szCs w:val="21"/>
              </w:rPr>
              <w:t>化工企业要进一步提升固体硝</w:t>
            </w:r>
            <w:r>
              <w:rPr>
                <w:rFonts w:ascii="宋体" w:hAnsi="宋体" w:eastAsia="宋体" w:cs="宋体"/>
                <w:spacing w:val="4"/>
                <w:sz w:val="21"/>
                <w:szCs w:val="21"/>
              </w:rPr>
              <w:t>酸库房储存条件，比照《民爆物</w:t>
            </w:r>
            <w:r>
              <w:rPr>
                <w:rFonts w:ascii="宋体" w:hAnsi="宋体" w:eastAsia="宋体" w:cs="宋体"/>
                <w:spacing w:val="-12"/>
                <w:sz w:val="21"/>
                <w:szCs w:val="21"/>
              </w:rPr>
              <w:t>品工程设计安全标准(G</w:t>
            </w:r>
            <w:r>
              <w:rPr>
                <w:rFonts w:ascii="宋体" w:hAnsi="宋体" w:eastAsia="宋体" w:cs="宋体"/>
                <w:spacing w:val="-41"/>
                <w:sz w:val="21"/>
                <w:szCs w:val="21"/>
              </w:rPr>
              <w:t xml:space="preserve"> </w:t>
            </w:r>
            <w:r>
              <w:rPr>
                <w:rFonts w:ascii="宋体" w:hAnsi="宋体" w:eastAsia="宋体" w:cs="宋体"/>
                <w:spacing w:val="-12"/>
                <w:sz w:val="21"/>
                <w:szCs w:val="21"/>
              </w:rPr>
              <w:t>B</w:t>
            </w:r>
            <w:r>
              <w:rPr>
                <w:rFonts w:ascii="宋体" w:hAnsi="宋体" w:eastAsia="宋体" w:cs="宋体"/>
                <w:sz w:val="21"/>
                <w:szCs w:val="21"/>
              </w:rPr>
              <w:t xml:space="preserve"> </w:t>
            </w:r>
            <w:r>
              <w:rPr>
                <w:rFonts w:ascii="宋体" w:hAnsi="宋体" w:eastAsia="宋体" w:cs="宋体"/>
                <w:spacing w:val="9"/>
                <w:sz w:val="21"/>
                <w:szCs w:val="21"/>
              </w:rPr>
              <w:t>50089)》7.13规定，单个库房</w:t>
            </w:r>
            <w:r>
              <w:rPr>
                <w:rFonts w:ascii="宋体" w:hAnsi="宋体" w:eastAsia="宋体" w:cs="宋体"/>
                <w:spacing w:val="4"/>
                <w:sz w:val="21"/>
                <w:szCs w:val="21"/>
              </w:rPr>
              <w:t>存储量应不大于500吨，库房周</w:t>
            </w:r>
            <w:r>
              <w:rPr>
                <w:rFonts w:ascii="宋体" w:hAnsi="宋体" w:eastAsia="宋体" w:cs="宋体"/>
                <w:spacing w:val="21"/>
                <w:sz w:val="21"/>
                <w:szCs w:val="21"/>
              </w:rPr>
              <w:t>边(50m)不得存放易燃易爆物</w:t>
            </w:r>
            <w:r>
              <w:rPr>
                <w:rFonts w:ascii="宋体" w:hAnsi="宋体" w:eastAsia="宋体" w:cs="宋体"/>
                <w:spacing w:val="5"/>
                <w:sz w:val="21"/>
                <w:szCs w:val="21"/>
              </w:rPr>
              <w:t>品、不得建有涉及易燃易爆物品</w:t>
            </w:r>
            <w:r>
              <w:rPr>
                <w:rFonts w:ascii="宋体" w:hAnsi="宋体" w:eastAsia="宋体" w:cs="宋体"/>
                <w:spacing w:val="4"/>
                <w:sz w:val="21"/>
                <w:szCs w:val="21"/>
              </w:rPr>
              <w:t>的生产装置和储存设施。固体硝</w:t>
            </w:r>
            <w:r>
              <w:rPr>
                <w:rFonts w:ascii="宋体" w:hAnsi="宋体" w:eastAsia="宋体" w:cs="宋体"/>
                <w:spacing w:val="2"/>
                <w:sz w:val="21"/>
                <w:szCs w:val="21"/>
              </w:rPr>
              <w:t>酸铵库房应按照《建筑设计防火</w:t>
            </w:r>
            <w:r>
              <w:rPr>
                <w:rFonts w:ascii="宋体" w:hAnsi="宋体" w:eastAsia="宋体" w:cs="宋体"/>
                <w:spacing w:val="11"/>
                <w:sz w:val="21"/>
                <w:szCs w:val="21"/>
              </w:rPr>
              <w:t>规范(2018年版)》(</w:t>
            </w:r>
            <w:r>
              <w:rPr>
                <w:rFonts w:ascii="宋体" w:hAnsi="宋体" w:eastAsia="宋体" w:cs="宋体"/>
                <w:sz w:val="21"/>
                <w:szCs w:val="21"/>
              </w:rPr>
              <w:t>GB</w:t>
            </w:r>
            <w:r>
              <w:rPr>
                <w:rFonts w:ascii="宋体" w:hAnsi="宋体" w:eastAsia="宋体" w:cs="宋体"/>
                <w:spacing w:val="52"/>
                <w:sz w:val="21"/>
                <w:szCs w:val="21"/>
              </w:rPr>
              <w:t xml:space="preserve"> </w:t>
            </w:r>
            <w:r>
              <w:rPr>
                <w:rFonts w:ascii="宋体" w:hAnsi="宋体" w:eastAsia="宋体" w:cs="宋体"/>
                <w:spacing w:val="11"/>
                <w:sz w:val="21"/>
                <w:szCs w:val="21"/>
              </w:rPr>
              <w:t>50016)</w:t>
            </w:r>
            <w:r>
              <w:rPr>
                <w:rFonts w:ascii="宋体" w:hAnsi="宋体" w:eastAsia="宋体" w:cs="宋体"/>
                <w:spacing w:val="4"/>
                <w:sz w:val="21"/>
                <w:szCs w:val="21"/>
              </w:rPr>
              <w:t>要求，按甲类仓库设计，单层独立建造，采用封闭结构，耐火等</w:t>
            </w:r>
            <w:r>
              <w:rPr>
                <w:rFonts w:ascii="宋体" w:hAnsi="宋体" w:eastAsia="宋体" w:cs="宋体"/>
                <w:spacing w:val="5"/>
                <w:sz w:val="21"/>
                <w:szCs w:val="21"/>
              </w:rPr>
              <w:t>级不低于二级；设置甲级防火门</w:t>
            </w:r>
          </w:p>
        </w:tc>
        <w:tc>
          <w:tcPr>
            <w:tcW w:w="2868" w:type="dxa"/>
            <w:noWrap w:val="0"/>
            <w:vAlign w:val="top"/>
          </w:tcPr>
          <w:p w14:paraId="4ED819D8">
            <w:pPr>
              <w:spacing w:before="95" w:line="253" w:lineRule="auto"/>
              <w:ind w:left="155"/>
              <w:jc w:val="both"/>
              <w:rPr>
                <w:rFonts w:ascii="宋体" w:hAnsi="宋体" w:eastAsia="宋体" w:cs="宋体"/>
                <w:sz w:val="21"/>
                <w:szCs w:val="21"/>
              </w:rPr>
            </w:pPr>
            <w:r>
              <w:rPr>
                <w:rFonts w:ascii="宋体" w:hAnsi="宋体" w:eastAsia="宋体" w:cs="宋体"/>
                <w:spacing w:val="9"/>
                <w:sz w:val="21"/>
                <w:szCs w:val="21"/>
              </w:rPr>
              <w:t>碱、亚硝酸盐、金属粉末等禁忌物质混存混放或接触；严禁露天存放、散装</w:t>
            </w:r>
            <w:r>
              <w:rPr>
                <w:rFonts w:ascii="宋体" w:hAnsi="宋体" w:eastAsia="宋体" w:cs="宋体"/>
                <w:spacing w:val="20"/>
                <w:sz w:val="21"/>
                <w:szCs w:val="21"/>
              </w:rPr>
              <w:t>储存(不带外包装的净货</w:t>
            </w:r>
            <w:r>
              <w:rPr>
                <w:rFonts w:ascii="宋体" w:hAnsi="宋体" w:eastAsia="宋体" w:cs="宋体"/>
                <w:spacing w:val="-6"/>
                <w:sz w:val="21"/>
                <w:szCs w:val="21"/>
              </w:rPr>
              <w:t>储存)。第13条固体</w:t>
            </w:r>
            <w:r>
              <w:rPr>
                <w:rFonts w:ascii="宋体" w:hAnsi="宋体" w:eastAsia="宋体" w:cs="宋体"/>
                <w:spacing w:val="23"/>
                <w:sz w:val="21"/>
                <w:szCs w:val="21"/>
              </w:rPr>
              <w:t>硝酸铵仓库周边50m内，</w:t>
            </w:r>
            <w:r>
              <w:rPr>
                <w:rFonts w:ascii="宋体" w:hAnsi="宋体" w:eastAsia="宋体" w:cs="宋体"/>
                <w:spacing w:val="9"/>
                <w:sz w:val="21"/>
                <w:szCs w:val="21"/>
              </w:rPr>
              <w:t>不应存放任何易燃易爆物</w:t>
            </w:r>
            <w:r>
              <w:rPr>
                <w:rFonts w:ascii="宋体" w:hAnsi="宋体" w:eastAsia="宋体" w:cs="宋体"/>
                <w:spacing w:val="10"/>
                <w:sz w:val="21"/>
                <w:szCs w:val="21"/>
              </w:rPr>
              <w:t>品，不应建有涉及易燃易</w:t>
            </w:r>
            <w:r>
              <w:rPr>
                <w:rFonts w:ascii="宋体" w:hAnsi="宋体" w:eastAsia="宋体" w:cs="宋体"/>
                <w:spacing w:val="7"/>
                <w:sz w:val="21"/>
                <w:szCs w:val="21"/>
              </w:rPr>
              <w:t>爆物品的生产装置和储存</w:t>
            </w:r>
            <w:r>
              <w:rPr>
                <w:rFonts w:ascii="宋体" w:hAnsi="宋体" w:eastAsia="宋体" w:cs="宋体"/>
                <w:spacing w:val="-2"/>
                <w:sz w:val="21"/>
                <w:szCs w:val="21"/>
              </w:rPr>
              <w:t>设施。</w:t>
            </w:r>
          </w:p>
          <w:p w14:paraId="7A35CAEA">
            <w:pPr>
              <w:spacing w:before="71" w:line="252" w:lineRule="auto"/>
              <w:ind w:left="155" w:right="28" w:firstLine="449"/>
              <w:jc w:val="both"/>
              <w:rPr>
                <w:rFonts w:ascii="宋体" w:hAnsi="宋体" w:eastAsia="宋体" w:cs="宋体"/>
                <w:sz w:val="21"/>
                <w:szCs w:val="21"/>
              </w:rPr>
            </w:pPr>
            <w:r>
              <w:rPr>
                <w:rFonts w:ascii="宋体" w:hAnsi="宋体" w:eastAsia="宋体" w:cs="宋体"/>
                <w:spacing w:val="18"/>
                <w:sz w:val="21"/>
                <w:szCs w:val="21"/>
              </w:rPr>
              <w:t>表2硝酸铵生产企</w:t>
            </w:r>
            <w:r>
              <w:rPr>
                <w:rFonts w:ascii="宋体" w:hAnsi="宋体" w:eastAsia="宋体" w:cs="宋体"/>
                <w:spacing w:val="11"/>
                <w:sz w:val="21"/>
                <w:szCs w:val="21"/>
              </w:rPr>
              <w:t>业重点检查项安全风险隐</w:t>
            </w:r>
            <w:r>
              <w:rPr>
                <w:rFonts w:ascii="宋体" w:hAnsi="宋体" w:eastAsia="宋体" w:cs="宋体"/>
                <w:spacing w:val="26"/>
                <w:sz w:val="21"/>
                <w:szCs w:val="21"/>
              </w:rPr>
              <w:t>患排查表第5条新</w:t>
            </w:r>
            <w:r>
              <w:rPr>
                <w:rFonts w:ascii="宋体" w:hAnsi="宋体" w:eastAsia="宋体" w:cs="宋体"/>
                <w:spacing w:val="10"/>
                <w:sz w:val="21"/>
                <w:szCs w:val="21"/>
              </w:rPr>
              <w:t>建、改建、扩建硝酸铵建</w:t>
            </w:r>
            <w:r>
              <w:rPr>
                <w:rFonts w:ascii="宋体" w:hAnsi="宋体" w:eastAsia="宋体" w:cs="宋体"/>
                <w:spacing w:val="7"/>
                <w:sz w:val="21"/>
                <w:szCs w:val="21"/>
              </w:rPr>
              <w:t>设项目应按照</w:t>
            </w:r>
            <w:r>
              <w:rPr>
                <w:rFonts w:ascii="宋体" w:hAnsi="宋体" w:eastAsia="宋体" w:cs="宋体"/>
                <w:sz w:val="21"/>
                <w:szCs w:val="21"/>
              </w:rPr>
              <w:t>GB</w:t>
            </w:r>
            <w:r>
              <w:rPr>
                <w:rFonts w:ascii="宋体" w:hAnsi="宋体" w:eastAsia="宋体" w:cs="宋体"/>
                <w:spacing w:val="7"/>
                <w:sz w:val="21"/>
                <w:szCs w:val="21"/>
              </w:rPr>
              <w:t>/T</w:t>
            </w:r>
            <w:r>
              <w:rPr>
                <w:rFonts w:ascii="宋体" w:hAnsi="宋体" w:eastAsia="宋体" w:cs="宋体"/>
                <w:spacing w:val="33"/>
                <w:sz w:val="21"/>
                <w:szCs w:val="21"/>
              </w:rPr>
              <w:t xml:space="preserve"> </w:t>
            </w:r>
            <w:r>
              <w:rPr>
                <w:rFonts w:ascii="宋体" w:hAnsi="宋体" w:eastAsia="宋体" w:cs="宋体"/>
                <w:spacing w:val="7"/>
                <w:sz w:val="21"/>
                <w:szCs w:val="21"/>
              </w:rPr>
              <w:t>37243</w:t>
            </w:r>
            <w:r>
              <w:rPr>
                <w:rFonts w:ascii="宋体" w:hAnsi="宋体" w:eastAsia="宋体" w:cs="宋体"/>
                <w:spacing w:val="11"/>
                <w:sz w:val="21"/>
                <w:szCs w:val="21"/>
              </w:rPr>
              <w:t>中的定量风险评价法确定</w:t>
            </w:r>
            <w:r>
              <w:rPr>
                <w:rFonts w:ascii="宋体" w:hAnsi="宋体" w:eastAsia="宋体" w:cs="宋体"/>
                <w:spacing w:val="10"/>
                <w:sz w:val="21"/>
                <w:szCs w:val="21"/>
              </w:rPr>
              <w:t>其外部安全防护距离，个人风险和社会风险应满足</w:t>
            </w:r>
            <w:r>
              <w:rPr>
                <w:rFonts w:ascii="宋体" w:hAnsi="宋体" w:eastAsia="宋体" w:cs="宋体"/>
                <w:sz w:val="21"/>
                <w:szCs w:val="21"/>
              </w:rPr>
              <w:t>GB</w:t>
            </w:r>
            <w:r>
              <w:rPr>
                <w:rFonts w:ascii="宋体" w:hAnsi="宋体" w:eastAsia="宋体" w:cs="宋体"/>
                <w:spacing w:val="34"/>
                <w:sz w:val="21"/>
                <w:szCs w:val="21"/>
              </w:rPr>
              <w:t xml:space="preserve"> </w:t>
            </w:r>
            <w:r>
              <w:rPr>
                <w:rFonts w:ascii="宋体" w:hAnsi="宋体" w:eastAsia="宋体" w:cs="宋体"/>
                <w:spacing w:val="9"/>
                <w:sz w:val="21"/>
                <w:szCs w:val="21"/>
              </w:rPr>
              <w:t>36894要求。确定外部</w:t>
            </w:r>
            <w:r>
              <w:rPr>
                <w:rFonts w:ascii="宋体" w:hAnsi="宋体" w:eastAsia="宋体" w:cs="宋体"/>
                <w:spacing w:val="10"/>
                <w:sz w:val="21"/>
                <w:szCs w:val="21"/>
              </w:rPr>
              <w:t>安全防护距离时，应将企</w:t>
            </w:r>
            <w:r>
              <w:rPr>
                <w:rFonts w:ascii="宋体" w:hAnsi="宋体" w:eastAsia="宋体" w:cs="宋体"/>
                <w:spacing w:val="9"/>
                <w:sz w:val="21"/>
                <w:szCs w:val="21"/>
              </w:rPr>
              <w:t>业内所有的危险化学品生</w:t>
            </w:r>
            <w:r>
              <w:rPr>
                <w:rFonts w:ascii="宋体" w:hAnsi="宋体" w:eastAsia="宋体" w:cs="宋体"/>
                <w:spacing w:val="11"/>
                <w:sz w:val="21"/>
                <w:szCs w:val="21"/>
              </w:rPr>
              <w:t>产装置和储存设施作为一</w:t>
            </w:r>
            <w:r>
              <w:rPr>
                <w:rFonts w:ascii="宋体" w:hAnsi="宋体" w:eastAsia="宋体" w:cs="宋体"/>
                <w:spacing w:val="34"/>
                <w:sz w:val="21"/>
                <w:szCs w:val="21"/>
              </w:rPr>
              <w:t>个整体进行定量风险评</w:t>
            </w:r>
          </w:p>
        </w:tc>
        <w:tc>
          <w:tcPr>
            <w:tcW w:w="2848" w:type="dxa"/>
            <w:noWrap w:val="0"/>
            <w:vAlign w:val="top"/>
          </w:tcPr>
          <w:p w14:paraId="42514827">
            <w:pPr>
              <w:spacing w:before="86" w:line="244" w:lineRule="auto"/>
              <w:ind w:left="147" w:right="34"/>
              <w:jc w:val="both"/>
              <w:rPr>
                <w:rFonts w:ascii="宋体" w:hAnsi="宋体" w:eastAsia="宋体" w:cs="宋体"/>
                <w:sz w:val="21"/>
                <w:szCs w:val="21"/>
              </w:rPr>
            </w:pPr>
            <w:r>
              <w:rPr>
                <w:rFonts w:ascii="宋体" w:hAnsi="宋体" w:eastAsia="宋体" w:cs="宋体"/>
                <w:spacing w:val="21"/>
                <w:sz w:val="21"/>
                <w:szCs w:val="21"/>
              </w:rPr>
              <w:t>责令停产停业整顿直至由原发证机关吊销其相</w:t>
            </w:r>
            <w:r>
              <w:rPr>
                <w:rFonts w:ascii="宋体" w:hAnsi="宋体" w:eastAsia="宋体" w:cs="宋体"/>
                <w:spacing w:val="1"/>
                <w:sz w:val="21"/>
                <w:szCs w:val="21"/>
              </w:rPr>
              <w:t>关许可证件，并由工商行</w:t>
            </w:r>
            <w:r>
              <w:rPr>
                <w:rFonts w:ascii="宋体" w:hAnsi="宋体" w:eastAsia="宋体" w:cs="宋体"/>
                <w:spacing w:val="20"/>
                <w:sz w:val="21"/>
                <w:szCs w:val="21"/>
              </w:rPr>
              <w:t>政管理部门责令其办理</w:t>
            </w:r>
            <w:r>
              <w:rPr>
                <w:rFonts w:ascii="宋体" w:hAnsi="宋体" w:eastAsia="宋体" w:cs="宋体"/>
                <w:spacing w:val="21"/>
                <w:sz w:val="21"/>
                <w:szCs w:val="21"/>
              </w:rPr>
              <w:t>经营范围变更登记或者</w:t>
            </w:r>
            <w:r>
              <w:rPr>
                <w:rFonts w:ascii="宋体" w:hAnsi="宋体" w:eastAsia="宋体" w:cs="宋体"/>
                <w:spacing w:val="1"/>
                <w:sz w:val="21"/>
                <w:szCs w:val="21"/>
              </w:rPr>
              <w:t>吊销其营业执照；有关责</w:t>
            </w:r>
            <w:r>
              <w:rPr>
                <w:rFonts w:ascii="宋体" w:hAnsi="宋体" w:eastAsia="宋体" w:cs="宋体"/>
                <w:spacing w:val="-1"/>
                <w:sz w:val="21"/>
                <w:szCs w:val="21"/>
              </w:rPr>
              <w:t>任人员构成犯罪的，依法</w:t>
            </w:r>
            <w:r>
              <w:rPr>
                <w:rFonts w:ascii="宋体" w:hAnsi="宋体" w:eastAsia="宋体" w:cs="宋体"/>
                <w:spacing w:val="17"/>
                <w:sz w:val="21"/>
                <w:szCs w:val="21"/>
              </w:rPr>
              <w:t>追究刑事责任：</w:t>
            </w:r>
          </w:p>
          <w:p w14:paraId="25FBB0F2">
            <w:pPr>
              <w:spacing w:before="55" w:line="238" w:lineRule="auto"/>
              <w:ind w:left="147" w:right="58" w:firstLine="560"/>
              <w:jc w:val="both"/>
              <w:rPr>
                <w:rFonts w:ascii="宋体" w:hAnsi="宋体" w:eastAsia="宋体" w:cs="宋体"/>
                <w:sz w:val="21"/>
                <w:szCs w:val="21"/>
              </w:rPr>
            </w:pPr>
            <w:r>
              <w:rPr>
                <w:rFonts w:ascii="宋体" w:hAnsi="宋体" w:eastAsia="宋体" w:cs="宋体"/>
                <w:spacing w:val="15"/>
                <w:sz w:val="21"/>
                <w:szCs w:val="21"/>
              </w:rPr>
              <w:t>(五)危险化学品的</w:t>
            </w:r>
            <w:r>
              <w:rPr>
                <w:rFonts w:ascii="宋体" w:hAnsi="宋体" w:eastAsia="宋体" w:cs="宋体"/>
                <w:spacing w:val="-1"/>
                <w:sz w:val="21"/>
                <w:szCs w:val="21"/>
              </w:rPr>
              <w:t>储存方式、方法或者储存</w:t>
            </w:r>
            <w:r>
              <w:rPr>
                <w:rFonts w:ascii="宋体" w:hAnsi="宋体" w:eastAsia="宋体" w:cs="宋体"/>
                <w:spacing w:val="21"/>
                <w:sz w:val="21"/>
                <w:szCs w:val="21"/>
              </w:rPr>
              <w:t>数量不符合国家标准或</w:t>
            </w:r>
            <w:r>
              <w:rPr>
                <w:rFonts w:ascii="宋体" w:hAnsi="宋体" w:eastAsia="宋体" w:cs="宋体"/>
                <w:spacing w:val="13"/>
                <w:sz w:val="21"/>
                <w:szCs w:val="21"/>
              </w:rPr>
              <w:t>者国家有关规定的。</w:t>
            </w:r>
          </w:p>
        </w:tc>
        <w:tc>
          <w:tcPr>
            <w:tcW w:w="1244" w:type="dxa"/>
            <w:noWrap w:val="0"/>
            <w:vAlign w:val="top"/>
          </w:tcPr>
          <w:p w14:paraId="7C221F30">
            <w:pPr>
              <w:rPr>
                <w:rFonts w:ascii="Arial"/>
                <w:sz w:val="21"/>
                <w:szCs w:val="21"/>
              </w:rPr>
            </w:pPr>
          </w:p>
        </w:tc>
      </w:tr>
    </w:tbl>
    <w:p w14:paraId="0B8B4176"/>
    <w:p w14:paraId="666D54F6"/>
    <w:p w14:paraId="3D3C5D0E"/>
    <w:p w14:paraId="2223C54C"/>
    <w:p w14:paraId="098957F2">
      <w:pPr>
        <w:spacing w:line="19" w:lineRule="exact"/>
      </w:pPr>
    </w:p>
    <w:tbl>
      <w:tblPr>
        <w:tblStyle w:val="12"/>
        <w:tblpPr w:leftFromText="180" w:rightFromText="180" w:vertAnchor="text" w:horzAnchor="page" w:tblpX="1609" w:tblpY="4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39"/>
        <w:gridCol w:w="3979"/>
        <w:gridCol w:w="3480"/>
        <w:gridCol w:w="1744"/>
        <w:gridCol w:w="1244"/>
      </w:tblGrid>
      <w:tr w14:paraId="43449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64" w:type="dxa"/>
            <w:noWrap w:val="0"/>
            <w:vAlign w:val="top"/>
          </w:tcPr>
          <w:p w14:paraId="02335798">
            <w:pPr>
              <w:spacing w:before="22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39" w:type="dxa"/>
            <w:noWrap w:val="0"/>
            <w:vAlign w:val="top"/>
          </w:tcPr>
          <w:p w14:paraId="4DA16E01">
            <w:pPr>
              <w:spacing w:before="101" w:line="219" w:lineRule="auto"/>
              <w:ind w:left="634"/>
              <w:rPr>
                <w:rFonts w:ascii="宋体" w:hAnsi="宋体" w:eastAsia="宋体" w:cs="宋体"/>
                <w:b/>
                <w:bCs/>
                <w:sz w:val="24"/>
                <w:szCs w:val="24"/>
              </w:rPr>
            </w:pPr>
            <w:r>
              <w:rPr>
                <w:rFonts w:ascii="宋体" w:hAnsi="宋体" w:eastAsia="宋体" w:cs="宋体"/>
                <w:b/>
                <w:bCs/>
                <w:spacing w:val="-5"/>
                <w:sz w:val="24"/>
                <w:szCs w:val="24"/>
              </w:rPr>
              <w:t>执法检查</w:t>
            </w:r>
          </w:p>
          <w:p w14:paraId="26A023F8">
            <w:pPr>
              <w:spacing w:before="14" w:line="210" w:lineRule="auto"/>
              <w:ind w:left="394"/>
              <w:rPr>
                <w:rFonts w:ascii="宋体" w:hAnsi="宋体" w:eastAsia="宋体" w:cs="宋体"/>
                <w:b/>
                <w:bCs/>
                <w:sz w:val="24"/>
                <w:szCs w:val="24"/>
              </w:rPr>
            </w:pPr>
            <w:r>
              <w:rPr>
                <w:rFonts w:ascii="宋体" w:hAnsi="宋体" w:eastAsia="宋体" w:cs="宋体"/>
                <w:b/>
                <w:bCs/>
                <w:spacing w:val="-4"/>
                <w:sz w:val="24"/>
                <w:szCs w:val="24"/>
              </w:rPr>
              <w:t>重点事项内容</w:t>
            </w:r>
          </w:p>
        </w:tc>
        <w:tc>
          <w:tcPr>
            <w:tcW w:w="3979" w:type="dxa"/>
            <w:noWrap w:val="0"/>
            <w:vAlign w:val="top"/>
          </w:tcPr>
          <w:p w14:paraId="3D76FE66">
            <w:pPr>
              <w:spacing w:before="219" w:line="219" w:lineRule="auto"/>
              <w:ind w:left="1035"/>
              <w:rPr>
                <w:rFonts w:ascii="宋体" w:hAnsi="宋体" w:eastAsia="宋体" w:cs="宋体"/>
                <w:b/>
                <w:bCs/>
                <w:sz w:val="24"/>
                <w:szCs w:val="24"/>
              </w:rPr>
            </w:pPr>
            <w:r>
              <w:rPr>
                <w:rFonts w:ascii="宋体" w:hAnsi="宋体" w:eastAsia="宋体" w:cs="宋体"/>
                <w:b/>
                <w:bCs/>
                <w:spacing w:val="-4"/>
                <w:sz w:val="24"/>
                <w:szCs w:val="24"/>
              </w:rPr>
              <w:t>执法检查依据</w:t>
            </w:r>
          </w:p>
        </w:tc>
        <w:tc>
          <w:tcPr>
            <w:tcW w:w="3480" w:type="dxa"/>
            <w:noWrap w:val="0"/>
            <w:vAlign w:val="top"/>
          </w:tcPr>
          <w:p w14:paraId="6EBAB142">
            <w:pPr>
              <w:spacing w:before="85" w:line="220" w:lineRule="auto"/>
              <w:ind w:left="845"/>
              <w:rPr>
                <w:rFonts w:ascii="宋体" w:hAnsi="宋体" w:eastAsia="宋体" w:cs="宋体"/>
                <w:b/>
                <w:bCs/>
                <w:sz w:val="24"/>
                <w:szCs w:val="24"/>
              </w:rPr>
            </w:pPr>
            <w:r>
              <w:rPr>
                <w:rFonts w:ascii="宋体" w:hAnsi="宋体" w:eastAsia="宋体" w:cs="宋体"/>
                <w:b/>
                <w:bCs/>
                <w:spacing w:val="-2"/>
                <w:sz w:val="24"/>
                <w:szCs w:val="24"/>
              </w:rPr>
              <w:t>有关规范性</w:t>
            </w:r>
          </w:p>
          <w:p w14:paraId="67083008">
            <w:pPr>
              <w:spacing w:before="42" w:line="200" w:lineRule="auto"/>
              <w:ind w:left="58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1744" w:type="dxa"/>
            <w:noWrap w:val="0"/>
            <w:vAlign w:val="top"/>
          </w:tcPr>
          <w:p w14:paraId="4DFC0463">
            <w:pPr>
              <w:spacing w:before="223" w:line="219" w:lineRule="auto"/>
              <w:ind w:left="937"/>
              <w:rPr>
                <w:rFonts w:ascii="宋体" w:hAnsi="宋体" w:eastAsia="宋体" w:cs="宋体"/>
                <w:b/>
                <w:bCs/>
                <w:sz w:val="24"/>
                <w:szCs w:val="24"/>
              </w:rPr>
            </w:pPr>
            <w:r>
              <w:rPr>
                <w:rFonts w:ascii="宋体" w:hAnsi="宋体" w:eastAsia="宋体" w:cs="宋体"/>
                <w:b/>
                <w:bCs/>
                <w:spacing w:val="3"/>
                <w:sz w:val="24"/>
                <w:szCs w:val="24"/>
              </w:rPr>
              <w:t>处罚依据</w:t>
            </w:r>
          </w:p>
        </w:tc>
        <w:tc>
          <w:tcPr>
            <w:tcW w:w="1244" w:type="dxa"/>
            <w:noWrap w:val="0"/>
            <w:vAlign w:val="top"/>
          </w:tcPr>
          <w:p w14:paraId="5D7E36E5">
            <w:pPr>
              <w:spacing w:before="222" w:line="221" w:lineRule="auto"/>
              <w:ind w:left="382"/>
              <w:rPr>
                <w:rFonts w:ascii="宋体" w:hAnsi="宋体" w:eastAsia="宋体" w:cs="宋体"/>
                <w:b/>
                <w:bCs/>
                <w:sz w:val="24"/>
                <w:szCs w:val="24"/>
              </w:rPr>
            </w:pPr>
            <w:r>
              <w:rPr>
                <w:rFonts w:ascii="宋体" w:hAnsi="宋体" w:eastAsia="宋体" w:cs="宋体"/>
                <w:b/>
                <w:bCs/>
                <w:spacing w:val="-6"/>
                <w:sz w:val="24"/>
                <w:szCs w:val="24"/>
              </w:rPr>
              <w:t>备注</w:t>
            </w:r>
          </w:p>
        </w:tc>
      </w:tr>
      <w:tr w14:paraId="42BCD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0" w:hRule="atLeast"/>
        </w:trPr>
        <w:tc>
          <w:tcPr>
            <w:tcW w:w="864" w:type="dxa"/>
            <w:noWrap w:val="0"/>
            <w:vAlign w:val="top"/>
          </w:tcPr>
          <w:p w14:paraId="746A0813">
            <w:pPr>
              <w:rPr>
                <w:rFonts w:ascii="Arial"/>
                <w:sz w:val="21"/>
              </w:rPr>
            </w:pPr>
          </w:p>
        </w:tc>
        <w:tc>
          <w:tcPr>
            <w:tcW w:w="2239" w:type="dxa"/>
            <w:noWrap w:val="0"/>
            <w:vAlign w:val="top"/>
          </w:tcPr>
          <w:p w14:paraId="5183EFE0">
            <w:pPr>
              <w:rPr>
                <w:rFonts w:ascii="Arial"/>
                <w:sz w:val="21"/>
                <w:szCs w:val="21"/>
              </w:rPr>
            </w:pPr>
          </w:p>
        </w:tc>
        <w:tc>
          <w:tcPr>
            <w:tcW w:w="3979" w:type="dxa"/>
            <w:noWrap w:val="0"/>
            <w:vAlign w:val="top"/>
          </w:tcPr>
          <w:p w14:paraId="5ED971B1">
            <w:pPr>
              <w:spacing w:before="110" w:line="212" w:lineRule="auto"/>
              <w:ind w:left="102"/>
              <w:jc w:val="left"/>
              <w:rPr>
                <w:rFonts w:ascii="宋体" w:hAnsi="宋体" w:eastAsia="宋体" w:cs="宋体"/>
                <w:sz w:val="21"/>
                <w:szCs w:val="21"/>
              </w:rPr>
            </w:pPr>
            <w:r>
              <w:rPr>
                <w:rFonts w:ascii="宋体" w:hAnsi="宋体" w:eastAsia="宋体" w:cs="宋体"/>
                <w:sz w:val="21"/>
                <w:szCs w:val="21"/>
              </w:rPr>
              <w:t>窗。库房内须完善强制通风、远红外热成像监测报警、喷淋降温</w:t>
            </w:r>
            <w:r>
              <w:rPr>
                <w:rFonts w:ascii="宋体" w:hAnsi="宋体" w:eastAsia="宋体" w:cs="宋体"/>
                <w:spacing w:val="1"/>
                <w:sz w:val="21"/>
                <w:szCs w:val="21"/>
              </w:rPr>
              <w:t>和视频监控等安全设施，库房外</w:t>
            </w:r>
            <w:r>
              <w:rPr>
                <w:rFonts w:ascii="宋体" w:hAnsi="宋体" w:eastAsia="宋体" w:cs="宋体"/>
                <w:spacing w:val="11"/>
                <w:sz w:val="21"/>
                <w:szCs w:val="21"/>
              </w:rPr>
              <w:t>须设置火焰视频识别报警等安</w:t>
            </w:r>
            <w:r>
              <w:rPr>
                <w:rFonts w:ascii="宋体" w:hAnsi="宋体" w:eastAsia="宋体" w:cs="宋体"/>
                <w:spacing w:val="-1"/>
                <w:sz w:val="21"/>
                <w:szCs w:val="21"/>
              </w:rPr>
              <w:t>全设施，有关监测报警和视频监</w:t>
            </w:r>
            <w:r>
              <w:rPr>
                <w:rFonts w:ascii="宋体" w:hAnsi="宋体" w:eastAsia="宋体" w:cs="宋体"/>
                <w:spacing w:val="10"/>
                <w:sz w:val="21"/>
                <w:szCs w:val="21"/>
              </w:rPr>
              <w:t>控信号接入危险化学品安全生</w:t>
            </w:r>
            <w:r>
              <w:rPr>
                <w:rFonts w:ascii="宋体" w:hAnsi="宋体" w:eastAsia="宋体" w:cs="宋体"/>
                <w:sz w:val="21"/>
                <w:szCs w:val="21"/>
              </w:rPr>
              <w:t>产风险监测预警系统。硝酸铵生</w:t>
            </w:r>
            <w:r>
              <w:rPr>
                <w:rFonts w:ascii="宋体" w:hAnsi="宋体" w:eastAsia="宋体" w:cs="宋体"/>
                <w:spacing w:val="12"/>
                <w:sz w:val="21"/>
                <w:szCs w:val="21"/>
              </w:rPr>
              <w:t>产、经营(带储存)企业和使用</w:t>
            </w:r>
            <w:r>
              <w:rPr>
                <w:rFonts w:ascii="宋体" w:hAnsi="宋体" w:eastAsia="宋体" w:cs="宋体"/>
                <w:spacing w:val="13"/>
                <w:sz w:val="21"/>
                <w:szCs w:val="21"/>
              </w:rPr>
              <w:t>硝酸铵的化工企业的固体硝酸</w:t>
            </w:r>
            <w:r>
              <w:rPr>
                <w:rFonts w:ascii="宋体" w:hAnsi="宋体" w:eastAsia="宋体" w:cs="宋体"/>
                <w:spacing w:val="10"/>
                <w:sz w:val="21"/>
                <w:szCs w:val="21"/>
              </w:rPr>
              <w:t>铵库房在满足上述储存条件的</w:t>
            </w:r>
            <w:r>
              <w:rPr>
                <w:rFonts w:ascii="宋体" w:hAnsi="宋体" w:eastAsia="宋体" w:cs="宋体"/>
                <w:sz w:val="21"/>
                <w:szCs w:val="21"/>
              </w:rPr>
              <w:t>情况下方可储存。固体硝酸铵应严格按照《常用化学危险品贮存</w:t>
            </w:r>
            <w:r>
              <w:rPr>
                <w:rFonts w:ascii="宋体" w:hAnsi="宋体" w:eastAsia="宋体" w:cs="宋体"/>
                <w:spacing w:val="14"/>
                <w:sz w:val="21"/>
                <w:szCs w:val="21"/>
              </w:rPr>
              <w:t>通则》(</w:t>
            </w:r>
            <w:r>
              <w:rPr>
                <w:rFonts w:ascii="宋体" w:hAnsi="宋体" w:eastAsia="宋体" w:cs="宋体"/>
                <w:sz w:val="21"/>
                <w:szCs w:val="21"/>
              </w:rPr>
              <w:t>GB</w:t>
            </w:r>
            <w:r>
              <w:rPr>
                <w:rFonts w:ascii="宋体" w:hAnsi="宋体" w:eastAsia="宋体" w:cs="宋体"/>
                <w:spacing w:val="14"/>
                <w:sz w:val="21"/>
                <w:szCs w:val="21"/>
              </w:rPr>
              <w:t>15603)6.5条要求，</w:t>
            </w:r>
            <w:r>
              <w:rPr>
                <w:rFonts w:ascii="宋体" w:hAnsi="宋体" w:eastAsia="宋体" w:cs="宋体"/>
                <w:sz w:val="21"/>
                <w:szCs w:val="21"/>
              </w:rPr>
              <w:t>不准与其他类物品同储，必须单</w:t>
            </w:r>
          </w:p>
          <w:p w14:paraId="7F7EEB21">
            <w:pPr>
              <w:spacing w:before="49" w:line="208" w:lineRule="auto"/>
              <w:ind w:left="102"/>
              <w:jc w:val="left"/>
              <w:rPr>
                <w:rFonts w:ascii="宋体" w:hAnsi="宋体" w:eastAsia="宋体" w:cs="宋体"/>
                <w:sz w:val="21"/>
                <w:szCs w:val="21"/>
              </w:rPr>
            </w:pPr>
            <w:r>
              <w:rPr>
                <w:rFonts w:ascii="宋体" w:hAnsi="宋体" w:eastAsia="宋体" w:cs="宋体"/>
                <w:spacing w:val="11"/>
                <w:sz w:val="21"/>
                <w:szCs w:val="21"/>
              </w:rPr>
              <w:t>独隔离限量储存，严禁超量储</w:t>
            </w:r>
            <w:r>
              <w:rPr>
                <w:rFonts w:ascii="宋体" w:hAnsi="宋体" w:eastAsia="宋体" w:cs="宋体"/>
                <w:spacing w:val="-1"/>
                <w:sz w:val="21"/>
                <w:szCs w:val="21"/>
              </w:rPr>
              <w:t>存。固体硝酸铵严禁与可燃物粉</w:t>
            </w:r>
            <w:r>
              <w:rPr>
                <w:rFonts w:ascii="宋体" w:hAnsi="宋体" w:eastAsia="宋体" w:cs="宋体"/>
                <w:spacing w:val="13"/>
                <w:sz w:val="21"/>
                <w:szCs w:val="21"/>
              </w:rPr>
              <w:t>末、性质不相容的有机物及金</w:t>
            </w:r>
            <w:r>
              <w:rPr>
                <w:rFonts w:ascii="宋体" w:hAnsi="宋体" w:eastAsia="宋体" w:cs="宋体"/>
                <w:sz w:val="21"/>
                <w:szCs w:val="21"/>
              </w:rPr>
              <w:t>属、强酸、强碱接触，严禁露天</w:t>
            </w:r>
            <w:r>
              <w:rPr>
                <w:rFonts w:ascii="宋体" w:hAnsi="宋体" w:eastAsia="宋体" w:cs="宋体"/>
                <w:spacing w:val="-6"/>
                <w:sz w:val="21"/>
                <w:szCs w:val="21"/>
              </w:rPr>
              <w:t>储存。</w:t>
            </w:r>
          </w:p>
        </w:tc>
        <w:tc>
          <w:tcPr>
            <w:tcW w:w="3480" w:type="dxa"/>
            <w:noWrap w:val="0"/>
            <w:vAlign w:val="top"/>
          </w:tcPr>
          <w:p w14:paraId="45FB0031">
            <w:pPr>
              <w:spacing w:before="109" w:line="213" w:lineRule="auto"/>
              <w:ind w:left="115"/>
              <w:jc w:val="left"/>
              <w:rPr>
                <w:rFonts w:ascii="宋体" w:hAnsi="宋体" w:eastAsia="宋体" w:cs="宋体"/>
                <w:spacing w:val="1"/>
                <w:sz w:val="21"/>
                <w:szCs w:val="21"/>
              </w:rPr>
            </w:pPr>
            <w:r>
              <w:rPr>
                <w:rFonts w:ascii="宋体" w:hAnsi="宋体" w:eastAsia="宋体" w:cs="宋体"/>
                <w:spacing w:val="1"/>
                <w:sz w:val="21"/>
                <w:szCs w:val="21"/>
              </w:rPr>
              <w:t>价。储存危险性类别属于</w:t>
            </w:r>
          </w:p>
          <w:p w14:paraId="5AE7A0D9">
            <w:pPr>
              <w:spacing w:before="43" w:line="213" w:lineRule="auto"/>
              <w:ind w:left="115"/>
              <w:jc w:val="left"/>
              <w:rPr>
                <w:rFonts w:ascii="宋体" w:hAnsi="宋体" w:eastAsia="宋体" w:cs="宋体"/>
                <w:sz w:val="21"/>
                <w:szCs w:val="21"/>
              </w:rPr>
            </w:pPr>
            <w:r>
              <w:rPr>
                <w:rFonts w:ascii="宋体" w:hAnsi="宋体" w:eastAsia="宋体" w:cs="宋体"/>
                <w:spacing w:val="-1"/>
                <w:sz w:val="21"/>
                <w:szCs w:val="21"/>
              </w:rPr>
              <w:t>爆炸物的硝酸铵仓库和储</w:t>
            </w:r>
          </w:p>
          <w:p w14:paraId="4050AA72">
            <w:pPr>
              <w:spacing w:before="44" w:line="212" w:lineRule="auto"/>
              <w:ind w:left="115"/>
              <w:jc w:val="left"/>
              <w:rPr>
                <w:rFonts w:ascii="宋体" w:hAnsi="宋体" w:eastAsia="宋体" w:cs="宋体"/>
                <w:sz w:val="21"/>
                <w:szCs w:val="21"/>
              </w:rPr>
            </w:pPr>
            <w:r>
              <w:rPr>
                <w:rFonts w:ascii="宋体" w:hAnsi="宋体" w:eastAsia="宋体" w:cs="宋体"/>
                <w:spacing w:val="20"/>
                <w:sz w:val="21"/>
                <w:szCs w:val="21"/>
              </w:rPr>
              <w:t>存硝酸铵不合格品的仓</w:t>
            </w:r>
          </w:p>
          <w:p w14:paraId="0FEA59F7">
            <w:pPr>
              <w:spacing w:before="44" w:line="212" w:lineRule="auto"/>
              <w:ind w:left="115"/>
              <w:jc w:val="left"/>
              <w:rPr>
                <w:rFonts w:ascii="宋体" w:hAnsi="宋体" w:eastAsia="宋体" w:cs="宋体"/>
                <w:sz w:val="21"/>
                <w:szCs w:val="21"/>
              </w:rPr>
            </w:pPr>
            <w:r>
              <w:rPr>
                <w:rFonts w:ascii="宋体" w:hAnsi="宋体" w:eastAsia="宋体" w:cs="宋体"/>
                <w:sz w:val="21"/>
                <w:szCs w:val="21"/>
              </w:rPr>
              <w:t>库，应按照GB/T</w:t>
            </w:r>
            <w:r>
              <w:rPr>
                <w:rFonts w:ascii="宋体" w:hAnsi="宋体" w:eastAsia="宋体" w:cs="宋体"/>
                <w:spacing w:val="25"/>
                <w:sz w:val="21"/>
                <w:szCs w:val="21"/>
              </w:rPr>
              <w:t xml:space="preserve"> </w:t>
            </w:r>
            <w:r>
              <w:rPr>
                <w:rFonts w:ascii="宋体" w:hAnsi="宋体" w:eastAsia="宋体" w:cs="宋体"/>
                <w:sz w:val="21"/>
                <w:szCs w:val="21"/>
              </w:rPr>
              <w:t>37243中</w:t>
            </w:r>
          </w:p>
          <w:p w14:paraId="32AD7724">
            <w:pPr>
              <w:spacing w:before="44" w:line="204" w:lineRule="auto"/>
              <w:ind w:left="115"/>
              <w:jc w:val="left"/>
              <w:rPr>
                <w:rFonts w:ascii="宋体" w:hAnsi="宋体" w:eastAsia="宋体" w:cs="宋体"/>
                <w:sz w:val="21"/>
                <w:szCs w:val="21"/>
              </w:rPr>
            </w:pPr>
            <w:r>
              <w:rPr>
                <w:rFonts w:ascii="宋体" w:hAnsi="宋体" w:eastAsia="宋体" w:cs="宋体"/>
                <w:spacing w:val="1"/>
                <w:sz w:val="21"/>
                <w:szCs w:val="21"/>
              </w:rPr>
              <w:t>的事故后果法确定外部安</w:t>
            </w:r>
          </w:p>
          <w:p w14:paraId="1F1E457F">
            <w:pPr>
              <w:spacing w:before="35" w:line="220" w:lineRule="auto"/>
              <w:ind w:left="115"/>
              <w:jc w:val="left"/>
              <w:rPr>
                <w:rFonts w:ascii="宋体" w:hAnsi="宋体" w:eastAsia="宋体" w:cs="宋体"/>
                <w:sz w:val="21"/>
                <w:szCs w:val="21"/>
              </w:rPr>
            </w:pPr>
            <w:r>
              <w:rPr>
                <w:rFonts w:ascii="宋体" w:hAnsi="宋体" w:eastAsia="宋体" w:cs="宋体"/>
                <w:spacing w:val="19"/>
                <w:sz w:val="21"/>
                <w:szCs w:val="21"/>
              </w:rPr>
              <w:t>全防护距离。</w:t>
            </w:r>
          </w:p>
        </w:tc>
        <w:tc>
          <w:tcPr>
            <w:tcW w:w="1744" w:type="dxa"/>
            <w:noWrap w:val="0"/>
            <w:vAlign w:val="top"/>
          </w:tcPr>
          <w:p w14:paraId="6D439DCC">
            <w:pPr>
              <w:rPr>
                <w:rFonts w:ascii="Arial"/>
                <w:sz w:val="21"/>
                <w:szCs w:val="21"/>
              </w:rPr>
            </w:pPr>
          </w:p>
        </w:tc>
        <w:tc>
          <w:tcPr>
            <w:tcW w:w="1244" w:type="dxa"/>
            <w:noWrap w:val="0"/>
            <w:vAlign w:val="top"/>
          </w:tcPr>
          <w:p w14:paraId="467C341A">
            <w:pPr>
              <w:rPr>
                <w:rFonts w:ascii="Arial"/>
                <w:sz w:val="21"/>
                <w:szCs w:val="21"/>
              </w:rPr>
            </w:pPr>
          </w:p>
        </w:tc>
      </w:tr>
      <w:tr w14:paraId="40B8A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864" w:type="dxa"/>
            <w:noWrap w:val="0"/>
            <w:vAlign w:val="top"/>
          </w:tcPr>
          <w:p w14:paraId="7CD63604">
            <w:pPr>
              <w:spacing w:line="264" w:lineRule="auto"/>
              <w:rPr>
                <w:rFonts w:ascii="Arial"/>
                <w:sz w:val="21"/>
                <w:szCs w:val="21"/>
              </w:rPr>
            </w:pPr>
          </w:p>
          <w:p w14:paraId="12B55369">
            <w:pPr>
              <w:spacing w:line="265" w:lineRule="auto"/>
              <w:rPr>
                <w:rFonts w:ascii="Arial"/>
                <w:sz w:val="21"/>
                <w:szCs w:val="21"/>
              </w:rPr>
            </w:pPr>
          </w:p>
          <w:p w14:paraId="560FECE6">
            <w:pPr>
              <w:spacing w:before="78" w:line="183" w:lineRule="auto"/>
              <w:ind w:left="305"/>
              <w:rPr>
                <w:rFonts w:ascii="宋体" w:hAnsi="宋体" w:eastAsia="宋体" w:cs="宋体"/>
                <w:sz w:val="21"/>
                <w:szCs w:val="21"/>
              </w:rPr>
            </w:pPr>
            <w:r>
              <w:rPr>
                <w:rFonts w:ascii="宋体" w:hAnsi="宋体" w:eastAsia="宋体" w:cs="宋体"/>
                <w:spacing w:val="-4"/>
                <w:sz w:val="21"/>
                <w:szCs w:val="21"/>
              </w:rPr>
              <w:t>2</w:t>
            </w:r>
            <w:r>
              <w:rPr>
                <w:rFonts w:hint="eastAsia" w:ascii="宋体" w:hAnsi="宋体" w:eastAsia="宋体" w:cs="宋体"/>
                <w:spacing w:val="-4"/>
                <w:sz w:val="21"/>
                <w:szCs w:val="21"/>
                <w:lang w:val="en-US" w:eastAsia="zh-CN"/>
              </w:rPr>
              <w:t>6</w:t>
            </w:r>
          </w:p>
        </w:tc>
        <w:tc>
          <w:tcPr>
            <w:tcW w:w="2239" w:type="dxa"/>
            <w:noWrap w:val="0"/>
            <w:vAlign w:val="top"/>
          </w:tcPr>
          <w:p w14:paraId="3395C592">
            <w:pPr>
              <w:spacing w:before="127" w:line="241" w:lineRule="auto"/>
              <w:ind w:left="150" w:right="144"/>
              <w:jc w:val="both"/>
              <w:rPr>
                <w:rFonts w:ascii="宋体" w:hAnsi="宋体" w:eastAsia="宋体" w:cs="宋体"/>
                <w:sz w:val="21"/>
                <w:szCs w:val="21"/>
              </w:rPr>
            </w:pPr>
            <w:r>
              <w:rPr>
                <w:rFonts w:ascii="宋体" w:hAnsi="宋体" w:eastAsia="宋体" w:cs="宋体"/>
                <w:spacing w:val="11"/>
                <w:sz w:val="21"/>
                <w:szCs w:val="21"/>
              </w:rPr>
              <w:t>苯乙烯、丁二烯储</w:t>
            </w:r>
            <w:r>
              <w:rPr>
                <w:rFonts w:ascii="宋体" w:hAnsi="宋体" w:eastAsia="宋体" w:cs="宋体"/>
                <w:spacing w:val="8"/>
                <w:sz w:val="21"/>
                <w:szCs w:val="21"/>
              </w:rPr>
              <w:t>运系统未采取降温</w:t>
            </w:r>
            <w:r>
              <w:rPr>
                <w:rFonts w:ascii="宋体" w:hAnsi="宋体" w:eastAsia="宋体" w:cs="宋体"/>
                <w:spacing w:val="11"/>
                <w:sz w:val="21"/>
                <w:szCs w:val="21"/>
              </w:rPr>
              <w:t>设施，苯乙烯储存</w:t>
            </w:r>
            <w:r>
              <w:rPr>
                <w:rFonts w:ascii="宋体" w:hAnsi="宋体" w:eastAsia="宋体" w:cs="宋体"/>
                <w:spacing w:val="10"/>
                <w:sz w:val="21"/>
                <w:szCs w:val="21"/>
              </w:rPr>
              <w:t>温度超过20℃、丁</w:t>
            </w:r>
          </w:p>
        </w:tc>
        <w:tc>
          <w:tcPr>
            <w:tcW w:w="3979" w:type="dxa"/>
            <w:noWrap w:val="0"/>
            <w:vAlign w:val="top"/>
          </w:tcPr>
          <w:p w14:paraId="3F070FA2">
            <w:pPr>
              <w:rPr>
                <w:rFonts w:ascii="Arial"/>
                <w:sz w:val="21"/>
                <w:szCs w:val="21"/>
              </w:rPr>
            </w:pPr>
          </w:p>
        </w:tc>
        <w:tc>
          <w:tcPr>
            <w:tcW w:w="3480" w:type="dxa"/>
            <w:noWrap w:val="0"/>
            <w:vAlign w:val="top"/>
          </w:tcPr>
          <w:p w14:paraId="7EE10949">
            <w:pPr>
              <w:spacing w:before="117" w:line="243" w:lineRule="auto"/>
              <w:ind w:left="115" w:right="78" w:firstLine="459"/>
              <w:jc w:val="both"/>
              <w:rPr>
                <w:rFonts w:ascii="宋体" w:hAnsi="宋体" w:eastAsia="宋体" w:cs="宋体"/>
                <w:sz w:val="21"/>
                <w:szCs w:val="21"/>
              </w:rPr>
            </w:pPr>
            <w:r>
              <w:rPr>
                <w:rFonts w:ascii="宋体" w:hAnsi="宋体" w:eastAsia="宋体" w:cs="宋体"/>
                <w:spacing w:val="-5"/>
                <w:sz w:val="21"/>
                <w:szCs w:val="21"/>
              </w:rPr>
              <w:t>1.《丁二烯企业安全</w:t>
            </w:r>
            <w:r>
              <w:rPr>
                <w:rFonts w:ascii="宋体" w:hAnsi="宋体" w:eastAsia="宋体" w:cs="宋体"/>
                <w:spacing w:val="44"/>
                <w:sz w:val="21"/>
                <w:szCs w:val="21"/>
              </w:rPr>
              <w:t>风险隐患排查指南(试</w:t>
            </w:r>
            <w:r>
              <w:rPr>
                <w:rFonts w:ascii="宋体" w:hAnsi="宋体" w:eastAsia="宋体" w:cs="宋体"/>
                <w:spacing w:val="7"/>
                <w:sz w:val="21"/>
                <w:szCs w:val="21"/>
              </w:rPr>
              <w:t>行)》2.2丁二烯储存安</w:t>
            </w:r>
            <w:r>
              <w:rPr>
                <w:rFonts w:ascii="宋体" w:hAnsi="宋体" w:eastAsia="宋体" w:cs="宋体"/>
                <w:spacing w:val="16"/>
                <w:sz w:val="21"/>
                <w:szCs w:val="21"/>
              </w:rPr>
              <w:t>全管理排查重点第2条</w:t>
            </w:r>
          </w:p>
        </w:tc>
        <w:tc>
          <w:tcPr>
            <w:tcW w:w="1744" w:type="dxa"/>
            <w:noWrap w:val="0"/>
            <w:vAlign w:val="top"/>
          </w:tcPr>
          <w:p w14:paraId="330B546C">
            <w:pPr>
              <w:rPr>
                <w:rFonts w:ascii="Arial"/>
                <w:sz w:val="21"/>
                <w:szCs w:val="21"/>
              </w:rPr>
            </w:pPr>
          </w:p>
        </w:tc>
        <w:tc>
          <w:tcPr>
            <w:tcW w:w="1244" w:type="dxa"/>
            <w:noWrap w:val="0"/>
            <w:vAlign w:val="top"/>
          </w:tcPr>
          <w:p w14:paraId="18D4B3E7">
            <w:pPr>
              <w:spacing w:before="248" w:line="244" w:lineRule="auto"/>
              <w:ind w:left="119" w:right="34"/>
              <w:jc w:val="both"/>
              <w:rPr>
                <w:rFonts w:ascii="宋体" w:hAnsi="宋体" w:eastAsia="宋体" w:cs="宋体"/>
                <w:sz w:val="21"/>
                <w:szCs w:val="21"/>
              </w:rPr>
            </w:pPr>
            <w:r>
              <w:rPr>
                <w:rFonts w:ascii="宋体" w:hAnsi="宋体" w:eastAsia="宋体" w:cs="宋体"/>
                <w:spacing w:val="16"/>
                <w:sz w:val="21"/>
                <w:szCs w:val="21"/>
              </w:rPr>
              <w:t>苯乙烯、</w:t>
            </w:r>
            <w:r>
              <w:rPr>
                <w:rFonts w:ascii="宋体" w:hAnsi="宋体" w:eastAsia="宋体" w:cs="宋体"/>
                <w:spacing w:val="3"/>
                <w:sz w:val="21"/>
                <w:szCs w:val="21"/>
              </w:rPr>
              <w:t>丁二烯管</w:t>
            </w:r>
            <w:r>
              <w:rPr>
                <w:rFonts w:ascii="宋体" w:hAnsi="宋体" w:eastAsia="宋体" w:cs="宋体"/>
                <w:sz w:val="21"/>
                <w:szCs w:val="21"/>
              </w:rPr>
              <w:t>理</w:t>
            </w:r>
          </w:p>
        </w:tc>
      </w:tr>
    </w:tbl>
    <w:p w14:paraId="176D4C1F"/>
    <w:p w14:paraId="7C5DAA16"/>
    <w:p w14:paraId="0728EC30"/>
    <w:p w14:paraId="240FA845"/>
    <w:p w14:paraId="3F0C6936">
      <w:pPr>
        <w:spacing w:line="19" w:lineRule="exact"/>
      </w:pPr>
    </w:p>
    <w:tbl>
      <w:tblPr>
        <w:tblStyle w:val="12"/>
        <w:tblW w:w="13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29"/>
        <w:gridCol w:w="3517"/>
        <w:gridCol w:w="3286"/>
        <w:gridCol w:w="2660"/>
        <w:gridCol w:w="1004"/>
      </w:tblGrid>
      <w:tr w14:paraId="1E50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64" w:type="dxa"/>
            <w:noWrap w:val="0"/>
            <w:vAlign w:val="top"/>
          </w:tcPr>
          <w:p w14:paraId="45647E02">
            <w:pPr>
              <w:spacing w:before="226" w:line="221" w:lineRule="auto"/>
              <w:ind w:left="185"/>
              <w:rPr>
                <w:rFonts w:ascii="宋体" w:hAnsi="宋体" w:eastAsia="宋体" w:cs="宋体"/>
                <w:b/>
                <w:bCs/>
                <w:sz w:val="24"/>
                <w:szCs w:val="24"/>
              </w:rPr>
            </w:pPr>
            <w:r>
              <w:rPr>
                <w:rFonts w:ascii="宋体" w:hAnsi="宋体" w:eastAsia="宋体" w:cs="宋体"/>
                <w:b/>
                <w:bCs/>
                <w:spacing w:val="7"/>
                <w:sz w:val="24"/>
                <w:szCs w:val="24"/>
              </w:rPr>
              <w:t>序号</w:t>
            </w:r>
          </w:p>
        </w:tc>
        <w:tc>
          <w:tcPr>
            <w:tcW w:w="2229" w:type="dxa"/>
            <w:noWrap w:val="0"/>
            <w:vAlign w:val="top"/>
          </w:tcPr>
          <w:p w14:paraId="64C8D84D">
            <w:pPr>
              <w:spacing w:before="95" w:line="219" w:lineRule="auto"/>
              <w:ind w:left="621"/>
              <w:rPr>
                <w:rFonts w:ascii="宋体" w:hAnsi="宋体" w:eastAsia="宋体" w:cs="宋体"/>
                <w:b/>
                <w:bCs/>
                <w:sz w:val="24"/>
                <w:szCs w:val="24"/>
              </w:rPr>
            </w:pPr>
            <w:r>
              <w:rPr>
                <w:rFonts w:ascii="宋体" w:hAnsi="宋体" w:eastAsia="宋体" w:cs="宋体"/>
                <w:b/>
                <w:bCs/>
                <w:spacing w:val="3"/>
                <w:sz w:val="24"/>
                <w:szCs w:val="24"/>
              </w:rPr>
              <w:t>执法检查</w:t>
            </w:r>
          </w:p>
          <w:p w14:paraId="169525DB">
            <w:pPr>
              <w:spacing w:before="25" w:line="207" w:lineRule="auto"/>
              <w:ind w:left="381"/>
              <w:rPr>
                <w:rFonts w:ascii="宋体" w:hAnsi="宋体" w:eastAsia="宋体" w:cs="宋体"/>
                <w:b/>
                <w:bCs/>
                <w:sz w:val="24"/>
                <w:szCs w:val="24"/>
              </w:rPr>
            </w:pPr>
            <w:r>
              <w:rPr>
                <w:rFonts w:ascii="宋体" w:hAnsi="宋体" w:eastAsia="宋体" w:cs="宋体"/>
                <w:b/>
                <w:bCs/>
                <w:spacing w:val="2"/>
                <w:sz w:val="24"/>
                <w:szCs w:val="24"/>
              </w:rPr>
              <w:t>重点事项内容</w:t>
            </w:r>
          </w:p>
        </w:tc>
        <w:tc>
          <w:tcPr>
            <w:tcW w:w="3517" w:type="dxa"/>
            <w:noWrap w:val="0"/>
            <w:vAlign w:val="top"/>
          </w:tcPr>
          <w:p w14:paraId="4D505051">
            <w:pPr>
              <w:spacing w:before="223" w:line="219" w:lineRule="auto"/>
              <w:ind w:left="1032"/>
              <w:rPr>
                <w:rFonts w:ascii="宋体" w:hAnsi="宋体" w:eastAsia="宋体" w:cs="宋体"/>
                <w:b/>
                <w:bCs/>
                <w:sz w:val="24"/>
                <w:szCs w:val="24"/>
              </w:rPr>
            </w:pPr>
            <w:r>
              <w:rPr>
                <w:rFonts w:ascii="宋体" w:hAnsi="宋体" w:eastAsia="宋体" w:cs="宋体"/>
                <w:b/>
                <w:bCs/>
                <w:spacing w:val="2"/>
                <w:sz w:val="24"/>
                <w:szCs w:val="24"/>
              </w:rPr>
              <w:t>执法检查依据</w:t>
            </w:r>
          </w:p>
        </w:tc>
        <w:tc>
          <w:tcPr>
            <w:tcW w:w="3286" w:type="dxa"/>
            <w:noWrap w:val="0"/>
            <w:vAlign w:val="top"/>
          </w:tcPr>
          <w:p w14:paraId="273DD0A2">
            <w:pPr>
              <w:spacing w:before="95" w:line="220" w:lineRule="auto"/>
              <w:ind w:left="835"/>
              <w:rPr>
                <w:rFonts w:ascii="宋体" w:hAnsi="宋体" w:eastAsia="宋体" w:cs="宋体"/>
                <w:b/>
                <w:bCs/>
                <w:sz w:val="24"/>
                <w:szCs w:val="24"/>
              </w:rPr>
            </w:pPr>
            <w:r>
              <w:rPr>
                <w:rFonts w:ascii="宋体" w:hAnsi="宋体" w:eastAsia="宋体" w:cs="宋体"/>
                <w:b/>
                <w:bCs/>
                <w:spacing w:val="-2"/>
                <w:sz w:val="24"/>
                <w:szCs w:val="24"/>
              </w:rPr>
              <w:t>有关规范性</w:t>
            </w:r>
          </w:p>
          <w:p w14:paraId="7E6E1155">
            <w:pPr>
              <w:spacing w:before="42" w:line="192" w:lineRule="auto"/>
              <w:ind w:left="595"/>
              <w:rPr>
                <w:rFonts w:ascii="宋体" w:hAnsi="宋体" w:eastAsia="宋体" w:cs="宋体"/>
                <w:b/>
                <w:bCs/>
                <w:sz w:val="24"/>
                <w:szCs w:val="24"/>
              </w:rPr>
            </w:pPr>
            <w:r>
              <w:rPr>
                <w:rFonts w:ascii="宋体" w:hAnsi="宋体" w:eastAsia="宋体" w:cs="宋体"/>
                <w:b/>
                <w:bCs/>
                <w:spacing w:val="1"/>
                <w:sz w:val="24"/>
                <w:szCs w:val="24"/>
              </w:rPr>
              <w:t>文件及标准要求</w:t>
            </w:r>
          </w:p>
        </w:tc>
        <w:tc>
          <w:tcPr>
            <w:tcW w:w="2660" w:type="dxa"/>
            <w:noWrap w:val="0"/>
            <w:vAlign w:val="top"/>
          </w:tcPr>
          <w:p w14:paraId="7E4054FC">
            <w:pPr>
              <w:spacing w:before="223" w:line="219" w:lineRule="auto"/>
              <w:ind w:left="947"/>
              <w:rPr>
                <w:rFonts w:ascii="宋体" w:hAnsi="宋体" w:eastAsia="宋体" w:cs="宋体"/>
                <w:b/>
                <w:bCs/>
                <w:sz w:val="24"/>
                <w:szCs w:val="24"/>
              </w:rPr>
            </w:pPr>
            <w:r>
              <w:rPr>
                <w:rFonts w:ascii="宋体" w:hAnsi="宋体" w:eastAsia="宋体" w:cs="宋体"/>
                <w:b/>
                <w:bCs/>
                <w:spacing w:val="3"/>
                <w:sz w:val="24"/>
                <w:szCs w:val="24"/>
              </w:rPr>
              <w:t>处罚依据</w:t>
            </w:r>
          </w:p>
        </w:tc>
        <w:tc>
          <w:tcPr>
            <w:tcW w:w="1004" w:type="dxa"/>
            <w:noWrap w:val="0"/>
            <w:vAlign w:val="top"/>
          </w:tcPr>
          <w:p w14:paraId="779D5F63">
            <w:pPr>
              <w:spacing w:before="222" w:line="221" w:lineRule="auto"/>
              <w:ind w:left="382"/>
              <w:rPr>
                <w:rFonts w:ascii="宋体" w:hAnsi="宋体" w:eastAsia="宋体" w:cs="宋体"/>
                <w:b/>
                <w:bCs/>
                <w:sz w:val="24"/>
                <w:szCs w:val="24"/>
              </w:rPr>
            </w:pPr>
            <w:r>
              <w:rPr>
                <w:rFonts w:ascii="宋体" w:hAnsi="宋体" w:eastAsia="宋体" w:cs="宋体"/>
                <w:b/>
                <w:bCs/>
                <w:spacing w:val="-6"/>
                <w:sz w:val="24"/>
                <w:szCs w:val="24"/>
              </w:rPr>
              <w:t>备注</w:t>
            </w:r>
          </w:p>
        </w:tc>
      </w:tr>
      <w:tr w14:paraId="0CBD6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9" w:hRule="atLeast"/>
          <w:jc w:val="center"/>
        </w:trPr>
        <w:tc>
          <w:tcPr>
            <w:tcW w:w="864" w:type="dxa"/>
            <w:noWrap w:val="0"/>
            <w:vAlign w:val="top"/>
          </w:tcPr>
          <w:p w14:paraId="4DAA1159">
            <w:pPr>
              <w:rPr>
                <w:rFonts w:ascii="Arial"/>
                <w:sz w:val="21"/>
              </w:rPr>
            </w:pPr>
          </w:p>
        </w:tc>
        <w:tc>
          <w:tcPr>
            <w:tcW w:w="2229" w:type="dxa"/>
            <w:noWrap w:val="0"/>
            <w:vAlign w:val="top"/>
          </w:tcPr>
          <w:p w14:paraId="3F9B0460">
            <w:pPr>
              <w:spacing w:before="78" w:line="242" w:lineRule="auto"/>
              <w:ind w:left="101" w:right="140" w:firstLine="39"/>
              <w:jc w:val="both"/>
              <w:rPr>
                <w:rFonts w:ascii="宋体" w:hAnsi="宋体" w:eastAsia="宋体" w:cs="宋体"/>
                <w:sz w:val="21"/>
                <w:szCs w:val="21"/>
              </w:rPr>
            </w:pPr>
            <w:r>
              <w:rPr>
                <w:rFonts w:ascii="宋体" w:hAnsi="宋体" w:eastAsia="宋体" w:cs="宋体"/>
                <w:spacing w:val="1"/>
                <w:sz w:val="21"/>
                <w:szCs w:val="21"/>
              </w:rPr>
              <w:t>二烯储存温度超过</w:t>
            </w:r>
            <w:r>
              <w:rPr>
                <w:rFonts w:ascii="宋体" w:hAnsi="宋体" w:eastAsia="宋体" w:cs="宋体"/>
                <w:spacing w:val="5"/>
                <w:sz w:val="21"/>
                <w:szCs w:val="21"/>
              </w:rPr>
              <w:t>27℃。苯乙烯、丁</w:t>
            </w:r>
            <w:r>
              <w:rPr>
                <w:rFonts w:ascii="宋体" w:hAnsi="宋体" w:eastAsia="宋体" w:cs="宋体"/>
                <w:spacing w:val="6"/>
                <w:sz w:val="21"/>
                <w:szCs w:val="21"/>
              </w:rPr>
              <w:t>二烯的聚合装置紧</w:t>
            </w:r>
            <w:r>
              <w:rPr>
                <w:rFonts w:ascii="宋体" w:hAnsi="宋体" w:eastAsia="宋体" w:cs="宋体"/>
                <w:spacing w:val="7"/>
                <w:sz w:val="21"/>
                <w:szCs w:val="21"/>
              </w:rPr>
              <w:t>急终止剂加入管线</w:t>
            </w:r>
            <w:r>
              <w:rPr>
                <w:rFonts w:ascii="宋体" w:hAnsi="宋体" w:eastAsia="宋体" w:cs="宋体"/>
                <w:spacing w:val="6"/>
                <w:sz w:val="21"/>
                <w:szCs w:val="21"/>
              </w:rPr>
              <w:t>上手动阀门处于关</w:t>
            </w:r>
            <w:r>
              <w:rPr>
                <w:rFonts w:ascii="宋体" w:hAnsi="宋体" w:eastAsia="宋体" w:cs="宋体"/>
                <w:spacing w:val="23"/>
                <w:sz w:val="21"/>
                <w:szCs w:val="21"/>
              </w:rPr>
              <w:t>闭状态。</w:t>
            </w:r>
          </w:p>
        </w:tc>
        <w:tc>
          <w:tcPr>
            <w:tcW w:w="3517" w:type="dxa"/>
            <w:noWrap w:val="0"/>
            <w:vAlign w:val="top"/>
          </w:tcPr>
          <w:p w14:paraId="145D5431">
            <w:pPr>
              <w:rPr>
                <w:rFonts w:ascii="Arial"/>
                <w:sz w:val="21"/>
                <w:szCs w:val="21"/>
              </w:rPr>
            </w:pPr>
          </w:p>
        </w:tc>
        <w:tc>
          <w:tcPr>
            <w:tcW w:w="3286" w:type="dxa"/>
            <w:noWrap w:val="0"/>
            <w:vAlign w:val="top"/>
          </w:tcPr>
          <w:p w14:paraId="4584271A">
            <w:pPr>
              <w:spacing w:before="94" w:line="254" w:lineRule="auto"/>
              <w:ind w:left="125"/>
              <w:jc w:val="both"/>
              <w:rPr>
                <w:rFonts w:ascii="宋体" w:hAnsi="宋体" w:eastAsia="宋体" w:cs="宋体"/>
                <w:sz w:val="21"/>
                <w:szCs w:val="21"/>
              </w:rPr>
            </w:pPr>
            <w:r>
              <w:rPr>
                <w:rFonts w:ascii="宋体" w:hAnsi="宋体" w:eastAsia="宋体" w:cs="宋体"/>
                <w:spacing w:val="7"/>
                <w:sz w:val="21"/>
                <w:szCs w:val="21"/>
              </w:rPr>
              <w:t>丁二烯球形储罐应采取以</w:t>
            </w:r>
            <w:r>
              <w:rPr>
                <w:rFonts w:ascii="宋体" w:hAnsi="宋体" w:eastAsia="宋体" w:cs="宋体"/>
                <w:spacing w:val="8"/>
                <w:sz w:val="21"/>
                <w:szCs w:val="21"/>
              </w:rPr>
              <w:t>下措施：储存周期在两周</w:t>
            </w:r>
            <w:r>
              <w:rPr>
                <w:rFonts w:ascii="宋体" w:hAnsi="宋体" w:eastAsia="宋体" w:cs="宋体"/>
                <w:spacing w:val="6"/>
                <w:sz w:val="21"/>
                <w:szCs w:val="21"/>
              </w:rPr>
              <w:t>以下时，应设置水喷淋冷</w:t>
            </w:r>
            <w:r>
              <w:rPr>
                <w:rFonts w:ascii="宋体" w:hAnsi="宋体" w:eastAsia="宋体" w:cs="宋体"/>
                <w:spacing w:val="8"/>
                <w:sz w:val="21"/>
                <w:szCs w:val="21"/>
              </w:rPr>
              <w:t>却系统；储存周期在两周</w:t>
            </w:r>
            <w:r>
              <w:rPr>
                <w:rFonts w:ascii="宋体" w:hAnsi="宋体" w:eastAsia="宋体" w:cs="宋体"/>
                <w:spacing w:val="7"/>
                <w:sz w:val="21"/>
                <w:szCs w:val="21"/>
              </w:rPr>
              <w:t>以上时，应设置冷冻循环</w:t>
            </w:r>
            <w:r>
              <w:rPr>
                <w:rFonts w:ascii="宋体" w:hAnsi="宋体" w:eastAsia="宋体" w:cs="宋体"/>
                <w:spacing w:val="16"/>
                <w:sz w:val="21"/>
                <w:szCs w:val="21"/>
              </w:rPr>
              <w:t>系统和阻聚剂添加系统；</w:t>
            </w:r>
            <w:r>
              <w:rPr>
                <w:rFonts w:ascii="宋体" w:hAnsi="宋体" w:eastAsia="宋体" w:cs="宋体"/>
                <w:spacing w:val="8"/>
                <w:sz w:val="21"/>
                <w:szCs w:val="21"/>
              </w:rPr>
              <w:t>第4条降低丁二烯物料</w:t>
            </w:r>
            <w:r>
              <w:rPr>
                <w:rFonts w:ascii="宋体" w:hAnsi="宋体" w:eastAsia="宋体" w:cs="宋体"/>
                <w:spacing w:val="4"/>
                <w:sz w:val="21"/>
                <w:szCs w:val="21"/>
              </w:rPr>
              <w:t>温度。丁二烯储运系统温</w:t>
            </w:r>
            <w:r>
              <w:rPr>
                <w:rFonts w:ascii="宋体" w:hAnsi="宋体" w:eastAsia="宋体" w:cs="宋体"/>
                <w:spacing w:val="15"/>
                <w:sz w:val="21"/>
                <w:szCs w:val="21"/>
              </w:rPr>
              <w:t>度不大于27℃,确保冷回</w:t>
            </w:r>
            <w:r>
              <w:rPr>
                <w:rFonts w:ascii="宋体" w:hAnsi="宋体" w:eastAsia="宋体" w:cs="宋体"/>
                <w:spacing w:val="4"/>
                <w:sz w:val="21"/>
                <w:szCs w:val="21"/>
              </w:rPr>
              <w:t>流、冷剂、循环水系统运</w:t>
            </w:r>
            <w:r>
              <w:rPr>
                <w:rFonts w:ascii="宋体" w:hAnsi="宋体" w:eastAsia="宋体" w:cs="宋体"/>
                <w:spacing w:val="28"/>
                <w:sz w:val="21"/>
                <w:szCs w:val="21"/>
              </w:rPr>
              <w:t>行正常。</w:t>
            </w:r>
          </w:p>
          <w:p w14:paraId="13861061">
            <w:pPr>
              <w:spacing w:before="52" w:line="265" w:lineRule="auto"/>
              <w:ind w:left="125" w:firstLine="411"/>
              <w:jc w:val="both"/>
              <w:rPr>
                <w:rFonts w:ascii="宋体" w:hAnsi="宋体" w:eastAsia="宋体" w:cs="宋体"/>
                <w:sz w:val="21"/>
                <w:szCs w:val="21"/>
              </w:rPr>
            </w:pPr>
            <w:r>
              <w:rPr>
                <w:rFonts w:ascii="宋体" w:hAnsi="宋体" w:eastAsia="宋体" w:cs="宋体"/>
                <w:spacing w:val="17"/>
                <w:sz w:val="21"/>
                <w:szCs w:val="21"/>
              </w:rPr>
              <w:t>2.5丁二烯生产工</w:t>
            </w:r>
            <w:r>
              <w:rPr>
                <w:rFonts w:ascii="宋体" w:hAnsi="宋体" w:eastAsia="宋体" w:cs="宋体"/>
                <w:spacing w:val="9"/>
                <w:sz w:val="21"/>
                <w:szCs w:val="21"/>
              </w:rPr>
              <w:t>艺安全管理排查重点第</w:t>
            </w:r>
            <w:r>
              <w:rPr>
                <w:rFonts w:ascii="宋体" w:hAnsi="宋体" w:eastAsia="宋体" w:cs="宋体"/>
                <w:spacing w:val="12"/>
                <w:sz w:val="21"/>
                <w:szCs w:val="21"/>
              </w:rPr>
              <w:t>12条以丁二烯为原料</w:t>
            </w:r>
            <w:r>
              <w:rPr>
                <w:rFonts w:ascii="宋体" w:hAnsi="宋体" w:eastAsia="宋体" w:cs="宋体"/>
                <w:spacing w:val="11"/>
                <w:sz w:val="21"/>
                <w:szCs w:val="21"/>
              </w:rPr>
              <w:t>的聚合工艺，应设置紧急</w:t>
            </w:r>
            <w:r>
              <w:rPr>
                <w:rFonts w:ascii="宋体" w:hAnsi="宋体" w:eastAsia="宋体" w:cs="宋体"/>
                <w:spacing w:val="5"/>
                <w:sz w:val="21"/>
                <w:szCs w:val="21"/>
              </w:rPr>
              <w:t>冷却系统、紧急停车系统、</w:t>
            </w:r>
            <w:r>
              <w:rPr>
                <w:rFonts w:ascii="宋体" w:hAnsi="宋体" w:eastAsia="宋体" w:cs="宋体"/>
                <w:spacing w:val="10"/>
                <w:sz w:val="21"/>
                <w:szCs w:val="21"/>
              </w:rPr>
              <w:t>安全泄放系统。当聚合反</w:t>
            </w:r>
            <w:r>
              <w:rPr>
                <w:rFonts w:ascii="宋体" w:hAnsi="宋体" w:eastAsia="宋体" w:cs="宋体"/>
                <w:spacing w:val="11"/>
                <w:sz w:val="21"/>
                <w:szCs w:val="21"/>
              </w:rPr>
              <w:t>应超温、搅拌失效或冷却</w:t>
            </w:r>
            <w:r>
              <w:rPr>
                <w:rFonts w:ascii="宋体" w:hAnsi="宋体" w:eastAsia="宋体" w:cs="宋体"/>
                <w:spacing w:val="10"/>
                <w:sz w:val="21"/>
                <w:szCs w:val="21"/>
              </w:rPr>
              <w:t>失效时，能及时加入聚合</w:t>
            </w:r>
            <w:r>
              <w:rPr>
                <w:rFonts w:ascii="宋体" w:hAnsi="宋体" w:eastAsia="宋体" w:cs="宋体"/>
                <w:spacing w:val="28"/>
                <w:sz w:val="21"/>
                <w:szCs w:val="21"/>
              </w:rPr>
              <w:t>反应终止剂。</w:t>
            </w:r>
          </w:p>
          <w:p w14:paraId="6B1AF6D9">
            <w:pPr>
              <w:spacing w:before="40" w:line="235" w:lineRule="auto"/>
              <w:ind w:left="125" w:right="58" w:firstLine="449"/>
              <w:jc w:val="both"/>
              <w:rPr>
                <w:rFonts w:ascii="宋体" w:hAnsi="宋体" w:eastAsia="宋体" w:cs="宋体"/>
                <w:sz w:val="21"/>
                <w:szCs w:val="21"/>
              </w:rPr>
            </w:pPr>
            <w:r>
              <w:rPr>
                <w:rFonts w:ascii="宋体" w:hAnsi="宋体" w:eastAsia="宋体" w:cs="宋体"/>
                <w:spacing w:val="-3"/>
                <w:sz w:val="21"/>
                <w:szCs w:val="21"/>
              </w:rPr>
              <w:t>2.《苯乙烯企业安全</w:t>
            </w:r>
            <w:r>
              <w:rPr>
                <w:rFonts w:ascii="宋体" w:hAnsi="宋体" w:eastAsia="宋体" w:cs="宋体"/>
                <w:spacing w:val="46"/>
                <w:sz w:val="21"/>
                <w:szCs w:val="21"/>
              </w:rPr>
              <w:t>风险隐患排查指南(试</w:t>
            </w:r>
            <w:r>
              <w:rPr>
                <w:rFonts w:ascii="宋体" w:hAnsi="宋体" w:eastAsia="宋体" w:cs="宋体"/>
                <w:spacing w:val="29"/>
                <w:sz w:val="21"/>
                <w:szCs w:val="21"/>
              </w:rPr>
              <w:t>行)》2.2苯乙烯储存安</w:t>
            </w:r>
          </w:p>
        </w:tc>
        <w:tc>
          <w:tcPr>
            <w:tcW w:w="2660" w:type="dxa"/>
            <w:noWrap w:val="0"/>
            <w:vAlign w:val="top"/>
          </w:tcPr>
          <w:p w14:paraId="0F2590F3">
            <w:pPr>
              <w:rPr>
                <w:rFonts w:ascii="Arial"/>
                <w:sz w:val="21"/>
                <w:szCs w:val="21"/>
              </w:rPr>
            </w:pPr>
          </w:p>
        </w:tc>
        <w:tc>
          <w:tcPr>
            <w:tcW w:w="1004" w:type="dxa"/>
            <w:noWrap w:val="0"/>
            <w:vAlign w:val="top"/>
          </w:tcPr>
          <w:p w14:paraId="5FD12CB8">
            <w:pPr>
              <w:rPr>
                <w:rFonts w:ascii="Arial"/>
                <w:sz w:val="21"/>
              </w:rPr>
            </w:pPr>
          </w:p>
        </w:tc>
      </w:tr>
    </w:tbl>
    <w:p w14:paraId="5A2F5CE1"/>
    <w:p w14:paraId="68DDE2F6"/>
    <w:p w14:paraId="1E80C751"/>
    <w:p w14:paraId="084F3FAC"/>
    <w:p w14:paraId="53D623D0">
      <w:pPr>
        <w:spacing w:line="49" w:lineRule="exact"/>
      </w:pPr>
    </w:p>
    <w:tbl>
      <w:tblPr>
        <w:tblStyle w:val="12"/>
        <w:tblW w:w="13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239"/>
        <w:gridCol w:w="3507"/>
        <w:gridCol w:w="2858"/>
        <w:gridCol w:w="3072"/>
        <w:gridCol w:w="1129"/>
      </w:tblGrid>
      <w:tr w14:paraId="47537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864" w:type="dxa"/>
            <w:noWrap w:val="0"/>
            <w:vAlign w:val="top"/>
          </w:tcPr>
          <w:p w14:paraId="59B9FADD">
            <w:pPr>
              <w:spacing w:before="225" w:line="221" w:lineRule="auto"/>
              <w:ind w:left="195"/>
              <w:rPr>
                <w:rFonts w:ascii="宋体" w:hAnsi="宋体" w:eastAsia="宋体" w:cs="宋体"/>
                <w:b/>
                <w:bCs/>
                <w:sz w:val="23"/>
                <w:szCs w:val="23"/>
              </w:rPr>
            </w:pPr>
            <w:r>
              <w:rPr>
                <w:rFonts w:ascii="宋体" w:hAnsi="宋体" w:eastAsia="宋体" w:cs="宋体"/>
                <w:b/>
                <w:bCs/>
                <w:spacing w:val="7"/>
                <w:sz w:val="23"/>
                <w:szCs w:val="23"/>
              </w:rPr>
              <w:t>序号</w:t>
            </w:r>
          </w:p>
        </w:tc>
        <w:tc>
          <w:tcPr>
            <w:tcW w:w="2239" w:type="dxa"/>
            <w:noWrap w:val="0"/>
            <w:vAlign w:val="top"/>
          </w:tcPr>
          <w:p w14:paraId="0ABA343B">
            <w:pPr>
              <w:spacing w:before="74" w:line="219" w:lineRule="auto"/>
              <w:ind w:left="650"/>
              <w:rPr>
                <w:rFonts w:ascii="宋体" w:hAnsi="宋体" w:eastAsia="宋体" w:cs="宋体"/>
                <w:b/>
                <w:bCs/>
                <w:sz w:val="23"/>
                <w:szCs w:val="23"/>
              </w:rPr>
            </w:pPr>
            <w:r>
              <w:rPr>
                <w:rFonts w:ascii="宋体" w:hAnsi="宋体" w:eastAsia="宋体" w:cs="宋体"/>
                <w:b/>
                <w:bCs/>
                <w:spacing w:val="2"/>
                <w:sz w:val="23"/>
                <w:szCs w:val="23"/>
              </w:rPr>
              <w:t>执法检查</w:t>
            </w:r>
          </w:p>
          <w:p w14:paraId="41837BA5">
            <w:pPr>
              <w:spacing w:before="46" w:line="217" w:lineRule="auto"/>
              <w:ind w:left="420"/>
              <w:rPr>
                <w:rFonts w:ascii="宋体" w:hAnsi="宋体" w:eastAsia="宋体" w:cs="宋体"/>
                <w:b/>
                <w:bCs/>
                <w:sz w:val="23"/>
                <w:szCs w:val="23"/>
              </w:rPr>
            </w:pPr>
            <w:r>
              <w:rPr>
                <w:rFonts w:ascii="宋体" w:hAnsi="宋体" w:eastAsia="宋体" w:cs="宋体"/>
                <w:b/>
                <w:bCs/>
                <w:spacing w:val="1"/>
                <w:sz w:val="23"/>
                <w:szCs w:val="23"/>
              </w:rPr>
              <w:t>重点事项内容</w:t>
            </w:r>
          </w:p>
        </w:tc>
        <w:tc>
          <w:tcPr>
            <w:tcW w:w="3507" w:type="dxa"/>
            <w:noWrap w:val="0"/>
            <w:vAlign w:val="top"/>
          </w:tcPr>
          <w:p w14:paraId="583DCCF5">
            <w:pPr>
              <w:spacing w:before="223" w:line="219" w:lineRule="auto"/>
              <w:ind w:left="1042"/>
              <w:rPr>
                <w:rFonts w:ascii="宋体" w:hAnsi="宋体" w:eastAsia="宋体" w:cs="宋体"/>
                <w:b/>
                <w:bCs/>
                <w:sz w:val="23"/>
                <w:szCs w:val="23"/>
              </w:rPr>
            </w:pPr>
            <w:r>
              <w:rPr>
                <w:rFonts w:ascii="宋体" w:hAnsi="宋体" w:eastAsia="宋体" w:cs="宋体"/>
                <w:b/>
                <w:bCs/>
                <w:spacing w:val="2"/>
                <w:sz w:val="23"/>
                <w:szCs w:val="23"/>
              </w:rPr>
              <w:t>执法检查依据</w:t>
            </w:r>
          </w:p>
        </w:tc>
        <w:tc>
          <w:tcPr>
            <w:tcW w:w="2858" w:type="dxa"/>
            <w:noWrap w:val="0"/>
            <w:vAlign w:val="top"/>
          </w:tcPr>
          <w:p w14:paraId="33ECE71D">
            <w:pPr>
              <w:spacing w:before="75" w:line="220" w:lineRule="auto"/>
              <w:ind w:left="855"/>
              <w:rPr>
                <w:rFonts w:ascii="宋体" w:hAnsi="宋体" w:eastAsia="宋体" w:cs="宋体"/>
                <w:b/>
                <w:bCs/>
                <w:sz w:val="23"/>
                <w:szCs w:val="23"/>
              </w:rPr>
            </w:pPr>
            <w:r>
              <w:rPr>
                <w:rFonts w:ascii="宋体" w:hAnsi="宋体" w:eastAsia="宋体" w:cs="宋体"/>
                <w:b/>
                <w:bCs/>
                <w:spacing w:val="3"/>
                <w:sz w:val="23"/>
                <w:szCs w:val="23"/>
              </w:rPr>
              <w:t>有关规范性</w:t>
            </w:r>
          </w:p>
          <w:p w14:paraId="65EBAB84">
            <w:pPr>
              <w:spacing w:before="64" w:line="201" w:lineRule="auto"/>
              <w:ind w:left="604"/>
              <w:rPr>
                <w:rFonts w:ascii="宋体" w:hAnsi="宋体" w:eastAsia="宋体" w:cs="宋体"/>
                <w:b/>
                <w:bCs/>
                <w:sz w:val="23"/>
                <w:szCs w:val="23"/>
              </w:rPr>
            </w:pPr>
            <w:r>
              <w:rPr>
                <w:rFonts w:ascii="宋体" w:hAnsi="宋体" w:eastAsia="宋体" w:cs="宋体"/>
                <w:b/>
                <w:bCs/>
                <w:spacing w:val="11"/>
                <w:sz w:val="23"/>
                <w:szCs w:val="23"/>
              </w:rPr>
              <w:t>文件及标准要求</w:t>
            </w:r>
          </w:p>
        </w:tc>
        <w:tc>
          <w:tcPr>
            <w:tcW w:w="3072" w:type="dxa"/>
            <w:noWrap w:val="0"/>
            <w:vAlign w:val="top"/>
          </w:tcPr>
          <w:p w14:paraId="7C0CA803">
            <w:pPr>
              <w:spacing w:before="223" w:line="219" w:lineRule="auto"/>
              <w:ind w:left="947"/>
              <w:rPr>
                <w:rFonts w:ascii="宋体" w:hAnsi="宋体" w:eastAsia="宋体" w:cs="宋体"/>
                <w:b/>
                <w:bCs/>
                <w:sz w:val="23"/>
                <w:szCs w:val="23"/>
              </w:rPr>
            </w:pPr>
            <w:r>
              <w:rPr>
                <w:rFonts w:ascii="宋体" w:hAnsi="宋体" w:eastAsia="宋体" w:cs="宋体"/>
                <w:b/>
                <w:bCs/>
                <w:spacing w:val="3"/>
                <w:sz w:val="23"/>
                <w:szCs w:val="23"/>
              </w:rPr>
              <w:t>处罚依据</w:t>
            </w:r>
          </w:p>
        </w:tc>
        <w:tc>
          <w:tcPr>
            <w:tcW w:w="1129" w:type="dxa"/>
            <w:noWrap w:val="0"/>
            <w:vAlign w:val="top"/>
          </w:tcPr>
          <w:p w14:paraId="2AD3EFE7">
            <w:pPr>
              <w:spacing w:before="222" w:line="221" w:lineRule="auto"/>
              <w:ind w:left="392"/>
              <w:rPr>
                <w:rFonts w:ascii="宋体" w:hAnsi="宋体" w:eastAsia="宋体" w:cs="宋体"/>
                <w:b/>
                <w:bCs/>
                <w:sz w:val="23"/>
                <w:szCs w:val="23"/>
              </w:rPr>
            </w:pPr>
            <w:r>
              <w:rPr>
                <w:rFonts w:ascii="宋体" w:hAnsi="宋体" w:eastAsia="宋体" w:cs="宋体"/>
                <w:b/>
                <w:bCs/>
                <w:spacing w:val="-6"/>
                <w:sz w:val="23"/>
                <w:szCs w:val="23"/>
              </w:rPr>
              <w:t>备注</w:t>
            </w:r>
          </w:p>
        </w:tc>
      </w:tr>
      <w:tr w14:paraId="74E84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2" w:hRule="atLeast"/>
          <w:jc w:val="center"/>
        </w:trPr>
        <w:tc>
          <w:tcPr>
            <w:tcW w:w="864" w:type="dxa"/>
            <w:noWrap w:val="0"/>
            <w:vAlign w:val="top"/>
          </w:tcPr>
          <w:p w14:paraId="0B6CC3BC">
            <w:pPr>
              <w:rPr>
                <w:rFonts w:ascii="Arial"/>
                <w:sz w:val="21"/>
                <w:szCs w:val="21"/>
              </w:rPr>
            </w:pPr>
          </w:p>
        </w:tc>
        <w:tc>
          <w:tcPr>
            <w:tcW w:w="2239" w:type="dxa"/>
            <w:noWrap w:val="0"/>
            <w:vAlign w:val="top"/>
          </w:tcPr>
          <w:p w14:paraId="0D6FFB08">
            <w:pPr>
              <w:rPr>
                <w:rFonts w:ascii="Arial"/>
                <w:sz w:val="21"/>
                <w:szCs w:val="21"/>
              </w:rPr>
            </w:pPr>
          </w:p>
        </w:tc>
        <w:tc>
          <w:tcPr>
            <w:tcW w:w="3507" w:type="dxa"/>
            <w:noWrap w:val="0"/>
            <w:vAlign w:val="top"/>
          </w:tcPr>
          <w:p w14:paraId="58DED949">
            <w:pPr>
              <w:rPr>
                <w:rFonts w:ascii="Arial"/>
                <w:sz w:val="21"/>
                <w:szCs w:val="21"/>
              </w:rPr>
            </w:pPr>
          </w:p>
        </w:tc>
        <w:tc>
          <w:tcPr>
            <w:tcW w:w="2858" w:type="dxa"/>
            <w:noWrap w:val="0"/>
            <w:vAlign w:val="top"/>
          </w:tcPr>
          <w:p w14:paraId="3AB2CD15">
            <w:pPr>
              <w:spacing w:before="107" w:line="253" w:lineRule="auto"/>
              <w:ind w:left="125" w:right="56" w:firstLine="9"/>
              <w:rPr>
                <w:rFonts w:ascii="宋体" w:hAnsi="宋体" w:eastAsia="宋体" w:cs="宋体"/>
                <w:sz w:val="21"/>
                <w:szCs w:val="21"/>
              </w:rPr>
            </w:pPr>
            <w:r>
              <w:rPr>
                <w:rFonts w:ascii="宋体" w:hAnsi="宋体" w:eastAsia="宋体" w:cs="宋体"/>
                <w:spacing w:val="13"/>
                <w:sz w:val="21"/>
                <w:szCs w:val="21"/>
              </w:rPr>
              <w:t>全管理排查重点第3条</w:t>
            </w:r>
            <w:r>
              <w:rPr>
                <w:rFonts w:ascii="宋体" w:hAnsi="宋体" w:eastAsia="宋体" w:cs="宋体"/>
                <w:spacing w:val="8"/>
                <w:sz w:val="21"/>
                <w:szCs w:val="21"/>
              </w:rPr>
              <w:t>苯乙烯储罐应设计喷淋设</w:t>
            </w:r>
            <w:r>
              <w:rPr>
                <w:rFonts w:ascii="宋体" w:hAnsi="宋体" w:eastAsia="宋体" w:cs="宋体"/>
                <w:spacing w:val="12"/>
                <w:sz w:val="21"/>
                <w:szCs w:val="21"/>
              </w:rPr>
              <w:t>施或制冷设施，保证苯乙</w:t>
            </w:r>
            <w:r>
              <w:rPr>
                <w:rFonts w:ascii="宋体" w:hAnsi="宋体" w:eastAsia="宋体" w:cs="宋体"/>
                <w:spacing w:val="10"/>
                <w:sz w:val="21"/>
                <w:szCs w:val="21"/>
              </w:rPr>
              <w:t>烯储存温度不高于20℃。</w:t>
            </w:r>
            <w:r>
              <w:rPr>
                <w:rFonts w:ascii="宋体" w:hAnsi="宋体" w:eastAsia="宋体" w:cs="宋体"/>
                <w:spacing w:val="15"/>
                <w:sz w:val="21"/>
                <w:szCs w:val="21"/>
              </w:rPr>
              <w:t>2.5苯乙烯生产工艺安</w:t>
            </w:r>
            <w:r>
              <w:rPr>
                <w:rFonts w:ascii="宋体" w:hAnsi="宋体" w:eastAsia="宋体" w:cs="宋体"/>
                <w:spacing w:val="25"/>
                <w:sz w:val="21"/>
                <w:szCs w:val="21"/>
              </w:rPr>
              <w:t>全管理排查重点第12</w:t>
            </w:r>
            <w:r>
              <w:rPr>
                <w:rFonts w:ascii="宋体" w:hAnsi="宋体" w:eastAsia="宋体" w:cs="宋体"/>
                <w:spacing w:val="3"/>
                <w:sz w:val="21"/>
                <w:szCs w:val="21"/>
              </w:rPr>
              <w:t>条以苯乙烯为原料的聚</w:t>
            </w:r>
            <w:r>
              <w:rPr>
                <w:rFonts w:ascii="宋体" w:hAnsi="宋体" w:eastAsia="宋体" w:cs="宋体"/>
                <w:spacing w:val="8"/>
                <w:sz w:val="21"/>
                <w:szCs w:val="21"/>
              </w:rPr>
              <w:t>合工艺，应按照重点监管</w:t>
            </w:r>
            <w:r>
              <w:rPr>
                <w:rFonts w:ascii="宋体" w:hAnsi="宋体" w:eastAsia="宋体" w:cs="宋体"/>
                <w:spacing w:val="7"/>
                <w:sz w:val="21"/>
                <w:szCs w:val="21"/>
              </w:rPr>
              <w:t>危险工艺安全控制要求并</w:t>
            </w:r>
            <w:r>
              <w:rPr>
                <w:rFonts w:ascii="宋体" w:hAnsi="宋体" w:eastAsia="宋体" w:cs="宋体"/>
                <w:spacing w:val="25"/>
                <w:sz w:val="21"/>
                <w:szCs w:val="21"/>
              </w:rPr>
              <w:t>结合</w:t>
            </w:r>
            <w:r>
              <w:rPr>
                <w:rFonts w:ascii="宋体" w:hAnsi="宋体" w:eastAsia="宋体" w:cs="宋体"/>
                <w:sz w:val="21"/>
                <w:szCs w:val="21"/>
              </w:rPr>
              <w:t>HAZOP</w:t>
            </w:r>
            <w:r>
              <w:rPr>
                <w:rFonts w:ascii="宋体" w:hAnsi="宋体" w:eastAsia="宋体" w:cs="宋体"/>
                <w:spacing w:val="25"/>
                <w:sz w:val="21"/>
                <w:szCs w:val="21"/>
              </w:rPr>
              <w:t>分析结果，将</w:t>
            </w:r>
            <w:r>
              <w:rPr>
                <w:rFonts w:ascii="宋体" w:hAnsi="宋体" w:eastAsia="宋体" w:cs="宋体"/>
                <w:spacing w:val="9"/>
                <w:sz w:val="21"/>
                <w:szCs w:val="21"/>
              </w:rPr>
              <w:t>聚合反应釜内温度、压力</w:t>
            </w:r>
            <w:r>
              <w:rPr>
                <w:rFonts w:ascii="宋体" w:hAnsi="宋体" w:eastAsia="宋体" w:cs="宋体"/>
                <w:spacing w:val="8"/>
                <w:sz w:val="21"/>
                <w:szCs w:val="21"/>
              </w:rPr>
              <w:t>与釜内搅拌电流、聚合单</w:t>
            </w:r>
            <w:r>
              <w:rPr>
                <w:rFonts w:ascii="宋体" w:hAnsi="宋体" w:eastAsia="宋体" w:cs="宋体"/>
                <w:spacing w:val="11"/>
                <w:sz w:val="21"/>
                <w:szCs w:val="21"/>
              </w:rPr>
              <w:t>体流量、引发剂加入量、</w:t>
            </w:r>
            <w:r>
              <w:rPr>
                <w:rFonts w:ascii="宋体" w:hAnsi="宋体" w:eastAsia="宋体" w:cs="宋体"/>
                <w:spacing w:val="8"/>
                <w:sz w:val="21"/>
                <w:szCs w:val="21"/>
              </w:rPr>
              <w:t>夹套冷却水进水阀建立联</w:t>
            </w:r>
            <w:r>
              <w:rPr>
                <w:rFonts w:ascii="宋体" w:hAnsi="宋体" w:eastAsia="宋体" w:cs="宋体"/>
                <w:spacing w:val="9"/>
                <w:sz w:val="21"/>
                <w:szCs w:val="21"/>
              </w:rPr>
              <w:t>锁关系；设置紧急冷却系</w:t>
            </w:r>
            <w:r>
              <w:rPr>
                <w:rFonts w:ascii="宋体" w:hAnsi="宋体" w:eastAsia="宋体" w:cs="宋体"/>
                <w:spacing w:val="8"/>
                <w:sz w:val="21"/>
                <w:szCs w:val="21"/>
              </w:rPr>
              <w:t>统、紧急停车系统，安全</w:t>
            </w:r>
            <w:r>
              <w:rPr>
                <w:rFonts w:ascii="宋体" w:hAnsi="宋体" w:eastAsia="宋体" w:cs="宋体"/>
                <w:spacing w:val="11"/>
                <w:sz w:val="21"/>
                <w:szCs w:val="21"/>
              </w:rPr>
              <w:t>泄放系统，当反应超温、搅拌失效或冷却失效时，</w:t>
            </w:r>
            <w:r>
              <w:rPr>
                <w:rFonts w:ascii="宋体" w:hAnsi="宋体" w:eastAsia="宋体" w:cs="宋体"/>
                <w:spacing w:val="8"/>
                <w:sz w:val="21"/>
                <w:szCs w:val="21"/>
              </w:rPr>
              <w:t>能及时加入聚合反应终止</w:t>
            </w:r>
            <w:r>
              <w:rPr>
                <w:rFonts w:ascii="宋体" w:hAnsi="宋体" w:eastAsia="宋体" w:cs="宋体"/>
                <w:sz w:val="21"/>
                <w:szCs w:val="21"/>
              </w:rPr>
              <w:t>剂。</w:t>
            </w:r>
          </w:p>
        </w:tc>
        <w:tc>
          <w:tcPr>
            <w:tcW w:w="3072" w:type="dxa"/>
            <w:noWrap w:val="0"/>
            <w:vAlign w:val="top"/>
          </w:tcPr>
          <w:p w14:paraId="2215DBC9">
            <w:pPr>
              <w:rPr>
                <w:rFonts w:ascii="Arial"/>
                <w:sz w:val="21"/>
                <w:szCs w:val="21"/>
              </w:rPr>
            </w:pPr>
          </w:p>
        </w:tc>
        <w:tc>
          <w:tcPr>
            <w:tcW w:w="1129" w:type="dxa"/>
            <w:noWrap w:val="0"/>
            <w:vAlign w:val="top"/>
          </w:tcPr>
          <w:p w14:paraId="5663E5E1">
            <w:pPr>
              <w:rPr>
                <w:rFonts w:ascii="Arial"/>
                <w:sz w:val="21"/>
                <w:szCs w:val="21"/>
              </w:rPr>
            </w:pPr>
          </w:p>
        </w:tc>
      </w:tr>
      <w:tr w14:paraId="4BB3E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864" w:type="dxa"/>
            <w:noWrap w:val="0"/>
            <w:vAlign w:val="top"/>
          </w:tcPr>
          <w:p w14:paraId="07F3D49D">
            <w:pPr>
              <w:spacing w:line="370" w:lineRule="auto"/>
              <w:rPr>
                <w:rFonts w:ascii="Arial"/>
                <w:sz w:val="21"/>
                <w:szCs w:val="21"/>
              </w:rPr>
            </w:pPr>
          </w:p>
          <w:p w14:paraId="4265DA72">
            <w:pPr>
              <w:spacing w:before="75" w:line="183" w:lineRule="auto"/>
              <w:ind w:left="305"/>
              <w:rPr>
                <w:rFonts w:ascii="宋体" w:hAnsi="宋体" w:eastAsia="宋体" w:cs="宋体"/>
                <w:sz w:val="21"/>
                <w:szCs w:val="21"/>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7</w:t>
            </w:r>
          </w:p>
        </w:tc>
        <w:tc>
          <w:tcPr>
            <w:tcW w:w="2239" w:type="dxa"/>
            <w:noWrap w:val="0"/>
            <w:vAlign w:val="top"/>
          </w:tcPr>
          <w:p w14:paraId="21E74B2D">
            <w:pPr>
              <w:spacing w:before="98" w:line="238" w:lineRule="auto"/>
              <w:ind w:left="191" w:right="170"/>
              <w:jc w:val="both"/>
              <w:rPr>
                <w:rFonts w:ascii="宋体" w:hAnsi="宋体" w:eastAsia="宋体" w:cs="宋体"/>
                <w:sz w:val="21"/>
                <w:szCs w:val="21"/>
              </w:rPr>
            </w:pPr>
            <w:r>
              <w:rPr>
                <w:rFonts w:ascii="宋体" w:hAnsi="宋体" w:eastAsia="宋体" w:cs="宋体"/>
                <w:spacing w:val="3"/>
                <w:sz w:val="21"/>
                <w:szCs w:val="21"/>
              </w:rPr>
              <w:t>氯乙烯气柜的进出</w:t>
            </w:r>
            <w:r>
              <w:rPr>
                <w:rFonts w:ascii="宋体" w:hAnsi="宋体" w:eastAsia="宋体" w:cs="宋体"/>
                <w:spacing w:val="1"/>
                <w:sz w:val="21"/>
                <w:szCs w:val="21"/>
              </w:rPr>
              <w:t>口管道未设远程紧急切断阀；氯乙烯</w:t>
            </w:r>
          </w:p>
        </w:tc>
        <w:tc>
          <w:tcPr>
            <w:tcW w:w="3507" w:type="dxa"/>
            <w:noWrap w:val="0"/>
            <w:vAlign w:val="top"/>
          </w:tcPr>
          <w:p w14:paraId="7A7A6148">
            <w:pPr>
              <w:spacing w:before="119" w:line="243" w:lineRule="auto"/>
              <w:ind w:left="122" w:right="130" w:firstLine="479"/>
              <w:jc w:val="both"/>
              <w:rPr>
                <w:rFonts w:ascii="宋体" w:hAnsi="宋体" w:eastAsia="宋体" w:cs="宋体"/>
                <w:sz w:val="21"/>
                <w:szCs w:val="21"/>
              </w:rPr>
            </w:pPr>
            <w:r>
              <w:rPr>
                <w:rFonts w:ascii="宋体" w:hAnsi="宋体" w:eastAsia="宋体" w:cs="宋体"/>
                <w:spacing w:val="-1"/>
                <w:sz w:val="21"/>
                <w:szCs w:val="21"/>
              </w:rPr>
              <w:t>1.《中华人民共和国安全生</w:t>
            </w:r>
            <w:r>
              <w:rPr>
                <w:rFonts w:ascii="宋体" w:hAnsi="宋体" w:eastAsia="宋体" w:cs="宋体"/>
                <w:spacing w:val="10"/>
                <w:sz w:val="21"/>
                <w:szCs w:val="21"/>
              </w:rPr>
              <w:t>产法》第三十六条第二款生产经营单位必须对安全设备进行</w:t>
            </w:r>
          </w:p>
        </w:tc>
        <w:tc>
          <w:tcPr>
            <w:tcW w:w="2858" w:type="dxa"/>
            <w:noWrap w:val="0"/>
            <w:vAlign w:val="top"/>
          </w:tcPr>
          <w:p w14:paraId="7DCA3F37">
            <w:pPr>
              <w:spacing w:before="130"/>
              <w:ind w:left="134" w:right="22" w:firstLine="470"/>
              <w:jc w:val="both"/>
              <w:rPr>
                <w:rFonts w:ascii="宋体" w:hAnsi="宋体" w:eastAsia="宋体" w:cs="宋体"/>
                <w:sz w:val="21"/>
                <w:szCs w:val="21"/>
              </w:rPr>
            </w:pPr>
            <w:r>
              <w:rPr>
                <w:rFonts w:ascii="宋体" w:hAnsi="宋体" w:eastAsia="宋体" w:cs="宋体"/>
                <w:spacing w:val="2"/>
                <w:sz w:val="21"/>
                <w:szCs w:val="21"/>
              </w:rPr>
              <w:t>1.《危险化学品企业</w:t>
            </w:r>
            <w:r>
              <w:rPr>
                <w:rFonts w:ascii="宋体" w:hAnsi="宋体" w:eastAsia="宋体" w:cs="宋体"/>
                <w:spacing w:val="17"/>
                <w:sz w:val="21"/>
                <w:szCs w:val="21"/>
              </w:rPr>
              <w:t>安全风险隐患排查治理导</w:t>
            </w:r>
            <w:r>
              <w:rPr>
                <w:rFonts w:ascii="宋体" w:hAnsi="宋体" w:eastAsia="宋体" w:cs="宋体"/>
                <w:spacing w:val="18"/>
                <w:sz w:val="21"/>
                <w:szCs w:val="21"/>
              </w:rPr>
              <w:t>则》(应急〔2019〕78号)</w:t>
            </w:r>
          </w:p>
        </w:tc>
        <w:tc>
          <w:tcPr>
            <w:tcW w:w="3072" w:type="dxa"/>
            <w:noWrap w:val="0"/>
            <w:vAlign w:val="top"/>
          </w:tcPr>
          <w:p w14:paraId="5000E9A8">
            <w:pPr>
              <w:spacing w:before="119" w:line="243" w:lineRule="auto"/>
              <w:ind w:left="147" w:right="140" w:firstLine="455"/>
              <w:jc w:val="both"/>
              <w:rPr>
                <w:rFonts w:ascii="宋体" w:hAnsi="宋体" w:eastAsia="宋体" w:cs="宋体"/>
                <w:sz w:val="21"/>
                <w:szCs w:val="21"/>
              </w:rPr>
            </w:pPr>
            <w:r>
              <w:rPr>
                <w:rFonts w:ascii="宋体" w:hAnsi="宋体" w:eastAsia="宋体" w:cs="宋体"/>
                <w:spacing w:val="24"/>
                <w:sz w:val="21"/>
                <w:szCs w:val="21"/>
              </w:rPr>
              <w:t>《中华人民共和国</w:t>
            </w:r>
            <w:r>
              <w:rPr>
                <w:rFonts w:ascii="宋体" w:hAnsi="宋体" w:eastAsia="宋体" w:cs="宋体"/>
                <w:spacing w:val="10"/>
                <w:sz w:val="21"/>
                <w:szCs w:val="21"/>
              </w:rPr>
              <w:t>安全生产法》第九十九条</w:t>
            </w:r>
            <w:r>
              <w:rPr>
                <w:rFonts w:ascii="宋体" w:hAnsi="宋体" w:eastAsia="宋体" w:cs="宋体"/>
                <w:spacing w:val="7"/>
                <w:sz w:val="21"/>
                <w:szCs w:val="21"/>
              </w:rPr>
              <w:t>第三项生产经营单位</w:t>
            </w:r>
          </w:p>
        </w:tc>
        <w:tc>
          <w:tcPr>
            <w:tcW w:w="1129" w:type="dxa"/>
            <w:noWrap w:val="0"/>
            <w:vAlign w:val="top"/>
          </w:tcPr>
          <w:p w14:paraId="7BF11374">
            <w:pPr>
              <w:spacing w:before="268" w:line="230" w:lineRule="auto"/>
              <w:ind w:left="159" w:right="146"/>
              <w:rPr>
                <w:rFonts w:ascii="宋体" w:hAnsi="宋体" w:eastAsia="宋体" w:cs="宋体"/>
                <w:sz w:val="21"/>
                <w:szCs w:val="21"/>
              </w:rPr>
            </w:pPr>
            <w:r>
              <w:rPr>
                <w:rFonts w:ascii="宋体" w:hAnsi="宋体" w:eastAsia="宋体" w:cs="宋体"/>
                <w:spacing w:val="4"/>
                <w:sz w:val="21"/>
                <w:szCs w:val="21"/>
              </w:rPr>
              <w:t>氯乙烯和</w:t>
            </w:r>
            <w:r>
              <w:rPr>
                <w:rFonts w:ascii="宋体" w:hAnsi="宋体" w:eastAsia="宋体" w:cs="宋体"/>
                <w:spacing w:val="-2"/>
                <w:sz w:val="21"/>
                <w:szCs w:val="21"/>
              </w:rPr>
              <w:t>气柜管理</w:t>
            </w:r>
          </w:p>
        </w:tc>
      </w:tr>
    </w:tbl>
    <w:p w14:paraId="088BEEF9"/>
    <w:p w14:paraId="538D6515"/>
    <w:p w14:paraId="53106A36"/>
    <w:p w14:paraId="74795359"/>
    <w:p w14:paraId="2763BBAA"/>
    <w:p w14:paraId="5E2205B5"/>
    <w:p w14:paraId="15072CBF">
      <w:pPr>
        <w:spacing w:line="19" w:lineRule="exact"/>
      </w:pPr>
    </w:p>
    <w:tbl>
      <w:tblPr>
        <w:tblStyle w:val="12"/>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2218"/>
        <w:gridCol w:w="3507"/>
        <w:gridCol w:w="2868"/>
        <w:gridCol w:w="2848"/>
        <w:gridCol w:w="1254"/>
      </w:tblGrid>
      <w:tr w14:paraId="51E0D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100" w:type="dxa"/>
            <w:noWrap w:val="0"/>
            <w:vAlign w:val="top"/>
          </w:tcPr>
          <w:p w14:paraId="45657E14">
            <w:pPr>
              <w:spacing w:before="222" w:line="221" w:lineRule="auto"/>
              <w:ind w:left="188"/>
              <w:rPr>
                <w:rFonts w:ascii="宋体" w:hAnsi="宋体" w:eastAsia="宋体" w:cs="宋体"/>
                <w:b/>
                <w:bCs/>
                <w:sz w:val="24"/>
                <w:szCs w:val="24"/>
              </w:rPr>
            </w:pPr>
            <w:r>
              <w:rPr>
                <w:rFonts w:ascii="宋体" w:hAnsi="宋体" w:eastAsia="宋体" w:cs="宋体"/>
                <w:b/>
                <w:bCs/>
                <w:spacing w:val="-5"/>
                <w:sz w:val="24"/>
                <w:szCs w:val="24"/>
              </w:rPr>
              <w:t>序号</w:t>
            </w:r>
          </w:p>
        </w:tc>
        <w:tc>
          <w:tcPr>
            <w:tcW w:w="2218" w:type="dxa"/>
            <w:noWrap w:val="0"/>
            <w:vAlign w:val="top"/>
          </w:tcPr>
          <w:p w14:paraId="05DC216E">
            <w:pPr>
              <w:spacing w:before="81" w:line="219" w:lineRule="auto"/>
              <w:ind w:left="623"/>
              <w:rPr>
                <w:rFonts w:ascii="宋体" w:hAnsi="宋体" w:eastAsia="宋体" w:cs="宋体"/>
                <w:b/>
                <w:bCs/>
                <w:sz w:val="24"/>
                <w:szCs w:val="24"/>
              </w:rPr>
            </w:pPr>
            <w:r>
              <w:rPr>
                <w:rFonts w:ascii="宋体" w:hAnsi="宋体" w:eastAsia="宋体" w:cs="宋体"/>
                <w:b/>
                <w:bCs/>
                <w:spacing w:val="-5"/>
                <w:sz w:val="24"/>
                <w:szCs w:val="24"/>
              </w:rPr>
              <w:t>执法检查</w:t>
            </w:r>
          </w:p>
          <w:p w14:paraId="2660FD60">
            <w:pPr>
              <w:spacing w:before="34" w:line="218" w:lineRule="auto"/>
              <w:ind w:left="383"/>
              <w:rPr>
                <w:rFonts w:ascii="宋体" w:hAnsi="宋体" w:eastAsia="宋体" w:cs="宋体"/>
                <w:b/>
                <w:bCs/>
                <w:sz w:val="24"/>
                <w:szCs w:val="24"/>
              </w:rPr>
            </w:pPr>
            <w:r>
              <w:rPr>
                <w:rFonts w:ascii="宋体" w:hAnsi="宋体" w:eastAsia="宋体" w:cs="宋体"/>
                <w:b/>
                <w:bCs/>
                <w:spacing w:val="-4"/>
                <w:sz w:val="24"/>
                <w:szCs w:val="24"/>
              </w:rPr>
              <w:t>重点事项内容</w:t>
            </w:r>
          </w:p>
        </w:tc>
        <w:tc>
          <w:tcPr>
            <w:tcW w:w="3507" w:type="dxa"/>
            <w:noWrap w:val="0"/>
            <w:vAlign w:val="top"/>
          </w:tcPr>
          <w:p w14:paraId="2A4B8D38">
            <w:pPr>
              <w:spacing w:before="219" w:line="219" w:lineRule="auto"/>
              <w:ind w:left="1025"/>
              <w:rPr>
                <w:rFonts w:ascii="宋体" w:hAnsi="宋体" w:eastAsia="宋体" w:cs="宋体"/>
                <w:b/>
                <w:bCs/>
                <w:sz w:val="24"/>
                <w:szCs w:val="24"/>
              </w:rPr>
            </w:pPr>
            <w:r>
              <w:rPr>
                <w:rFonts w:ascii="宋体" w:hAnsi="宋体" w:eastAsia="宋体" w:cs="宋体"/>
                <w:b/>
                <w:bCs/>
                <w:spacing w:val="-4"/>
                <w:sz w:val="24"/>
                <w:szCs w:val="24"/>
              </w:rPr>
              <w:t>执法检查依据</w:t>
            </w:r>
          </w:p>
        </w:tc>
        <w:tc>
          <w:tcPr>
            <w:tcW w:w="2868" w:type="dxa"/>
            <w:noWrap w:val="0"/>
            <w:vAlign w:val="top"/>
          </w:tcPr>
          <w:p w14:paraId="583D7079">
            <w:pPr>
              <w:spacing w:before="102" w:line="220" w:lineRule="auto"/>
              <w:ind w:left="858"/>
              <w:rPr>
                <w:rFonts w:ascii="宋体" w:hAnsi="宋体" w:eastAsia="宋体" w:cs="宋体"/>
                <w:b/>
                <w:bCs/>
                <w:sz w:val="24"/>
                <w:szCs w:val="24"/>
              </w:rPr>
            </w:pPr>
            <w:r>
              <w:rPr>
                <w:rFonts w:ascii="宋体" w:hAnsi="宋体" w:eastAsia="宋体" w:cs="宋体"/>
                <w:b/>
                <w:bCs/>
                <w:spacing w:val="-5"/>
                <w:sz w:val="24"/>
                <w:szCs w:val="24"/>
              </w:rPr>
              <w:t>有关规范性</w:t>
            </w:r>
          </w:p>
          <w:p w14:paraId="145C5B32">
            <w:pPr>
              <w:spacing w:before="42" w:line="195" w:lineRule="auto"/>
              <w:ind w:left="608"/>
              <w:rPr>
                <w:rFonts w:ascii="宋体" w:hAnsi="宋体" w:eastAsia="宋体" w:cs="宋体"/>
                <w:b/>
                <w:bCs/>
                <w:sz w:val="24"/>
                <w:szCs w:val="24"/>
              </w:rPr>
            </w:pPr>
            <w:r>
              <w:rPr>
                <w:rFonts w:ascii="宋体" w:hAnsi="宋体" w:eastAsia="宋体" w:cs="宋体"/>
                <w:b/>
                <w:bCs/>
                <w:spacing w:val="-4"/>
                <w:sz w:val="24"/>
                <w:szCs w:val="24"/>
              </w:rPr>
              <w:t>文件及标准要求</w:t>
            </w:r>
          </w:p>
        </w:tc>
        <w:tc>
          <w:tcPr>
            <w:tcW w:w="2848" w:type="dxa"/>
            <w:noWrap w:val="0"/>
            <w:vAlign w:val="top"/>
          </w:tcPr>
          <w:p w14:paraId="4350B447">
            <w:pPr>
              <w:spacing w:before="223" w:line="219" w:lineRule="auto"/>
              <w:ind w:left="977"/>
              <w:rPr>
                <w:rFonts w:ascii="宋体" w:hAnsi="宋体" w:eastAsia="宋体" w:cs="宋体"/>
                <w:b/>
                <w:bCs/>
                <w:sz w:val="24"/>
                <w:szCs w:val="24"/>
              </w:rPr>
            </w:pPr>
            <w:r>
              <w:rPr>
                <w:rFonts w:ascii="宋体" w:hAnsi="宋体" w:eastAsia="宋体" w:cs="宋体"/>
                <w:b/>
                <w:bCs/>
                <w:spacing w:val="3"/>
                <w:sz w:val="24"/>
                <w:szCs w:val="24"/>
              </w:rPr>
              <w:t>处罚依据</w:t>
            </w:r>
          </w:p>
        </w:tc>
        <w:tc>
          <w:tcPr>
            <w:tcW w:w="1254" w:type="dxa"/>
            <w:noWrap w:val="0"/>
            <w:vAlign w:val="top"/>
          </w:tcPr>
          <w:p w14:paraId="7F34F60E">
            <w:pPr>
              <w:spacing w:before="222" w:line="221" w:lineRule="auto"/>
              <w:ind w:left="382"/>
              <w:rPr>
                <w:rFonts w:ascii="宋体" w:hAnsi="宋体" w:eastAsia="宋体" w:cs="宋体"/>
                <w:b/>
                <w:bCs/>
                <w:sz w:val="24"/>
                <w:szCs w:val="24"/>
              </w:rPr>
            </w:pPr>
            <w:r>
              <w:rPr>
                <w:rFonts w:ascii="宋体" w:hAnsi="宋体" w:eastAsia="宋体" w:cs="宋体"/>
                <w:b/>
                <w:bCs/>
                <w:spacing w:val="-6"/>
                <w:sz w:val="24"/>
                <w:szCs w:val="24"/>
              </w:rPr>
              <w:t>备注</w:t>
            </w:r>
          </w:p>
        </w:tc>
      </w:tr>
      <w:tr w14:paraId="3E94B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0" w:hRule="atLeast"/>
        </w:trPr>
        <w:tc>
          <w:tcPr>
            <w:tcW w:w="1100" w:type="dxa"/>
            <w:noWrap w:val="0"/>
            <w:vAlign w:val="top"/>
          </w:tcPr>
          <w:p w14:paraId="020C4FDF">
            <w:pPr>
              <w:rPr>
                <w:rFonts w:ascii="Arial"/>
                <w:sz w:val="21"/>
                <w:szCs w:val="21"/>
              </w:rPr>
            </w:pPr>
          </w:p>
        </w:tc>
        <w:tc>
          <w:tcPr>
            <w:tcW w:w="2218" w:type="dxa"/>
            <w:noWrap w:val="0"/>
            <w:vAlign w:val="top"/>
          </w:tcPr>
          <w:p w14:paraId="1F227F63">
            <w:pPr>
              <w:spacing w:before="81" w:line="244" w:lineRule="auto"/>
              <w:ind w:left="110" w:right="27" w:firstLine="90"/>
              <w:jc w:val="both"/>
              <w:rPr>
                <w:rFonts w:ascii="宋体" w:hAnsi="宋体" w:eastAsia="宋体" w:cs="宋体"/>
                <w:sz w:val="21"/>
                <w:szCs w:val="21"/>
              </w:rPr>
            </w:pPr>
            <w:r>
              <w:rPr>
                <w:rFonts w:ascii="宋体" w:hAnsi="宋体" w:eastAsia="宋体" w:cs="宋体"/>
                <w:spacing w:val="-2"/>
                <w:sz w:val="21"/>
                <w:szCs w:val="21"/>
              </w:rPr>
              <w:t>气柜的压力(钟罩</w:t>
            </w:r>
            <w:r>
              <w:rPr>
                <w:rFonts w:ascii="宋体" w:hAnsi="宋体" w:eastAsia="宋体" w:cs="宋体"/>
                <w:spacing w:val="12"/>
                <w:sz w:val="21"/>
                <w:szCs w:val="21"/>
              </w:rPr>
              <w:t>内)、柜位高度不</w:t>
            </w:r>
            <w:r>
              <w:rPr>
                <w:rFonts w:ascii="宋体" w:hAnsi="宋体" w:eastAsia="宋体" w:cs="宋体"/>
                <w:spacing w:val="5"/>
                <w:sz w:val="21"/>
                <w:szCs w:val="21"/>
              </w:rPr>
              <w:t>能实现在线连续监测：未设置气柜压</w:t>
            </w:r>
            <w:r>
              <w:rPr>
                <w:rFonts w:ascii="宋体" w:hAnsi="宋体" w:eastAsia="宋体" w:cs="宋体"/>
                <w:spacing w:val="18"/>
                <w:sz w:val="21"/>
                <w:szCs w:val="21"/>
              </w:rPr>
              <w:t>力、柜位等联锁。</w:t>
            </w:r>
            <w:r>
              <w:rPr>
                <w:rFonts w:ascii="宋体" w:hAnsi="宋体" w:eastAsia="宋体" w:cs="宋体"/>
                <w:spacing w:val="2"/>
                <w:sz w:val="21"/>
                <w:szCs w:val="21"/>
              </w:rPr>
              <w:t>湿式气柜储存毒性</w:t>
            </w:r>
            <w:r>
              <w:rPr>
                <w:rFonts w:ascii="宋体" w:hAnsi="宋体" w:eastAsia="宋体" w:cs="宋体"/>
                <w:spacing w:val="5"/>
                <w:sz w:val="21"/>
                <w:szCs w:val="21"/>
              </w:rPr>
              <w:t>为极度、高度危害</w:t>
            </w:r>
            <w:r>
              <w:rPr>
                <w:rFonts w:ascii="宋体" w:hAnsi="宋体" w:eastAsia="宋体" w:cs="宋体"/>
                <w:spacing w:val="23"/>
                <w:sz w:val="21"/>
                <w:szCs w:val="21"/>
              </w:rPr>
              <w:t>的气体。</w:t>
            </w:r>
          </w:p>
        </w:tc>
        <w:tc>
          <w:tcPr>
            <w:tcW w:w="3507" w:type="dxa"/>
            <w:noWrap w:val="0"/>
            <w:vAlign w:val="top"/>
          </w:tcPr>
          <w:p w14:paraId="5577EFA8">
            <w:pPr>
              <w:spacing w:before="112" w:line="243" w:lineRule="auto"/>
              <w:ind w:left="141" w:hanging="9"/>
              <w:jc w:val="both"/>
              <w:rPr>
                <w:rFonts w:ascii="宋体" w:hAnsi="宋体" w:eastAsia="宋体" w:cs="宋体"/>
                <w:sz w:val="21"/>
                <w:szCs w:val="21"/>
              </w:rPr>
            </w:pPr>
            <w:r>
              <w:rPr>
                <w:rFonts w:ascii="宋体" w:hAnsi="宋体" w:eastAsia="宋体" w:cs="宋体"/>
                <w:spacing w:val="-6"/>
                <w:sz w:val="21"/>
                <w:szCs w:val="21"/>
              </w:rPr>
              <w:t>经常性维护、保养，并定期检测，</w:t>
            </w:r>
            <w:r>
              <w:rPr>
                <w:rFonts w:ascii="宋体" w:hAnsi="宋体" w:eastAsia="宋体" w:cs="宋体"/>
                <w:spacing w:val="2"/>
                <w:sz w:val="21"/>
                <w:szCs w:val="21"/>
              </w:rPr>
              <w:t>保证正常运转。维护、保养、检</w:t>
            </w:r>
            <w:r>
              <w:rPr>
                <w:rFonts w:ascii="宋体" w:hAnsi="宋体" w:eastAsia="宋体" w:cs="宋体"/>
                <w:spacing w:val="4"/>
                <w:sz w:val="21"/>
                <w:szCs w:val="21"/>
              </w:rPr>
              <w:t>测应当作好记录，并由有关人员</w:t>
            </w:r>
            <w:r>
              <w:rPr>
                <w:rFonts w:ascii="宋体" w:hAnsi="宋体" w:eastAsia="宋体" w:cs="宋体"/>
                <w:spacing w:val="-5"/>
                <w:sz w:val="21"/>
                <w:szCs w:val="21"/>
              </w:rPr>
              <w:t>签字。</w:t>
            </w:r>
          </w:p>
          <w:p w14:paraId="2A214ECD">
            <w:pPr>
              <w:spacing w:before="63" w:line="250" w:lineRule="auto"/>
              <w:ind w:left="142" w:firstLine="433"/>
              <w:rPr>
                <w:rFonts w:ascii="宋体" w:hAnsi="宋体" w:eastAsia="宋体" w:cs="宋体"/>
                <w:sz w:val="21"/>
                <w:szCs w:val="21"/>
              </w:rPr>
            </w:pPr>
            <w:r>
              <w:rPr>
                <w:rFonts w:ascii="宋体" w:hAnsi="宋体" w:eastAsia="宋体" w:cs="宋体"/>
                <w:spacing w:val="-9"/>
                <w:sz w:val="21"/>
                <w:szCs w:val="21"/>
              </w:rPr>
              <w:t>2.《危险化学品生产企业安</w:t>
            </w:r>
            <w:r>
              <w:rPr>
                <w:rFonts w:ascii="宋体" w:hAnsi="宋体" w:eastAsia="宋体" w:cs="宋体"/>
                <w:spacing w:val="3"/>
                <w:sz w:val="21"/>
                <w:szCs w:val="21"/>
              </w:rPr>
              <w:t>全生产许可证实施办法》(国家</w:t>
            </w:r>
            <w:r>
              <w:rPr>
                <w:rFonts w:ascii="宋体" w:hAnsi="宋体" w:eastAsia="宋体" w:cs="宋体"/>
                <w:spacing w:val="19"/>
                <w:sz w:val="21"/>
                <w:szCs w:val="21"/>
              </w:rPr>
              <w:t>安全监管总局令第41号)第九</w:t>
            </w:r>
            <w:r>
              <w:rPr>
                <w:rFonts w:ascii="宋体" w:hAnsi="宋体" w:eastAsia="宋体" w:cs="宋体"/>
                <w:spacing w:val="6"/>
                <w:sz w:val="21"/>
                <w:szCs w:val="21"/>
              </w:rPr>
              <w:t>条第一款第三项企业的厂房、</w:t>
            </w:r>
            <w:r>
              <w:rPr>
                <w:rFonts w:ascii="宋体" w:hAnsi="宋体" w:eastAsia="宋体" w:cs="宋体"/>
                <w:spacing w:val="11"/>
                <w:sz w:val="21"/>
                <w:szCs w:val="21"/>
              </w:rPr>
              <w:t>作业场所、储存设施和安全设</w:t>
            </w:r>
            <w:r>
              <w:rPr>
                <w:rFonts w:ascii="宋体" w:hAnsi="宋体" w:eastAsia="宋体" w:cs="宋体"/>
                <w:spacing w:val="2"/>
                <w:sz w:val="21"/>
                <w:szCs w:val="21"/>
              </w:rPr>
              <w:t>施、设备、工艺应当符合下列要</w:t>
            </w:r>
            <w:r>
              <w:rPr>
                <w:rFonts w:ascii="宋体" w:hAnsi="宋体" w:eastAsia="宋体" w:cs="宋体"/>
                <w:spacing w:val="-5"/>
                <w:sz w:val="21"/>
                <w:szCs w:val="21"/>
              </w:rPr>
              <w:t>求：</w:t>
            </w:r>
          </w:p>
          <w:p w14:paraId="31DF0D18">
            <w:pPr>
              <w:spacing w:before="74" w:line="253" w:lineRule="auto"/>
              <w:ind w:left="142" w:firstLine="557"/>
              <w:rPr>
                <w:rFonts w:ascii="宋体" w:hAnsi="宋体" w:eastAsia="宋体" w:cs="宋体"/>
                <w:sz w:val="21"/>
                <w:szCs w:val="21"/>
              </w:rPr>
            </w:pPr>
            <w:r>
              <w:rPr>
                <w:rFonts w:ascii="宋体" w:hAnsi="宋体" w:eastAsia="宋体" w:cs="宋体"/>
                <w:spacing w:val="17"/>
                <w:sz w:val="21"/>
                <w:szCs w:val="21"/>
              </w:rPr>
              <w:t>(三)涉及危险化工工艺、</w:t>
            </w:r>
            <w:r>
              <w:rPr>
                <w:rFonts w:ascii="宋体" w:hAnsi="宋体" w:eastAsia="宋体" w:cs="宋体"/>
                <w:spacing w:val="20"/>
                <w:sz w:val="21"/>
                <w:szCs w:val="21"/>
              </w:rPr>
              <w:t>重点监管危险化学品的装置装</w:t>
            </w:r>
            <w:r>
              <w:rPr>
                <w:rFonts w:ascii="宋体" w:hAnsi="宋体" w:eastAsia="宋体" w:cs="宋体"/>
                <w:spacing w:val="9"/>
                <w:sz w:val="21"/>
                <w:szCs w:val="21"/>
              </w:rPr>
              <w:t>设自动化控制系统；涉及危险化</w:t>
            </w:r>
            <w:r>
              <w:rPr>
                <w:rFonts w:ascii="宋体" w:hAnsi="宋体" w:eastAsia="宋体" w:cs="宋体"/>
                <w:spacing w:val="20"/>
                <w:sz w:val="21"/>
                <w:szCs w:val="21"/>
              </w:rPr>
              <w:t>工工艺的大型化工装置装设紧</w:t>
            </w:r>
            <w:r>
              <w:rPr>
                <w:rFonts w:ascii="宋体" w:hAnsi="宋体" w:eastAsia="宋体" w:cs="宋体"/>
                <w:spacing w:val="9"/>
                <w:sz w:val="21"/>
                <w:szCs w:val="21"/>
              </w:rPr>
              <w:t>急停车系统；涉及易燃易爆、有</w:t>
            </w:r>
            <w:r>
              <w:rPr>
                <w:rFonts w:ascii="宋体" w:hAnsi="宋体" w:eastAsia="宋体" w:cs="宋体"/>
                <w:spacing w:val="18"/>
                <w:sz w:val="21"/>
                <w:szCs w:val="21"/>
              </w:rPr>
              <w:t>毒有害气体化学品的场所装设</w:t>
            </w:r>
            <w:r>
              <w:rPr>
                <w:rFonts w:ascii="宋体" w:hAnsi="宋体" w:eastAsia="宋体" w:cs="宋体"/>
                <w:spacing w:val="9"/>
                <w:sz w:val="21"/>
                <w:szCs w:val="21"/>
              </w:rPr>
              <w:t>易燃易爆、有毒有害介质泄漏报</w:t>
            </w:r>
            <w:r>
              <w:rPr>
                <w:rFonts w:ascii="宋体" w:hAnsi="宋体" w:eastAsia="宋体" w:cs="宋体"/>
                <w:spacing w:val="25"/>
                <w:sz w:val="21"/>
                <w:szCs w:val="21"/>
              </w:rPr>
              <w:t>警等安全设施。</w:t>
            </w:r>
          </w:p>
          <w:p w14:paraId="4A437211">
            <w:pPr>
              <w:tabs>
                <w:tab w:val="left" w:pos="222"/>
              </w:tabs>
              <w:spacing w:before="50" w:line="238" w:lineRule="auto"/>
              <w:ind w:left="22" w:right="14" w:firstLine="580"/>
              <w:rPr>
                <w:rFonts w:ascii="宋体" w:hAnsi="宋体" w:eastAsia="宋体" w:cs="宋体"/>
                <w:sz w:val="21"/>
                <w:szCs w:val="21"/>
              </w:rPr>
            </w:pPr>
            <w:r>
              <w:rPr>
                <w:rFonts w:ascii="宋体" w:hAnsi="宋体" w:eastAsia="宋体" w:cs="宋体"/>
                <w:spacing w:val="-1"/>
                <w:sz w:val="21"/>
                <w:szCs w:val="21"/>
              </w:rPr>
              <w:t>3.《危险化学品建设项目安</w:t>
            </w:r>
            <w:r>
              <w:rPr>
                <w:rFonts w:ascii="宋体" w:hAnsi="宋体" w:eastAsia="宋体" w:cs="宋体"/>
                <w:spacing w:val="21"/>
                <w:sz w:val="21"/>
                <w:szCs w:val="21"/>
              </w:rPr>
              <w:t>全设施目录》(安监总危化</w:t>
            </w:r>
            <w:r>
              <w:rPr>
                <w:rFonts w:ascii="宋体" w:hAnsi="宋体" w:eastAsia="宋体" w:cs="宋体"/>
                <w:spacing w:val="18"/>
                <w:sz w:val="21"/>
                <w:szCs w:val="21"/>
              </w:rPr>
              <w:t>〔2007〕225号)预防事故设施</w:t>
            </w:r>
            <w:r>
              <w:rPr>
                <w:rFonts w:ascii="宋体" w:hAnsi="宋体" w:eastAsia="宋体" w:cs="宋体"/>
                <w:sz w:val="21"/>
                <w:szCs w:val="21"/>
              </w:rPr>
              <w:tab/>
            </w:r>
            <w:r>
              <w:rPr>
                <w:rFonts w:ascii="宋体" w:hAnsi="宋体" w:eastAsia="宋体" w:cs="宋体"/>
                <w:spacing w:val="20"/>
                <w:sz w:val="21"/>
                <w:szCs w:val="21"/>
              </w:rPr>
              <w:t>(1)检测、报警设施。压力、</w:t>
            </w:r>
          </w:p>
        </w:tc>
        <w:tc>
          <w:tcPr>
            <w:tcW w:w="2868" w:type="dxa"/>
            <w:noWrap w:val="0"/>
            <w:vAlign w:val="top"/>
          </w:tcPr>
          <w:p w14:paraId="5B78107D">
            <w:pPr>
              <w:spacing w:before="103" w:line="254" w:lineRule="auto"/>
              <w:ind w:left="155"/>
              <w:jc w:val="both"/>
              <w:rPr>
                <w:rFonts w:ascii="宋体" w:hAnsi="宋体" w:eastAsia="宋体" w:cs="宋体"/>
                <w:sz w:val="21"/>
                <w:szCs w:val="21"/>
              </w:rPr>
            </w:pPr>
            <w:r>
              <w:rPr>
                <w:rFonts w:ascii="宋体" w:hAnsi="宋体" w:eastAsia="宋体" w:cs="宋体"/>
                <w:spacing w:val="14"/>
                <w:sz w:val="21"/>
                <w:szCs w:val="21"/>
              </w:rPr>
              <w:t>附件9重点危险化学品</w:t>
            </w:r>
            <w:r>
              <w:rPr>
                <w:rFonts w:ascii="宋体" w:hAnsi="宋体" w:eastAsia="宋体" w:cs="宋体"/>
                <w:spacing w:val="7"/>
                <w:sz w:val="21"/>
                <w:szCs w:val="21"/>
              </w:rPr>
              <w:t>特殊管控安全风险隐患排</w:t>
            </w:r>
            <w:r>
              <w:rPr>
                <w:rFonts w:ascii="宋体" w:hAnsi="宋体" w:eastAsia="宋体" w:cs="宋体"/>
                <w:spacing w:val="11"/>
                <w:sz w:val="21"/>
                <w:szCs w:val="21"/>
              </w:rPr>
              <w:t>查表(六)氯乙烯第</w:t>
            </w:r>
            <w:r>
              <w:rPr>
                <w:rFonts w:ascii="宋体" w:hAnsi="宋体" w:eastAsia="宋体" w:cs="宋体"/>
                <w:spacing w:val="16"/>
                <w:sz w:val="21"/>
                <w:szCs w:val="21"/>
              </w:rPr>
              <w:t>6条氯乙烯气柜进出总</w:t>
            </w:r>
            <w:r>
              <w:rPr>
                <w:rFonts w:ascii="宋体" w:hAnsi="宋体" w:eastAsia="宋体" w:cs="宋体"/>
                <w:spacing w:val="30"/>
                <w:sz w:val="21"/>
                <w:szCs w:val="21"/>
              </w:rPr>
              <w:t>管应设置压力和柜位检</w:t>
            </w:r>
            <w:r>
              <w:rPr>
                <w:rFonts w:ascii="宋体" w:hAnsi="宋体" w:eastAsia="宋体" w:cs="宋体"/>
                <w:spacing w:val="21"/>
                <w:sz w:val="21"/>
                <w:szCs w:val="21"/>
              </w:rPr>
              <w:t>测，</w:t>
            </w:r>
            <w:r>
              <w:rPr>
                <w:rFonts w:ascii="宋体" w:hAnsi="宋体" w:eastAsia="宋体" w:cs="宋体"/>
                <w:sz w:val="21"/>
                <w:szCs w:val="21"/>
              </w:rPr>
              <w:t>DCS</w:t>
            </w:r>
            <w:r>
              <w:rPr>
                <w:rFonts w:ascii="宋体" w:hAnsi="宋体" w:eastAsia="宋体" w:cs="宋体"/>
                <w:spacing w:val="21"/>
                <w:sz w:val="21"/>
                <w:szCs w:val="21"/>
              </w:rPr>
              <w:t>指示、报警、联</w:t>
            </w:r>
            <w:r>
              <w:rPr>
                <w:rFonts w:ascii="宋体" w:hAnsi="宋体" w:eastAsia="宋体" w:cs="宋体"/>
                <w:spacing w:val="9"/>
                <w:sz w:val="21"/>
                <w:szCs w:val="21"/>
              </w:rPr>
              <w:t>锁，记录保持时间不低于</w:t>
            </w:r>
            <w:r>
              <w:rPr>
                <w:rFonts w:ascii="宋体" w:hAnsi="宋体" w:eastAsia="宋体" w:cs="宋体"/>
                <w:spacing w:val="19"/>
                <w:sz w:val="21"/>
                <w:szCs w:val="21"/>
              </w:rPr>
              <w:t>3个月。气柜压力和柜位</w:t>
            </w:r>
            <w:r>
              <w:rPr>
                <w:rFonts w:ascii="宋体" w:hAnsi="宋体" w:eastAsia="宋体" w:cs="宋体"/>
                <w:spacing w:val="9"/>
                <w:sz w:val="21"/>
                <w:szCs w:val="21"/>
              </w:rPr>
              <w:t>联锁应设置高高或低低的</w:t>
            </w:r>
            <w:r>
              <w:rPr>
                <w:rFonts w:ascii="宋体" w:hAnsi="宋体" w:eastAsia="宋体" w:cs="宋体"/>
                <w:spacing w:val="-11"/>
                <w:sz w:val="21"/>
                <w:szCs w:val="21"/>
              </w:rPr>
              <w:t>三选二联锁动作。第11</w:t>
            </w:r>
            <w:r>
              <w:rPr>
                <w:rFonts w:ascii="宋体" w:hAnsi="宋体" w:eastAsia="宋体" w:cs="宋体"/>
                <w:spacing w:val="9"/>
                <w:sz w:val="21"/>
                <w:szCs w:val="21"/>
              </w:rPr>
              <w:t>条氯乙烯气柜的进出口</w:t>
            </w:r>
            <w:r>
              <w:rPr>
                <w:rFonts w:ascii="宋体" w:hAnsi="宋体" w:eastAsia="宋体" w:cs="宋体"/>
                <w:spacing w:val="32"/>
                <w:sz w:val="21"/>
                <w:szCs w:val="21"/>
              </w:rPr>
              <w:t>管道应设远程紧急切断</w:t>
            </w:r>
            <w:r>
              <w:rPr>
                <w:rFonts w:ascii="宋体" w:hAnsi="宋体" w:eastAsia="宋体" w:cs="宋体"/>
                <w:spacing w:val="-12"/>
                <w:sz w:val="21"/>
                <w:szCs w:val="21"/>
              </w:rPr>
              <w:t>阀。</w:t>
            </w:r>
          </w:p>
          <w:p w14:paraId="156857BF">
            <w:pPr>
              <w:spacing w:before="68"/>
              <w:ind w:left="155" w:right="47" w:firstLine="419"/>
              <w:jc w:val="both"/>
              <w:rPr>
                <w:rFonts w:ascii="宋体" w:hAnsi="宋体" w:eastAsia="宋体" w:cs="宋体"/>
                <w:sz w:val="21"/>
                <w:szCs w:val="21"/>
              </w:rPr>
            </w:pPr>
            <w:r>
              <w:rPr>
                <w:rFonts w:ascii="宋体" w:hAnsi="宋体" w:eastAsia="宋体" w:cs="宋体"/>
                <w:spacing w:val="-10"/>
                <w:sz w:val="21"/>
                <w:szCs w:val="21"/>
              </w:rPr>
              <w:t>2.《工业企业湿式气</w:t>
            </w:r>
            <w:r>
              <w:rPr>
                <w:rFonts w:ascii="宋体" w:hAnsi="宋体" w:eastAsia="宋体" w:cs="宋体"/>
                <w:spacing w:val="10"/>
                <w:sz w:val="21"/>
                <w:szCs w:val="21"/>
              </w:rPr>
              <w:t>柜技术规范》(</w:t>
            </w:r>
            <w:r>
              <w:rPr>
                <w:rFonts w:ascii="宋体" w:hAnsi="宋体" w:eastAsia="宋体" w:cs="宋体"/>
                <w:sz w:val="21"/>
                <w:szCs w:val="21"/>
              </w:rPr>
              <w:t>GB</w:t>
            </w:r>
            <w:r>
              <w:rPr>
                <w:rFonts w:ascii="宋体" w:hAnsi="宋体" w:eastAsia="宋体" w:cs="宋体"/>
                <w:spacing w:val="10"/>
                <w:sz w:val="21"/>
                <w:szCs w:val="21"/>
              </w:rPr>
              <w:t>/T</w:t>
            </w:r>
            <w:r>
              <w:rPr>
                <w:rFonts w:ascii="宋体" w:hAnsi="宋体" w:eastAsia="宋体" w:cs="宋体"/>
                <w:spacing w:val="1"/>
                <w:sz w:val="21"/>
                <w:szCs w:val="21"/>
              </w:rPr>
              <w:t xml:space="preserve"> </w:t>
            </w:r>
            <w:r>
              <w:rPr>
                <w:rFonts w:ascii="宋体" w:hAnsi="宋体" w:eastAsia="宋体" w:cs="宋体"/>
                <w:spacing w:val="6"/>
                <w:sz w:val="21"/>
                <w:szCs w:val="21"/>
              </w:rPr>
              <w:t>51094)第9.3.1条气柜</w:t>
            </w:r>
            <w:r>
              <w:rPr>
                <w:rFonts w:ascii="宋体" w:hAnsi="宋体" w:eastAsia="宋体" w:cs="宋体"/>
                <w:spacing w:val="1"/>
                <w:sz w:val="21"/>
                <w:szCs w:val="21"/>
              </w:rPr>
              <w:t>不应储存溶于水的各种气体和毒性为极度、高度危</w:t>
            </w:r>
            <w:r>
              <w:rPr>
                <w:rFonts w:ascii="宋体" w:hAnsi="宋体" w:eastAsia="宋体" w:cs="宋体"/>
                <w:spacing w:val="24"/>
                <w:sz w:val="21"/>
                <w:szCs w:val="21"/>
              </w:rPr>
              <w:t>害的气体。</w:t>
            </w:r>
          </w:p>
        </w:tc>
        <w:tc>
          <w:tcPr>
            <w:tcW w:w="2848" w:type="dxa"/>
            <w:noWrap w:val="0"/>
            <w:vAlign w:val="top"/>
          </w:tcPr>
          <w:p w14:paraId="53CF5D71">
            <w:pPr>
              <w:spacing w:before="116" w:line="254" w:lineRule="auto"/>
              <w:ind w:left="157"/>
              <w:jc w:val="both"/>
              <w:rPr>
                <w:rFonts w:ascii="宋体" w:hAnsi="宋体" w:eastAsia="宋体" w:cs="宋体"/>
                <w:sz w:val="21"/>
                <w:szCs w:val="21"/>
              </w:rPr>
            </w:pPr>
            <w:r>
              <w:rPr>
                <w:rFonts w:ascii="宋体" w:hAnsi="宋体" w:eastAsia="宋体" w:cs="宋体"/>
                <w:spacing w:val="4"/>
                <w:sz w:val="21"/>
                <w:szCs w:val="21"/>
              </w:rPr>
              <w:t>有下列行为之一的，责令限期改正，处五万元以下</w:t>
            </w:r>
            <w:r>
              <w:rPr>
                <w:rFonts w:ascii="宋体" w:hAnsi="宋体" w:eastAsia="宋体" w:cs="宋体"/>
                <w:spacing w:val="13"/>
                <w:sz w:val="21"/>
                <w:szCs w:val="21"/>
              </w:rPr>
              <w:t>的罚款；逾期未改正的，</w:t>
            </w:r>
            <w:r>
              <w:rPr>
                <w:rFonts w:ascii="宋体" w:hAnsi="宋体" w:eastAsia="宋体" w:cs="宋体"/>
                <w:spacing w:val="23"/>
                <w:sz w:val="21"/>
                <w:szCs w:val="21"/>
              </w:rPr>
              <w:t>处五万元以上二十万元</w:t>
            </w:r>
            <w:r>
              <w:rPr>
                <w:rFonts w:ascii="宋体" w:hAnsi="宋体" w:eastAsia="宋体" w:cs="宋体"/>
                <w:spacing w:val="5"/>
                <w:sz w:val="21"/>
                <w:szCs w:val="21"/>
              </w:rPr>
              <w:t>以下的罚款，对其直接负</w:t>
            </w:r>
            <w:r>
              <w:rPr>
                <w:rFonts w:ascii="宋体" w:hAnsi="宋体" w:eastAsia="宋体" w:cs="宋体"/>
                <w:spacing w:val="21"/>
                <w:sz w:val="21"/>
                <w:szCs w:val="21"/>
              </w:rPr>
              <w:t>责的主管人员和其他直</w:t>
            </w:r>
            <w:r>
              <w:rPr>
                <w:rFonts w:ascii="宋体" w:hAnsi="宋体" w:eastAsia="宋体" w:cs="宋体"/>
                <w:spacing w:val="24"/>
                <w:sz w:val="21"/>
                <w:szCs w:val="21"/>
              </w:rPr>
              <w:t>接责任人员处一万元以</w:t>
            </w:r>
            <w:r>
              <w:rPr>
                <w:rFonts w:ascii="宋体" w:hAnsi="宋体" w:eastAsia="宋体" w:cs="宋体"/>
                <w:spacing w:val="4"/>
                <w:sz w:val="21"/>
                <w:szCs w:val="21"/>
              </w:rPr>
              <w:t>上二万元以下的罚款；情</w:t>
            </w:r>
            <w:r>
              <w:rPr>
                <w:rFonts w:ascii="宋体" w:hAnsi="宋体" w:eastAsia="宋体" w:cs="宋体"/>
                <w:spacing w:val="2"/>
                <w:sz w:val="21"/>
                <w:szCs w:val="21"/>
              </w:rPr>
              <w:t>节严重的，责令停产停业</w:t>
            </w:r>
            <w:r>
              <w:rPr>
                <w:rFonts w:ascii="宋体" w:hAnsi="宋体" w:eastAsia="宋体" w:cs="宋体"/>
                <w:spacing w:val="4"/>
                <w:sz w:val="21"/>
                <w:szCs w:val="21"/>
              </w:rPr>
              <w:t>整顿；构成犯罪的，依照</w:t>
            </w:r>
            <w:r>
              <w:rPr>
                <w:rFonts w:ascii="宋体" w:hAnsi="宋体" w:eastAsia="宋体" w:cs="宋体"/>
                <w:spacing w:val="23"/>
                <w:sz w:val="21"/>
                <w:szCs w:val="21"/>
              </w:rPr>
              <w:t>刑法有关规定追究刑事</w:t>
            </w:r>
            <w:r>
              <w:rPr>
                <w:rFonts w:ascii="宋体" w:hAnsi="宋体" w:eastAsia="宋体" w:cs="宋体"/>
                <w:spacing w:val="-7"/>
                <w:sz w:val="21"/>
                <w:szCs w:val="21"/>
              </w:rPr>
              <w:t>责任：</w:t>
            </w:r>
          </w:p>
          <w:p w14:paraId="4F76F75B">
            <w:pPr>
              <w:spacing w:before="55"/>
              <w:ind w:left="157" w:right="21" w:firstLine="570"/>
              <w:jc w:val="both"/>
              <w:rPr>
                <w:rFonts w:ascii="宋体" w:hAnsi="宋体" w:eastAsia="宋体" w:cs="宋体"/>
                <w:sz w:val="21"/>
                <w:szCs w:val="21"/>
              </w:rPr>
            </w:pPr>
            <w:r>
              <w:rPr>
                <w:rFonts w:ascii="宋体" w:hAnsi="宋体" w:eastAsia="宋体" w:cs="宋体"/>
                <w:spacing w:val="12"/>
                <w:sz w:val="21"/>
                <w:szCs w:val="21"/>
              </w:rPr>
              <w:t>(三)未对安全设备</w:t>
            </w:r>
            <w:r>
              <w:rPr>
                <w:rFonts w:ascii="宋体" w:hAnsi="宋体" w:eastAsia="宋体" w:cs="宋体"/>
                <w:spacing w:val="1"/>
                <w:sz w:val="21"/>
                <w:szCs w:val="21"/>
              </w:rPr>
              <w:t>进行经常性维护、保养和</w:t>
            </w:r>
            <w:r>
              <w:rPr>
                <w:rFonts w:ascii="宋体" w:hAnsi="宋体" w:eastAsia="宋体" w:cs="宋体"/>
                <w:spacing w:val="19"/>
                <w:sz w:val="21"/>
                <w:szCs w:val="21"/>
              </w:rPr>
              <w:t>定期检测的。</w:t>
            </w:r>
          </w:p>
        </w:tc>
        <w:tc>
          <w:tcPr>
            <w:tcW w:w="1254" w:type="dxa"/>
            <w:noWrap w:val="0"/>
            <w:vAlign w:val="top"/>
          </w:tcPr>
          <w:p w14:paraId="303DCE9D">
            <w:pPr>
              <w:rPr>
                <w:rFonts w:ascii="Arial"/>
                <w:sz w:val="21"/>
              </w:rPr>
            </w:pPr>
          </w:p>
        </w:tc>
      </w:tr>
    </w:tbl>
    <w:p w14:paraId="53203EDE"/>
    <w:p w14:paraId="7000BAE2"/>
    <w:p w14:paraId="4551DD15"/>
    <w:p w14:paraId="014AD903">
      <w:pPr>
        <w:spacing w:line="240" w:lineRule="exact"/>
      </w:pPr>
    </w:p>
    <w:tbl>
      <w:tblPr>
        <w:tblStyle w:val="12"/>
        <w:tblW w:w="13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238"/>
        <w:gridCol w:w="4717"/>
        <w:gridCol w:w="1709"/>
        <w:gridCol w:w="3595"/>
        <w:gridCol w:w="747"/>
      </w:tblGrid>
      <w:tr w14:paraId="56436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874" w:type="dxa"/>
            <w:noWrap w:val="0"/>
            <w:vAlign w:val="top"/>
          </w:tcPr>
          <w:p w14:paraId="68D87E8C">
            <w:pPr>
              <w:spacing w:before="222" w:line="221" w:lineRule="auto"/>
              <w:ind w:left="198"/>
              <w:rPr>
                <w:rFonts w:ascii="宋体" w:hAnsi="宋体" w:eastAsia="宋体" w:cs="宋体"/>
                <w:b/>
                <w:bCs/>
                <w:sz w:val="23"/>
                <w:szCs w:val="23"/>
              </w:rPr>
            </w:pPr>
            <w:r>
              <w:rPr>
                <w:rFonts w:ascii="宋体" w:hAnsi="宋体" w:eastAsia="宋体" w:cs="宋体"/>
                <w:b/>
                <w:bCs/>
                <w:spacing w:val="-5"/>
                <w:sz w:val="23"/>
                <w:szCs w:val="23"/>
              </w:rPr>
              <w:t>序号</w:t>
            </w:r>
          </w:p>
        </w:tc>
        <w:tc>
          <w:tcPr>
            <w:tcW w:w="2238" w:type="dxa"/>
            <w:noWrap w:val="0"/>
            <w:vAlign w:val="top"/>
          </w:tcPr>
          <w:p w14:paraId="36BC7575">
            <w:pPr>
              <w:spacing w:before="91" w:line="219" w:lineRule="auto"/>
              <w:ind w:left="654"/>
              <w:rPr>
                <w:rFonts w:ascii="宋体" w:hAnsi="宋体" w:eastAsia="宋体" w:cs="宋体"/>
                <w:b/>
                <w:bCs/>
                <w:sz w:val="23"/>
                <w:szCs w:val="23"/>
              </w:rPr>
            </w:pPr>
            <w:r>
              <w:rPr>
                <w:rFonts w:ascii="宋体" w:hAnsi="宋体" w:eastAsia="宋体" w:cs="宋体"/>
                <w:b/>
                <w:bCs/>
                <w:spacing w:val="-5"/>
                <w:sz w:val="23"/>
                <w:szCs w:val="23"/>
              </w:rPr>
              <w:t>执法检查</w:t>
            </w:r>
          </w:p>
          <w:p w14:paraId="3890992B">
            <w:pPr>
              <w:spacing w:before="56" w:line="203" w:lineRule="auto"/>
              <w:ind w:left="424"/>
              <w:rPr>
                <w:rFonts w:ascii="宋体" w:hAnsi="宋体" w:eastAsia="宋体" w:cs="宋体"/>
                <w:b/>
                <w:bCs/>
                <w:sz w:val="23"/>
                <w:szCs w:val="23"/>
              </w:rPr>
            </w:pPr>
            <w:r>
              <w:rPr>
                <w:rFonts w:ascii="宋体" w:hAnsi="宋体" w:eastAsia="宋体" w:cs="宋体"/>
                <w:b/>
                <w:bCs/>
                <w:spacing w:val="-4"/>
                <w:sz w:val="23"/>
                <w:szCs w:val="23"/>
              </w:rPr>
              <w:t>重点事项内容</w:t>
            </w:r>
          </w:p>
        </w:tc>
        <w:tc>
          <w:tcPr>
            <w:tcW w:w="4717" w:type="dxa"/>
            <w:noWrap w:val="0"/>
            <w:vAlign w:val="top"/>
          </w:tcPr>
          <w:p w14:paraId="4FAAFAB2">
            <w:pPr>
              <w:spacing w:before="222" w:line="219" w:lineRule="auto"/>
              <w:ind w:left="1052"/>
              <w:rPr>
                <w:rFonts w:ascii="宋体" w:hAnsi="宋体" w:eastAsia="宋体" w:cs="宋体"/>
                <w:b/>
                <w:bCs/>
                <w:sz w:val="23"/>
                <w:szCs w:val="23"/>
              </w:rPr>
            </w:pPr>
            <w:r>
              <w:rPr>
                <w:rFonts w:ascii="宋体" w:hAnsi="宋体" w:eastAsia="宋体" w:cs="宋体"/>
                <w:b/>
                <w:bCs/>
                <w:spacing w:val="12"/>
                <w:sz w:val="23"/>
                <w:szCs w:val="23"/>
              </w:rPr>
              <w:t>执法检查依据</w:t>
            </w:r>
          </w:p>
        </w:tc>
        <w:tc>
          <w:tcPr>
            <w:tcW w:w="1709" w:type="dxa"/>
            <w:noWrap w:val="0"/>
            <w:vAlign w:val="top"/>
          </w:tcPr>
          <w:p w14:paraId="50043501">
            <w:pPr>
              <w:spacing w:before="95" w:line="220" w:lineRule="auto"/>
              <w:jc w:val="left"/>
              <w:rPr>
                <w:rFonts w:ascii="宋体" w:hAnsi="宋体" w:eastAsia="宋体" w:cs="宋体"/>
                <w:b/>
                <w:bCs/>
                <w:sz w:val="23"/>
                <w:szCs w:val="23"/>
              </w:rPr>
            </w:pPr>
            <w:r>
              <w:rPr>
                <w:rFonts w:ascii="宋体" w:hAnsi="宋体" w:eastAsia="宋体" w:cs="宋体"/>
                <w:b/>
                <w:bCs/>
                <w:spacing w:val="-2"/>
                <w:sz w:val="23"/>
                <w:szCs w:val="23"/>
              </w:rPr>
              <w:t>有关规范性</w:t>
            </w:r>
          </w:p>
          <w:p w14:paraId="2178480D">
            <w:pPr>
              <w:spacing w:before="54" w:line="201" w:lineRule="auto"/>
              <w:jc w:val="left"/>
              <w:rPr>
                <w:rFonts w:ascii="宋体" w:hAnsi="宋体" w:eastAsia="宋体" w:cs="宋体"/>
                <w:b/>
                <w:bCs/>
                <w:sz w:val="23"/>
                <w:szCs w:val="23"/>
              </w:rPr>
            </w:pPr>
            <w:r>
              <w:rPr>
                <w:rFonts w:ascii="宋体" w:hAnsi="宋体" w:eastAsia="宋体" w:cs="宋体"/>
                <w:b/>
                <w:bCs/>
                <w:spacing w:val="1"/>
                <w:sz w:val="23"/>
                <w:szCs w:val="23"/>
              </w:rPr>
              <w:t>文件及标准要求</w:t>
            </w:r>
          </w:p>
        </w:tc>
        <w:tc>
          <w:tcPr>
            <w:tcW w:w="3595" w:type="dxa"/>
            <w:noWrap w:val="0"/>
            <w:vAlign w:val="top"/>
          </w:tcPr>
          <w:p w14:paraId="0F6755AE">
            <w:pPr>
              <w:spacing w:before="222" w:line="219" w:lineRule="auto"/>
              <w:ind w:left="967"/>
              <w:rPr>
                <w:rFonts w:ascii="宋体" w:hAnsi="宋体" w:eastAsia="宋体" w:cs="宋体"/>
                <w:b/>
                <w:bCs/>
                <w:sz w:val="23"/>
                <w:szCs w:val="23"/>
              </w:rPr>
            </w:pPr>
            <w:r>
              <w:rPr>
                <w:rFonts w:ascii="宋体" w:hAnsi="宋体" w:eastAsia="宋体" w:cs="宋体"/>
                <w:b/>
                <w:bCs/>
                <w:spacing w:val="13"/>
                <w:sz w:val="23"/>
                <w:szCs w:val="23"/>
              </w:rPr>
              <w:t>处罚依据</w:t>
            </w:r>
          </w:p>
        </w:tc>
        <w:tc>
          <w:tcPr>
            <w:tcW w:w="747" w:type="dxa"/>
            <w:noWrap w:val="0"/>
            <w:vAlign w:val="top"/>
          </w:tcPr>
          <w:p w14:paraId="5F27CE89">
            <w:pPr>
              <w:spacing w:before="222" w:line="221" w:lineRule="auto"/>
              <w:ind w:left="393"/>
              <w:rPr>
                <w:rFonts w:ascii="宋体" w:hAnsi="宋体" w:eastAsia="宋体" w:cs="宋体"/>
                <w:b/>
                <w:bCs/>
                <w:sz w:val="23"/>
                <w:szCs w:val="23"/>
              </w:rPr>
            </w:pPr>
            <w:r>
              <w:rPr>
                <w:rFonts w:ascii="宋体" w:hAnsi="宋体" w:eastAsia="宋体" w:cs="宋体"/>
                <w:b/>
                <w:bCs/>
                <w:spacing w:val="-6"/>
                <w:sz w:val="23"/>
                <w:szCs w:val="23"/>
              </w:rPr>
              <w:t>备注</w:t>
            </w:r>
          </w:p>
        </w:tc>
      </w:tr>
      <w:tr w14:paraId="3238E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jc w:val="center"/>
        </w:trPr>
        <w:tc>
          <w:tcPr>
            <w:tcW w:w="874" w:type="dxa"/>
            <w:noWrap w:val="0"/>
            <w:vAlign w:val="top"/>
          </w:tcPr>
          <w:p w14:paraId="44184EE4">
            <w:pPr>
              <w:rPr>
                <w:rFonts w:ascii="Arial"/>
                <w:sz w:val="21"/>
                <w:szCs w:val="21"/>
              </w:rPr>
            </w:pPr>
          </w:p>
        </w:tc>
        <w:tc>
          <w:tcPr>
            <w:tcW w:w="2238" w:type="dxa"/>
            <w:noWrap w:val="0"/>
            <w:vAlign w:val="top"/>
          </w:tcPr>
          <w:p w14:paraId="24CF87A1">
            <w:pPr>
              <w:rPr>
                <w:rFonts w:ascii="Arial"/>
                <w:sz w:val="21"/>
                <w:szCs w:val="21"/>
              </w:rPr>
            </w:pPr>
          </w:p>
        </w:tc>
        <w:tc>
          <w:tcPr>
            <w:tcW w:w="4717" w:type="dxa"/>
            <w:noWrap w:val="0"/>
            <w:vAlign w:val="top"/>
          </w:tcPr>
          <w:p w14:paraId="61FAB6F7">
            <w:pPr>
              <w:spacing w:before="97" w:line="263" w:lineRule="auto"/>
              <w:ind w:left="132"/>
              <w:rPr>
                <w:rFonts w:ascii="宋体" w:hAnsi="宋体" w:eastAsia="宋体" w:cs="宋体"/>
                <w:sz w:val="21"/>
                <w:szCs w:val="21"/>
              </w:rPr>
            </w:pPr>
            <w:r>
              <w:rPr>
                <w:rFonts w:ascii="宋体" w:hAnsi="宋体" w:eastAsia="宋体" w:cs="宋体"/>
                <w:spacing w:val="4"/>
                <w:sz w:val="21"/>
                <w:szCs w:val="21"/>
              </w:rPr>
              <w:t>温度、液位、流量、组份等报警设施，可燃气体、有毒有害气体、氧气等检测和报警设施，用于安</w:t>
            </w:r>
            <w:r>
              <w:rPr>
                <w:rFonts w:ascii="宋体" w:hAnsi="宋体" w:eastAsia="宋体" w:cs="宋体"/>
                <w:spacing w:val="24"/>
                <w:sz w:val="21"/>
                <w:szCs w:val="21"/>
              </w:rPr>
              <w:t>全检查和安全数据分析等检测</w:t>
            </w:r>
            <w:r>
              <w:rPr>
                <w:rFonts w:ascii="宋体" w:hAnsi="宋体" w:eastAsia="宋体" w:cs="宋体"/>
                <w:spacing w:val="6"/>
                <w:sz w:val="21"/>
                <w:szCs w:val="21"/>
              </w:rPr>
              <w:t>检验设备、仪器。控制事故设施</w:t>
            </w:r>
            <w:r>
              <w:rPr>
                <w:rFonts w:ascii="宋体" w:hAnsi="宋体" w:eastAsia="宋体" w:cs="宋体"/>
                <w:spacing w:val="24"/>
                <w:sz w:val="21"/>
                <w:szCs w:val="21"/>
              </w:rPr>
              <w:t>(7)紧急处理设施。紧急备用</w:t>
            </w:r>
            <w:r>
              <w:rPr>
                <w:rFonts w:ascii="宋体" w:hAnsi="宋体" w:eastAsia="宋体" w:cs="宋体"/>
                <w:spacing w:val="2"/>
                <w:sz w:val="21"/>
                <w:szCs w:val="21"/>
              </w:rPr>
              <w:t>电源，紧急切断、分流、排放(火</w:t>
            </w:r>
            <w:r>
              <w:rPr>
                <w:rFonts w:ascii="宋体" w:hAnsi="宋体" w:eastAsia="宋体" w:cs="宋体"/>
                <w:spacing w:val="9"/>
                <w:sz w:val="21"/>
                <w:szCs w:val="21"/>
              </w:rPr>
              <w:t>炬)、吸收、中和、冷却等设施，</w:t>
            </w:r>
            <w:r>
              <w:rPr>
                <w:rFonts w:ascii="宋体" w:hAnsi="宋体" w:eastAsia="宋体" w:cs="宋体"/>
                <w:spacing w:val="6"/>
                <w:sz w:val="21"/>
                <w:szCs w:val="21"/>
              </w:rPr>
              <w:t>通入或加入惰性气体、反应抑制</w:t>
            </w:r>
            <w:r>
              <w:rPr>
                <w:rFonts w:ascii="宋体" w:hAnsi="宋体" w:eastAsia="宋体" w:cs="宋体"/>
                <w:spacing w:val="4"/>
                <w:sz w:val="21"/>
                <w:szCs w:val="21"/>
              </w:rPr>
              <w:t>剂等设施，紧急停车、仪表联锁</w:t>
            </w:r>
            <w:r>
              <w:rPr>
                <w:rFonts w:ascii="宋体" w:hAnsi="宋体" w:eastAsia="宋体" w:cs="宋体"/>
                <w:spacing w:val="25"/>
                <w:sz w:val="21"/>
                <w:szCs w:val="21"/>
              </w:rPr>
              <w:t>等设施。</w:t>
            </w:r>
          </w:p>
        </w:tc>
        <w:tc>
          <w:tcPr>
            <w:tcW w:w="1709" w:type="dxa"/>
            <w:noWrap w:val="0"/>
            <w:vAlign w:val="top"/>
          </w:tcPr>
          <w:p w14:paraId="32CC64D9">
            <w:pPr>
              <w:jc w:val="left"/>
              <w:rPr>
                <w:rFonts w:ascii="Arial"/>
                <w:sz w:val="21"/>
                <w:szCs w:val="21"/>
              </w:rPr>
            </w:pPr>
          </w:p>
        </w:tc>
        <w:tc>
          <w:tcPr>
            <w:tcW w:w="3595" w:type="dxa"/>
            <w:noWrap w:val="0"/>
            <w:vAlign w:val="top"/>
          </w:tcPr>
          <w:p w14:paraId="533464EE">
            <w:pPr>
              <w:rPr>
                <w:rFonts w:ascii="Arial"/>
                <w:sz w:val="21"/>
                <w:szCs w:val="21"/>
              </w:rPr>
            </w:pPr>
          </w:p>
        </w:tc>
        <w:tc>
          <w:tcPr>
            <w:tcW w:w="747" w:type="dxa"/>
            <w:noWrap w:val="0"/>
            <w:vAlign w:val="top"/>
          </w:tcPr>
          <w:p w14:paraId="0B966E21">
            <w:pPr>
              <w:rPr>
                <w:rFonts w:ascii="Arial"/>
                <w:sz w:val="21"/>
                <w:szCs w:val="21"/>
              </w:rPr>
            </w:pPr>
          </w:p>
        </w:tc>
      </w:tr>
      <w:tr w14:paraId="6FBCC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0" w:hRule="atLeast"/>
          <w:jc w:val="center"/>
        </w:trPr>
        <w:tc>
          <w:tcPr>
            <w:tcW w:w="874" w:type="dxa"/>
            <w:noWrap w:val="0"/>
            <w:vAlign w:val="top"/>
          </w:tcPr>
          <w:p w14:paraId="3972E671">
            <w:pPr>
              <w:spacing w:line="256" w:lineRule="auto"/>
              <w:rPr>
                <w:rFonts w:ascii="Arial"/>
                <w:sz w:val="21"/>
                <w:szCs w:val="21"/>
              </w:rPr>
            </w:pPr>
          </w:p>
          <w:p w14:paraId="06AD7213">
            <w:pPr>
              <w:spacing w:line="257" w:lineRule="auto"/>
              <w:rPr>
                <w:rFonts w:ascii="Arial"/>
                <w:sz w:val="21"/>
                <w:szCs w:val="21"/>
              </w:rPr>
            </w:pPr>
          </w:p>
          <w:p w14:paraId="3D9138BD">
            <w:pPr>
              <w:spacing w:line="257" w:lineRule="auto"/>
              <w:rPr>
                <w:rFonts w:ascii="Arial"/>
                <w:sz w:val="21"/>
                <w:szCs w:val="21"/>
              </w:rPr>
            </w:pPr>
          </w:p>
          <w:p w14:paraId="450F11E2">
            <w:pPr>
              <w:spacing w:line="257" w:lineRule="auto"/>
              <w:rPr>
                <w:rFonts w:ascii="Arial"/>
                <w:sz w:val="21"/>
                <w:szCs w:val="21"/>
              </w:rPr>
            </w:pPr>
          </w:p>
          <w:p w14:paraId="742E7D3F">
            <w:pPr>
              <w:spacing w:line="257" w:lineRule="auto"/>
              <w:rPr>
                <w:rFonts w:ascii="Arial"/>
                <w:sz w:val="21"/>
                <w:szCs w:val="21"/>
              </w:rPr>
            </w:pPr>
          </w:p>
          <w:p w14:paraId="5D3FF92A">
            <w:pPr>
              <w:spacing w:line="257" w:lineRule="auto"/>
              <w:rPr>
                <w:rFonts w:ascii="Arial"/>
                <w:sz w:val="21"/>
                <w:szCs w:val="21"/>
              </w:rPr>
            </w:pPr>
          </w:p>
          <w:p w14:paraId="32825DF1">
            <w:pPr>
              <w:spacing w:line="257" w:lineRule="auto"/>
              <w:rPr>
                <w:rFonts w:ascii="Arial"/>
                <w:sz w:val="21"/>
                <w:szCs w:val="21"/>
              </w:rPr>
            </w:pPr>
          </w:p>
          <w:p w14:paraId="614BF2A2">
            <w:pPr>
              <w:spacing w:before="75" w:line="183" w:lineRule="auto"/>
              <w:ind w:left="314"/>
              <w:rPr>
                <w:rFonts w:ascii="宋体" w:hAnsi="宋体" w:eastAsia="宋体" w:cs="宋体"/>
                <w:sz w:val="21"/>
                <w:szCs w:val="21"/>
              </w:rPr>
            </w:pPr>
            <w:r>
              <w:rPr>
                <w:rFonts w:ascii="宋体" w:hAnsi="宋体" w:eastAsia="宋体" w:cs="宋体"/>
                <w:spacing w:val="-3"/>
                <w:sz w:val="21"/>
                <w:szCs w:val="21"/>
              </w:rPr>
              <w:t>2</w:t>
            </w:r>
            <w:r>
              <w:rPr>
                <w:rFonts w:hint="eastAsia" w:ascii="宋体" w:hAnsi="宋体" w:eastAsia="宋体" w:cs="宋体"/>
                <w:spacing w:val="-3"/>
                <w:sz w:val="21"/>
                <w:szCs w:val="21"/>
                <w:lang w:val="en-US" w:eastAsia="zh-CN"/>
              </w:rPr>
              <w:t>8</w:t>
            </w:r>
          </w:p>
        </w:tc>
        <w:tc>
          <w:tcPr>
            <w:tcW w:w="2238" w:type="dxa"/>
            <w:noWrap w:val="0"/>
            <w:vAlign w:val="top"/>
          </w:tcPr>
          <w:p w14:paraId="72DB8646">
            <w:pPr>
              <w:spacing w:line="241" w:lineRule="auto"/>
              <w:rPr>
                <w:rFonts w:ascii="Arial"/>
                <w:sz w:val="21"/>
                <w:szCs w:val="21"/>
              </w:rPr>
            </w:pPr>
          </w:p>
          <w:p w14:paraId="33060C1E">
            <w:pPr>
              <w:spacing w:line="242" w:lineRule="auto"/>
              <w:rPr>
                <w:rFonts w:ascii="Arial"/>
                <w:sz w:val="21"/>
                <w:szCs w:val="21"/>
              </w:rPr>
            </w:pPr>
          </w:p>
          <w:p w14:paraId="0E113403">
            <w:pPr>
              <w:spacing w:line="242" w:lineRule="auto"/>
              <w:rPr>
                <w:rFonts w:ascii="Arial"/>
                <w:sz w:val="21"/>
                <w:szCs w:val="21"/>
              </w:rPr>
            </w:pPr>
          </w:p>
          <w:p w14:paraId="5EDD2B14">
            <w:pPr>
              <w:spacing w:line="242" w:lineRule="auto"/>
              <w:rPr>
                <w:rFonts w:ascii="Arial"/>
                <w:sz w:val="21"/>
                <w:szCs w:val="21"/>
              </w:rPr>
            </w:pPr>
          </w:p>
          <w:p w14:paraId="16CEEFFD">
            <w:pPr>
              <w:spacing w:line="242" w:lineRule="auto"/>
              <w:rPr>
                <w:rFonts w:ascii="Arial"/>
                <w:sz w:val="21"/>
                <w:szCs w:val="21"/>
              </w:rPr>
            </w:pPr>
          </w:p>
          <w:p w14:paraId="2A2B2D6F">
            <w:pPr>
              <w:spacing w:line="242" w:lineRule="auto"/>
              <w:rPr>
                <w:rFonts w:ascii="Arial"/>
                <w:sz w:val="21"/>
                <w:szCs w:val="21"/>
              </w:rPr>
            </w:pPr>
          </w:p>
          <w:p w14:paraId="42D94782">
            <w:pPr>
              <w:spacing w:before="75" w:line="247" w:lineRule="auto"/>
              <w:ind w:left="120" w:right="206" w:firstLine="70"/>
              <w:jc w:val="both"/>
              <w:rPr>
                <w:rFonts w:ascii="宋体" w:hAnsi="宋体" w:eastAsia="宋体" w:cs="宋体"/>
                <w:sz w:val="21"/>
                <w:szCs w:val="21"/>
              </w:rPr>
            </w:pPr>
            <w:r>
              <w:rPr>
                <w:rFonts w:ascii="宋体" w:hAnsi="宋体" w:eastAsia="宋体" w:cs="宋体"/>
                <w:spacing w:val="-2"/>
                <w:sz w:val="21"/>
                <w:szCs w:val="21"/>
              </w:rPr>
              <w:t>液氯储存区未设置</w:t>
            </w:r>
            <w:r>
              <w:rPr>
                <w:rFonts w:ascii="宋体" w:hAnsi="宋体" w:eastAsia="宋体" w:cs="宋体"/>
                <w:spacing w:val="7"/>
                <w:sz w:val="21"/>
                <w:szCs w:val="21"/>
              </w:rPr>
              <w:t>密闭厂房和自动吸</w:t>
            </w:r>
            <w:r>
              <w:rPr>
                <w:rFonts w:ascii="宋体" w:hAnsi="宋体" w:eastAsia="宋体" w:cs="宋体"/>
                <w:spacing w:val="22"/>
                <w:sz w:val="21"/>
                <w:szCs w:val="21"/>
              </w:rPr>
              <w:t>收系统的。</w:t>
            </w:r>
          </w:p>
        </w:tc>
        <w:tc>
          <w:tcPr>
            <w:tcW w:w="4717" w:type="dxa"/>
            <w:noWrap w:val="0"/>
            <w:vAlign w:val="top"/>
          </w:tcPr>
          <w:p w14:paraId="5BDE2A5E">
            <w:pPr>
              <w:spacing w:line="335" w:lineRule="auto"/>
              <w:rPr>
                <w:rFonts w:ascii="Arial"/>
                <w:sz w:val="21"/>
                <w:szCs w:val="21"/>
              </w:rPr>
            </w:pPr>
          </w:p>
          <w:p w14:paraId="645A87EE">
            <w:pPr>
              <w:spacing w:before="75" w:line="250" w:lineRule="auto"/>
              <w:ind w:left="132" w:right="89" w:firstLine="479"/>
              <w:jc w:val="both"/>
              <w:rPr>
                <w:rFonts w:ascii="宋体" w:hAnsi="宋体" w:eastAsia="宋体" w:cs="宋体"/>
                <w:sz w:val="21"/>
                <w:szCs w:val="21"/>
              </w:rPr>
            </w:pPr>
            <w:r>
              <w:rPr>
                <w:rFonts w:ascii="宋体" w:hAnsi="宋体" w:eastAsia="宋体" w:cs="宋体"/>
                <w:spacing w:val="-10"/>
                <w:sz w:val="21"/>
                <w:szCs w:val="21"/>
              </w:rPr>
              <w:t>1.《中华人民共和国安全生</w:t>
            </w:r>
            <w:r>
              <w:rPr>
                <w:rFonts w:ascii="宋体" w:hAnsi="宋体" w:eastAsia="宋体" w:cs="宋体"/>
                <w:spacing w:val="2"/>
                <w:sz w:val="21"/>
                <w:szCs w:val="21"/>
              </w:rPr>
              <w:t>产法》第三十八条第三款生产</w:t>
            </w:r>
            <w:r>
              <w:rPr>
                <w:rFonts w:ascii="宋体" w:hAnsi="宋体" w:eastAsia="宋体" w:cs="宋体"/>
                <w:spacing w:val="20"/>
                <w:sz w:val="21"/>
                <w:szCs w:val="21"/>
              </w:rPr>
              <w:t>经营单位不得使用应当淘汰的</w:t>
            </w:r>
            <w:r>
              <w:rPr>
                <w:rFonts w:ascii="宋体" w:hAnsi="宋体" w:eastAsia="宋体" w:cs="宋体"/>
                <w:spacing w:val="8"/>
                <w:sz w:val="21"/>
                <w:szCs w:val="21"/>
              </w:rPr>
              <w:t>危及生产安全的工艺、设备。</w:t>
            </w:r>
          </w:p>
          <w:p w14:paraId="0618DD67">
            <w:pPr>
              <w:spacing w:before="58" w:line="249" w:lineRule="auto"/>
              <w:ind w:left="132" w:right="33" w:firstLine="440"/>
              <w:jc w:val="both"/>
              <w:rPr>
                <w:rFonts w:ascii="宋体" w:hAnsi="宋体" w:eastAsia="宋体" w:cs="宋体"/>
                <w:sz w:val="21"/>
                <w:szCs w:val="21"/>
              </w:rPr>
            </w:pPr>
            <w:r>
              <w:rPr>
                <w:rFonts w:ascii="宋体" w:hAnsi="宋体" w:eastAsia="宋体" w:cs="宋体"/>
                <w:spacing w:val="-6"/>
                <w:sz w:val="21"/>
                <w:szCs w:val="21"/>
              </w:rPr>
              <w:t>2.《淘汰落后危险化学品安</w:t>
            </w:r>
            <w:r>
              <w:rPr>
                <w:rFonts w:ascii="宋体" w:hAnsi="宋体" w:eastAsia="宋体" w:cs="宋体"/>
                <w:spacing w:val="11"/>
                <w:sz w:val="21"/>
                <w:szCs w:val="21"/>
              </w:rPr>
              <w:t>全生产工艺技术设备目录(第一</w:t>
            </w:r>
            <w:r>
              <w:rPr>
                <w:rFonts w:ascii="宋体" w:hAnsi="宋体" w:eastAsia="宋体" w:cs="宋体"/>
                <w:spacing w:val="26"/>
                <w:sz w:val="21"/>
                <w:szCs w:val="21"/>
              </w:rPr>
              <w:t>批)》(应急厅〔2020〕38号)</w:t>
            </w:r>
            <w:r>
              <w:rPr>
                <w:rFonts w:ascii="宋体" w:hAnsi="宋体" w:eastAsia="宋体" w:cs="宋体"/>
                <w:sz w:val="21"/>
                <w:szCs w:val="21"/>
              </w:rPr>
              <w:t>二、淘汰落后的设备未设置密</w:t>
            </w:r>
            <w:r>
              <w:rPr>
                <w:rFonts w:ascii="宋体" w:hAnsi="宋体" w:eastAsia="宋体" w:cs="宋体"/>
                <w:spacing w:val="19"/>
                <w:sz w:val="21"/>
                <w:szCs w:val="21"/>
              </w:rPr>
              <w:t>闭及自动吸收系统的液氯储存</w:t>
            </w:r>
            <w:r>
              <w:rPr>
                <w:rFonts w:ascii="宋体" w:hAnsi="宋体" w:eastAsia="宋体" w:cs="宋体"/>
                <w:spacing w:val="-6"/>
                <w:sz w:val="21"/>
                <w:szCs w:val="21"/>
              </w:rPr>
              <w:t>仓库。</w:t>
            </w:r>
          </w:p>
        </w:tc>
        <w:tc>
          <w:tcPr>
            <w:tcW w:w="1709" w:type="dxa"/>
            <w:noWrap w:val="0"/>
            <w:vAlign w:val="top"/>
          </w:tcPr>
          <w:p w14:paraId="13B4F29E">
            <w:pPr>
              <w:rPr>
                <w:rFonts w:ascii="Arial"/>
                <w:sz w:val="21"/>
                <w:szCs w:val="21"/>
              </w:rPr>
            </w:pPr>
          </w:p>
        </w:tc>
        <w:tc>
          <w:tcPr>
            <w:tcW w:w="3595" w:type="dxa"/>
            <w:noWrap w:val="0"/>
            <w:vAlign w:val="top"/>
          </w:tcPr>
          <w:p w14:paraId="32F552E3">
            <w:pPr>
              <w:spacing w:before="100" w:line="229" w:lineRule="auto"/>
              <w:ind w:left="127" w:right="30"/>
              <w:rPr>
                <w:rFonts w:ascii="宋体" w:hAnsi="宋体" w:eastAsia="宋体" w:cs="宋体"/>
                <w:sz w:val="21"/>
                <w:szCs w:val="21"/>
              </w:rPr>
            </w:pPr>
            <w:r>
              <w:rPr>
                <w:rFonts w:ascii="宋体" w:hAnsi="宋体" w:eastAsia="宋体" w:cs="宋体"/>
                <w:spacing w:val="39"/>
                <w:sz w:val="21"/>
                <w:szCs w:val="21"/>
              </w:rPr>
              <w:t>《中华人民共和国</w:t>
            </w:r>
            <w:r>
              <w:rPr>
                <w:rFonts w:ascii="宋体" w:hAnsi="宋体" w:eastAsia="宋体" w:cs="宋体"/>
                <w:spacing w:val="7"/>
                <w:sz w:val="21"/>
                <w:szCs w:val="21"/>
              </w:rPr>
              <w:t>安全生产法》第九十九条</w:t>
            </w:r>
            <w:r>
              <w:rPr>
                <w:rFonts w:ascii="宋体" w:hAnsi="宋体" w:eastAsia="宋体" w:cs="宋体"/>
                <w:spacing w:val="12"/>
                <w:sz w:val="21"/>
                <w:szCs w:val="21"/>
              </w:rPr>
              <w:t>第七项生产经营单位</w:t>
            </w:r>
            <w:r>
              <w:rPr>
                <w:rFonts w:ascii="宋体" w:hAnsi="宋体" w:eastAsia="宋体" w:cs="宋体"/>
                <w:spacing w:val="7"/>
                <w:sz w:val="21"/>
                <w:szCs w:val="21"/>
              </w:rPr>
              <w:t>有下列行为之一的，责令限期改正，处五万元以下</w:t>
            </w:r>
            <w:r>
              <w:rPr>
                <w:rFonts w:ascii="宋体" w:hAnsi="宋体" w:eastAsia="宋体" w:cs="宋体"/>
                <w:spacing w:val="10"/>
                <w:sz w:val="21"/>
                <w:szCs w:val="21"/>
              </w:rPr>
              <w:t>的罚款；逾期未改正的，</w:t>
            </w:r>
            <w:r>
              <w:rPr>
                <w:rFonts w:ascii="宋体" w:hAnsi="宋体" w:eastAsia="宋体" w:cs="宋体"/>
                <w:spacing w:val="30"/>
                <w:sz w:val="21"/>
                <w:szCs w:val="21"/>
              </w:rPr>
              <w:t>处五万元以上二十万元</w:t>
            </w:r>
            <w:r>
              <w:rPr>
                <w:rFonts w:ascii="宋体" w:hAnsi="宋体" w:eastAsia="宋体" w:cs="宋体"/>
                <w:spacing w:val="6"/>
                <w:sz w:val="21"/>
                <w:szCs w:val="21"/>
              </w:rPr>
              <w:t>以下的罚款，对其直接负</w:t>
            </w:r>
            <w:r>
              <w:rPr>
                <w:rFonts w:ascii="宋体" w:hAnsi="宋体" w:eastAsia="宋体" w:cs="宋体"/>
                <w:spacing w:val="29"/>
                <w:sz w:val="21"/>
                <w:szCs w:val="21"/>
              </w:rPr>
              <w:t>责的主管人员和其他直</w:t>
            </w:r>
            <w:r>
              <w:rPr>
                <w:rFonts w:ascii="宋体" w:hAnsi="宋体" w:eastAsia="宋体" w:cs="宋体"/>
                <w:spacing w:val="22"/>
                <w:sz w:val="21"/>
                <w:szCs w:val="21"/>
              </w:rPr>
              <w:t>接责任人员处一万元以</w:t>
            </w:r>
            <w:r>
              <w:rPr>
                <w:rFonts w:ascii="宋体" w:hAnsi="宋体" w:eastAsia="宋体" w:cs="宋体"/>
                <w:spacing w:val="5"/>
                <w:sz w:val="21"/>
                <w:szCs w:val="21"/>
              </w:rPr>
              <w:t>上二万元以下的罚款；情节严重的，责令停产停业</w:t>
            </w:r>
            <w:r>
              <w:rPr>
                <w:rFonts w:ascii="宋体" w:hAnsi="宋体" w:eastAsia="宋体" w:cs="宋体"/>
                <w:spacing w:val="1"/>
                <w:sz w:val="21"/>
                <w:szCs w:val="21"/>
              </w:rPr>
              <w:t>整顿；构成犯罪的，依照刑法有关规定追究刑事</w:t>
            </w:r>
            <w:r>
              <w:rPr>
                <w:rFonts w:ascii="宋体" w:hAnsi="宋体" w:eastAsia="宋体" w:cs="宋体"/>
                <w:spacing w:val="-9"/>
                <w:sz w:val="21"/>
                <w:szCs w:val="21"/>
              </w:rPr>
              <w:t>责任：</w:t>
            </w:r>
            <w:r>
              <w:rPr>
                <w:rFonts w:ascii="宋体" w:hAnsi="宋体" w:eastAsia="宋体" w:cs="宋体"/>
                <w:spacing w:val="4"/>
                <w:sz w:val="21"/>
                <w:szCs w:val="21"/>
              </w:rPr>
              <w:t>(七)使用应当淘汰</w:t>
            </w:r>
            <w:r>
              <w:rPr>
                <w:rFonts w:ascii="宋体" w:hAnsi="宋体" w:eastAsia="宋体" w:cs="宋体"/>
                <w:spacing w:val="14"/>
                <w:sz w:val="21"/>
                <w:szCs w:val="21"/>
              </w:rPr>
              <w:t>的危及生产安全的工艺、</w:t>
            </w:r>
            <w:r>
              <w:rPr>
                <w:rFonts w:ascii="宋体" w:hAnsi="宋体" w:eastAsia="宋体" w:cs="宋体"/>
                <w:spacing w:val="27"/>
                <w:sz w:val="21"/>
                <w:szCs w:val="21"/>
              </w:rPr>
              <w:t>设备的。</w:t>
            </w:r>
          </w:p>
          <w:p w14:paraId="011450D5">
            <w:pPr>
              <w:spacing w:before="92" w:line="252" w:lineRule="auto"/>
              <w:ind w:left="147" w:right="44" w:firstLine="464"/>
              <w:jc w:val="both"/>
              <w:rPr>
                <w:rFonts w:ascii="宋体" w:hAnsi="宋体" w:eastAsia="宋体" w:cs="宋体"/>
                <w:sz w:val="21"/>
                <w:szCs w:val="21"/>
              </w:rPr>
            </w:pPr>
          </w:p>
        </w:tc>
        <w:tc>
          <w:tcPr>
            <w:tcW w:w="747" w:type="dxa"/>
            <w:noWrap w:val="0"/>
            <w:vAlign w:val="top"/>
          </w:tcPr>
          <w:p w14:paraId="2F312156">
            <w:pPr>
              <w:spacing w:line="248" w:lineRule="auto"/>
              <w:rPr>
                <w:rFonts w:ascii="Arial"/>
                <w:sz w:val="21"/>
                <w:szCs w:val="21"/>
              </w:rPr>
            </w:pPr>
          </w:p>
          <w:p w14:paraId="4521AAB1">
            <w:pPr>
              <w:spacing w:line="248" w:lineRule="auto"/>
              <w:rPr>
                <w:rFonts w:ascii="Arial"/>
                <w:sz w:val="21"/>
                <w:szCs w:val="21"/>
              </w:rPr>
            </w:pPr>
          </w:p>
          <w:p w14:paraId="1186E8DD">
            <w:pPr>
              <w:spacing w:line="248" w:lineRule="auto"/>
              <w:rPr>
                <w:rFonts w:ascii="Arial"/>
                <w:sz w:val="21"/>
                <w:szCs w:val="21"/>
              </w:rPr>
            </w:pPr>
          </w:p>
          <w:p w14:paraId="4D0B43C4">
            <w:pPr>
              <w:spacing w:line="249" w:lineRule="auto"/>
              <w:rPr>
                <w:rFonts w:ascii="Arial"/>
                <w:sz w:val="21"/>
                <w:szCs w:val="21"/>
              </w:rPr>
            </w:pPr>
          </w:p>
          <w:p w14:paraId="0834EE28">
            <w:pPr>
              <w:spacing w:line="249" w:lineRule="auto"/>
              <w:rPr>
                <w:rFonts w:ascii="Arial"/>
                <w:sz w:val="21"/>
                <w:szCs w:val="21"/>
              </w:rPr>
            </w:pPr>
          </w:p>
          <w:p w14:paraId="0A0AB9AD">
            <w:pPr>
              <w:spacing w:line="249" w:lineRule="auto"/>
              <w:rPr>
                <w:rFonts w:ascii="Arial"/>
                <w:sz w:val="21"/>
                <w:szCs w:val="21"/>
              </w:rPr>
            </w:pPr>
          </w:p>
          <w:p w14:paraId="5871BD01">
            <w:pPr>
              <w:spacing w:line="249" w:lineRule="auto"/>
              <w:rPr>
                <w:rFonts w:ascii="Arial"/>
                <w:sz w:val="21"/>
                <w:szCs w:val="21"/>
              </w:rPr>
            </w:pPr>
          </w:p>
          <w:p w14:paraId="144212D1">
            <w:pPr>
              <w:spacing w:before="74" w:line="219" w:lineRule="auto"/>
              <w:ind w:left="159"/>
              <w:rPr>
                <w:rFonts w:ascii="宋体" w:hAnsi="宋体" w:eastAsia="宋体" w:cs="宋体"/>
                <w:sz w:val="21"/>
                <w:szCs w:val="21"/>
              </w:rPr>
            </w:pPr>
            <w:r>
              <w:rPr>
                <w:rFonts w:ascii="宋体" w:hAnsi="宋体" w:eastAsia="宋体" w:cs="宋体"/>
                <w:spacing w:val="-3"/>
                <w:sz w:val="21"/>
                <w:szCs w:val="21"/>
              </w:rPr>
              <w:t>液氯管理</w:t>
            </w:r>
          </w:p>
        </w:tc>
      </w:tr>
    </w:tbl>
    <w:p w14:paraId="764E03BA"/>
    <w:p w14:paraId="1B003AE0"/>
    <w:p w14:paraId="4683D669">
      <w:pPr>
        <w:tabs>
          <w:tab w:val="left" w:pos="2757"/>
        </w:tabs>
        <w:spacing w:line="600" w:lineRule="exact"/>
        <w:jc w:val="left"/>
        <w:outlineLvl w:val="0"/>
        <w:rPr>
          <w:rFonts w:hint="eastAsia" w:ascii="黑体" w:hAnsi="黑体" w:eastAsia="黑体"/>
          <w:sz w:val="32"/>
          <w:szCs w:val="32"/>
        </w:rPr>
      </w:pPr>
      <w:r>
        <w:rPr>
          <w:rFonts w:hint="eastAsia" w:ascii="黑体" w:hAnsi="黑体" w:eastAsia="黑体"/>
          <w:sz w:val="32"/>
          <w:szCs w:val="32"/>
          <w:lang w:val="en-US" w:eastAsia="zh-CN"/>
        </w:rPr>
        <w:tab/>
      </w:r>
    </w:p>
    <w:p w14:paraId="00BF1761">
      <w:pPr>
        <w:spacing w:line="600" w:lineRule="exact"/>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自治区安全生产执法检查重点事项指导目录（煤矿</w:t>
      </w:r>
      <w:r>
        <w:rPr>
          <w:rFonts w:hint="eastAsia" w:ascii="方正小标宋简体" w:hAnsi="方正小标宋简体" w:eastAsia="方正小标宋简体" w:cs="方正小标宋简体"/>
          <w:b w:val="0"/>
          <w:bCs/>
          <w:sz w:val="44"/>
          <w:szCs w:val="44"/>
          <w:lang w:eastAsia="zh-CN"/>
        </w:rPr>
        <w:t>领域</w:t>
      </w:r>
      <w:r>
        <w:rPr>
          <w:rFonts w:hint="eastAsia" w:ascii="方正小标宋简体" w:hAnsi="方正小标宋简体" w:eastAsia="方正小标宋简体" w:cs="方正小标宋简体"/>
          <w:b w:val="0"/>
          <w:bCs/>
          <w:sz w:val="44"/>
          <w:szCs w:val="44"/>
        </w:rPr>
        <w:t>）</w:t>
      </w:r>
    </w:p>
    <w:p w14:paraId="537F47FE">
      <w:pPr>
        <w:pStyle w:val="7"/>
        <w:rPr>
          <w:rFonts w:hint="eastAsia"/>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670"/>
        <w:gridCol w:w="3448"/>
        <w:gridCol w:w="2497"/>
        <w:gridCol w:w="1926"/>
        <w:gridCol w:w="1224"/>
      </w:tblGrid>
      <w:tr w14:paraId="0C8F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723" w:type="dxa"/>
            <w:noWrap w:val="0"/>
            <w:vAlign w:val="center"/>
          </w:tcPr>
          <w:p w14:paraId="435F5ACD">
            <w:pPr>
              <w:spacing w:line="300" w:lineRule="exact"/>
              <w:jc w:val="center"/>
              <w:rPr>
                <w:rFonts w:hint="eastAsia" w:ascii="黑体" w:hAnsi="黑体" w:eastAsia="黑体"/>
                <w:sz w:val="24"/>
                <w:szCs w:val="24"/>
              </w:rPr>
            </w:pPr>
            <w:r>
              <w:rPr>
                <w:rFonts w:hint="eastAsia" w:ascii="黑体" w:hAnsi="黑体" w:eastAsia="黑体"/>
                <w:sz w:val="24"/>
                <w:szCs w:val="24"/>
              </w:rPr>
              <w:t>序号</w:t>
            </w:r>
          </w:p>
        </w:tc>
        <w:tc>
          <w:tcPr>
            <w:tcW w:w="4670" w:type="dxa"/>
            <w:noWrap w:val="0"/>
            <w:vAlign w:val="center"/>
          </w:tcPr>
          <w:p w14:paraId="25588DE2">
            <w:pPr>
              <w:spacing w:line="300" w:lineRule="exact"/>
              <w:jc w:val="center"/>
              <w:rPr>
                <w:rFonts w:hint="eastAsia" w:ascii="黑体" w:hAnsi="黑体" w:eastAsia="黑体"/>
                <w:sz w:val="24"/>
                <w:szCs w:val="24"/>
              </w:rPr>
            </w:pPr>
            <w:r>
              <w:rPr>
                <w:rFonts w:hint="eastAsia" w:ascii="黑体" w:hAnsi="黑体" w:eastAsia="黑体"/>
                <w:sz w:val="24"/>
                <w:szCs w:val="24"/>
              </w:rPr>
              <w:t>执法检查重点事项内容</w:t>
            </w:r>
          </w:p>
        </w:tc>
        <w:tc>
          <w:tcPr>
            <w:tcW w:w="3448" w:type="dxa"/>
            <w:noWrap w:val="0"/>
            <w:vAlign w:val="center"/>
          </w:tcPr>
          <w:p w14:paraId="00685B3E">
            <w:pPr>
              <w:spacing w:line="300" w:lineRule="exact"/>
              <w:jc w:val="center"/>
              <w:rPr>
                <w:rFonts w:hint="eastAsia" w:ascii="黑体" w:hAnsi="黑体" w:eastAsia="黑体"/>
                <w:sz w:val="24"/>
                <w:szCs w:val="24"/>
              </w:rPr>
            </w:pPr>
            <w:r>
              <w:rPr>
                <w:rFonts w:hint="eastAsia" w:ascii="黑体" w:hAnsi="黑体" w:eastAsia="黑体"/>
                <w:sz w:val="24"/>
                <w:szCs w:val="24"/>
              </w:rPr>
              <w:t>执法检查依据</w:t>
            </w:r>
          </w:p>
        </w:tc>
        <w:tc>
          <w:tcPr>
            <w:tcW w:w="2497" w:type="dxa"/>
            <w:noWrap w:val="0"/>
            <w:vAlign w:val="center"/>
          </w:tcPr>
          <w:p w14:paraId="7F4486E0">
            <w:pPr>
              <w:spacing w:line="300" w:lineRule="exact"/>
              <w:jc w:val="center"/>
              <w:rPr>
                <w:rFonts w:ascii="黑体" w:hAnsi="黑体" w:eastAsia="黑体"/>
                <w:sz w:val="24"/>
                <w:szCs w:val="24"/>
              </w:rPr>
            </w:pPr>
            <w:r>
              <w:rPr>
                <w:rFonts w:hint="eastAsia" w:ascii="黑体" w:hAnsi="黑体" w:eastAsia="黑体"/>
                <w:sz w:val="24"/>
                <w:szCs w:val="24"/>
              </w:rPr>
              <w:t>有关规范性文件及标准要求</w:t>
            </w:r>
          </w:p>
        </w:tc>
        <w:tc>
          <w:tcPr>
            <w:tcW w:w="1926" w:type="dxa"/>
            <w:noWrap w:val="0"/>
            <w:vAlign w:val="center"/>
          </w:tcPr>
          <w:p w14:paraId="4FA8FE8F">
            <w:pPr>
              <w:spacing w:line="300" w:lineRule="exact"/>
              <w:jc w:val="center"/>
              <w:rPr>
                <w:rFonts w:ascii="黑体" w:hAnsi="黑体" w:eastAsia="黑体"/>
                <w:sz w:val="24"/>
                <w:szCs w:val="24"/>
              </w:rPr>
            </w:pPr>
            <w:r>
              <w:rPr>
                <w:rFonts w:hint="eastAsia" w:ascii="黑体" w:hAnsi="黑体" w:eastAsia="黑体"/>
                <w:sz w:val="24"/>
                <w:szCs w:val="24"/>
              </w:rPr>
              <w:t>处罚依据</w:t>
            </w:r>
          </w:p>
        </w:tc>
        <w:tc>
          <w:tcPr>
            <w:tcW w:w="1224" w:type="dxa"/>
            <w:noWrap w:val="0"/>
            <w:vAlign w:val="center"/>
          </w:tcPr>
          <w:p w14:paraId="41483FF0">
            <w:pPr>
              <w:spacing w:line="300" w:lineRule="exact"/>
              <w:jc w:val="center"/>
              <w:rPr>
                <w:rFonts w:hint="eastAsia" w:ascii="黑体" w:hAnsi="黑体" w:eastAsia="黑体"/>
                <w:sz w:val="24"/>
                <w:szCs w:val="24"/>
              </w:rPr>
            </w:pPr>
            <w:r>
              <w:rPr>
                <w:rFonts w:hint="eastAsia" w:ascii="黑体" w:hAnsi="黑体" w:eastAsia="黑体"/>
                <w:sz w:val="24"/>
                <w:szCs w:val="24"/>
              </w:rPr>
              <w:t>备 注</w:t>
            </w:r>
          </w:p>
        </w:tc>
      </w:tr>
      <w:tr w14:paraId="4703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3" w:type="dxa"/>
            <w:noWrap w:val="0"/>
            <w:vAlign w:val="center"/>
          </w:tcPr>
          <w:p w14:paraId="09135289">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670" w:type="dxa"/>
            <w:noWrap w:val="0"/>
            <w:vAlign w:val="center"/>
          </w:tcPr>
          <w:p w14:paraId="0B787588">
            <w:pPr>
              <w:spacing w:line="28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设置安全生产管理机构，配备齐全专职安全生产管理人员。</w:t>
            </w:r>
          </w:p>
          <w:p w14:paraId="481EC8D8">
            <w:pPr>
              <w:spacing w:line="28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建立总工程师为首的技术管理体系，落实技术管理职责。设置采掘技术管理、“一通三防”、地质防治水等安全技术管理机构，配齐专业技术管理人员。煤与瓦斯突出、水文地质类型复杂、有冲击地压的矿井设置专门防治管理机构。</w:t>
            </w:r>
          </w:p>
        </w:tc>
        <w:tc>
          <w:tcPr>
            <w:tcW w:w="3448" w:type="dxa"/>
            <w:noWrap w:val="0"/>
            <w:vAlign w:val="center"/>
          </w:tcPr>
          <w:p w14:paraId="70C0AD52">
            <w:pPr>
              <w:spacing w:line="28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《中华人民共和国安全生产法》第二十一条</w:t>
            </w:r>
            <w:r>
              <w:rPr>
                <w:rFonts w:hint="eastAsia" w:ascii="宋体" w:hAnsi="宋体" w:eastAsia="宋体" w:cs="宋体"/>
                <w:sz w:val="21"/>
                <w:szCs w:val="21"/>
                <w:lang w:eastAsia="zh-CN"/>
              </w:rPr>
              <w:t>。</w:t>
            </w:r>
          </w:p>
        </w:tc>
        <w:tc>
          <w:tcPr>
            <w:tcW w:w="2497" w:type="dxa"/>
            <w:noWrap w:val="0"/>
            <w:vAlign w:val="center"/>
          </w:tcPr>
          <w:p w14:paraId="70EF5F54">
            <w:pPr>
              <w:spacing w:line="300" w:lineRule="exact"/>
              <w:jc w:val="both"/>
              <w:rPr>
                <w:rFonts w:hint="eastAsia" w:ascii="宋体" w:hAnsi="宋体" w:eastAsia="宋体" w:cs="宋体"/>
                <w:sz w:val="21"/>
                <w:szCs w:val="21"/>
              </w:rPr>
            </w:pPr>
            <w:r>
              <w:rPr>
                <w:rFonts w:hint="eastAsia" w:ascii="宋体" w:hAnsi="宋体" w:eastAsia="宋体" w:cs="宋体"/>
                <w:sz w:val="21"/>
                <w:szCs w:val="21"/>
              </w:rPr>
              <w:t>《煤矿安全规程》第</w:t>
            </w:r>
            <w:r>
              <w:rPr>
                <w:rFonts w:hint="eastAsia" w:ascii="宋体" w:hAnsi="宋体" w:eastAsia="宋体" w:cs="宋体"/>
                <w:sz w:val="21"/>
                <w:szCs w:val="21"/>
                <w:lang w:eastAsia="zh-CN"/>
              </w:rPr>
              <w:t>二百八十三</w:t>
            </w:r>
            <w:r>
              <w:rPr>
                <w:rFonts w:hint="eastAsia" w:ascii="宋体" w:hAnsi="宋体" w:eastAsia="宋体" w:cs="宋体"/>
                <w:sz w:val="21"/>
                <w:szCs w:val="21"/>
              </w:rPr>
              <w:t>条、</w:t>
            </w:r>
            <w:r>
              <w:rPr>
                <w:rFonts w:hint="eastAsia" w:ascii="宋体" w:hAnsi="宋体" w:eastAsia="宋体" w:cs="宋体"/>
                <w:sz w:val="21"/>
                <w:szCs w:val="21"/>
                <w:lang w:eastAsia="zh-CN"/>
              </w:rPr>
              <w:t>二百二十八</w:t>
            </w:r>
            <w:r>
              <w:rPr>
                <w:rFonts w:hint="eastAsia" w:ascii="宋体" w:hAnsi="宋体" w:eastAsia="宋体" w:cs="宋体"/>
                <w:sz w:val="21"/>
                <w:szCs w:val="21"/>
              </w:rPr>
              <w:t>条,《防治煤与瓦斯突出规定》第</w:t>
            </w:r>
            <w:r>
              <w:rPr>
                <w:rFonts w:hint="eastAsia" w:ascii="宋体" w:hAnsi="宋体" w:eastAsia="宋体" w:cs="宋体"/>
                <w:sz w:val="21"/>
                <w:szCs w:val="21"/>
                <w:lang w:eastAsia="zh-CN"/>
              </w:rPr>
              <w:t>四</w:t>
            </w:r>
            <w:r>
              <w:rPr>
                <w:rFonts w:hint="eastAsia" w:ascii="宋体" w:hAnsi="宋体" w:eastAsia="宋体" w:cs="宋体"/>
                <w:sz w:val="21"/>
                <w:szCs w:val="21"/>
              </w:rPr>
              <w:t>条,《煤矿重大生产安全事故隐患判定标准》第</w:t>
            </w:r>
            <w:r>
              <w:rPr>
                <w:rFonts w:hint="eastAsia" w:ascii="宋体" w:hAnsi="宋体" w:eastAsia="宋体" w:cs="宋体"/>
                <w:sz w:val="21"/>
                <w:szCs w:val="21"/>
                <w:lang w:eastAsia="zh-CN"/>
              </w:rPr>
              <w:t>十八</w:t>
            </w:r>
            <w:r>
              <w:rPr>
                <w:rFonts w:hint="eastAsia" w:ascii="宋体" w:hAnsi="宋体" w:eastAsia="宋体" w:cs="宋体"/>
                <w:sz w:val="21"/>
                <w:szCs w:val="21"/>
              </w:rPr>
              <w:t>条</w:t>
            </w:r>
          </w:p>
        </w:tc>
        <w:tc>
          <w:tcPr>
            <w:tcW w:w="1926" w:type="dxa"/>
            <w:noWrap w:val="0"/>
            <w:vAlign w:val="center"/>
          </w:tcPr>
          <w:p w14:paraId="602CABEA">
            <w:pPr>
              <w:spacing w:line="30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《中华人民共和国安全生产法》第九十七条第一项；《煤矿企业安全生产许可证实施办法》第三十八条</w:t>
            </w:r>
            <w:r>
              <w:rPr>
                <w:rFonts w:hint="eastAsia" w:ascii="宋体" w:hAnsi="宋体" w:eastAsia="宋体" w:cs="宋体"/>
                <w:sz w:val="21"/>
                <w:szCs w:val="21"/>
                <w:lang w:eastAsia="zh-CN"/>
              </w:rPr>
              <w:t>。</w:t>
            </w:r>
          </w:p>
        </w:tc>
        <w:tc>
          <w:tcPr>
            <w:tcW w:w="1224" w:type="dxa"/>
            <w:noWrap w:val="0"/>
            <w:vAlign w:val="center"/>
          </w:tcPr>
          <w:p w14:paraId="28CB6807">
            <w:pPr>
              <w:spacing w:line="300" w:lineRule="exact"/>
              <w:jc w:val="both"/>
              <w:rPr>
                <w:rFonts w:hint="eastAsia" w:ascii="宋体" w:hAnsi="宋体" w:eastAsia="宋体" w:cs="宋体"/>
                <w:sz w:val="21"/>
                <w:szCs w:val="21"/>
              </w:rPr>
            </w:pPr>
          </w:p>
        </w:tc>
      </w:tr>
      <w:tr w14:paraId="2812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723" w:type="dxa"/>
            <w:noWrap w:val="0"/>
            <w:vAlign w:val="center"/>
          </w:tcPr>
          <w:p w14:paraId="45FA8300">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670" w:type="dxa"/>
            <w:noWrap w:val="0"/>
            <w:vAlign w:val="center"/>
          </w:tcPr>
          <w:p w14:paraId="08A0D1BF">
            <w:pPr>
              <w:spacing w:line="28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煤矿建立健全主要负责人、安全生产管理人员、职能部门、各岗位安全生产责任制，各类安全生产责任要符合本单位和本岗位工作实际。</w:t>
            </w:r>
          </w:p>
        </w:tc>
        <w:tc>
          <w:tcPr>
            <w:tcW w:w="3448" w:type="dxa"/>
            <w:noWrap w:val="0"/>
            <w:vAlign w:val="center"/>
          </w:tcPr>
          <w:p w14:paraId="41206CA2">
            <w:pPr>
              <w:spacing w:line="28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《中华人民共和国安全生产法》第四条、第五条、第十八条，《煤矿安全规程》第</w:t>
            </w:r>
            <w:r>
              <w:rPr>
                <w:rFonts w:hint="eastAsia" w:ascii="宋体" w:hAnsi="宋体" w:eastAsia="宋体" w:cs="宋体"/>
                <w:sz w:val="21"/>
                <w:szCs w:val="21"/>
                <w:lang w:eastAsia="zh-CN"/>
              </w:rPr>
              <w:t>四</w:t>
            </w:r>
            <w:r>
              <w:rPr>
                <w:rFonts w:hint="eastAsia" w:ascii="宋体" w:hAnsi="宋体" w:eastAsia="宋体" w:cs="宋体"/>
                <w:sz w:val="21"/>
                <w:szCs w:val="21"/>
              </w:rPr>
              <w:t>条，《煤矿企业安全生产许可证实施办法》（国家安全监管总局令第86号）第六条。</w:t>
            </w:r>
          </w:p>
        </w:tc>
        <w:tc>
          <w:tcPr>
            <w:tcW w:w="2497" w:type="dxa"/>
            <w:noWrap w:val="0"/>
            <w:vAlign w:val="center"/>
          </w:tcPr>
          <w:p w14:paraId="00DE6A28">
            <w:pPr>
              <w:spacing w:line="280" w:lineRule="exact"/>
              <w:jc w:val="both"/>
              <w:rPr>
                <w:rFonts w:hint="eastAsia" w:ascii="宋体" w:hAnsi="宋体" w:eastAsia="宋体" w:cs="宋体"/>
                <w:sz w:val="21"/>
                <w:szCs w:val="21"/>
              </w:rPr>
            </w:pPr>
          </w:p>
        </w:tc>
        <w:tc>
          <w:tcPr>
            <w:tcW w:w="1926" w:type="dxa"/>
            <w:noWrap w:val="0"/>
            <w:vAlign w:val="center"/>
          </w:tcPr>
          <w:p w14:paraId="1F642904">
            <w:pPr>
              <w:spacing w:line="30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《中华人民共和国安全生产法》第九十四条第一款；《煤矿企业安全生产许可证实施办法》第三十八条。</w:t>
            </w:r>
          </w:p>
        </w:tc>
        <w:tc>
          <w:tcPr>
            <w:tcW w:w="1224" w:type="dxa"/>
            <w:noWrap w:val="0"/>
            <w:vAlign w:val="center"/>
          </w:tcPr>
          <w:p w14:paraId="53AE0029">
            <w:pPr>
              <w:spacing w:line="300" w:lineRule="exact"/>
              <w:jc w:val="both"/>
              <w:rPr>
                <w:rFonts w:hint="eastAsia" w:ascii="宋体" w:hAnsi="宋体" w:eastAsia="宋体" w:cs="宋体"/>
                <w:sz w:val="21"/>
                <w:szCs w:val="21"/>
              </w:rPr>
            </w:pPr>
          </w:p>
        </w:tc>
      </w:tr>
      <w:tr w14:paraId="64C9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23" w:type="dxa"/>
            <w:noWrap w:val="0"/>
            <w:vAlign w:val="center"/>
          </w:tcPr>
          <w:p w14:paraId="01DFAE3F">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670" w:type="dxa"/>
            <w:noWrap w:val="0"/>
            <w:vAlign w:val="center"/>
          </w:tcPr>
          <w:p w14:paraId="600233BF">
            <w:pPr>
              <w:spacing w:line="28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煤矿企业应当设立地质测量（简称地测）部门，配备所需的相关专业技术人员和仪器设备，及时编绘反映煤矿实际的地质资料和图件，建立健全煤矿地测工作规章制度。</w:t>
            </w:r>
          </w:p>
        </w:tc>
        <w:tc>
          <w:tcPr>
            <w:tcW w:w="3448" w:type="dxa"/>
            <w:noWrap w:val="0"/>
            <w:vAlign w:val="center"/>
          </w:tcPr>
          <w:p w14:paraId="4FE17984">
            <w:pPr>
              <w:spacing w:line="280" w:lineRule="exact"/>
              <w:jc w:val="both"/>
              <w:rPr>
                <w:rFonts w:hint="eastAsia" w:ascii="宋体" w:hAnsi="宋体" w:eastAsia="宋体" w:cs="宋体"/>
                <w:sz w:val="21"/>
                <w:szCs w:val="21"/>
              </w:rPr>
            </w:pPr>
            <w:r>
              <w:rPr>
                <w:rFonts w:hint="eastAsia" w:ascii="宋体" w:hAnsi="宋体" w:eastAsia="宋体" w:cs="宋体"/>
                <w:sz w:val="21"/>
                <w:szCs w:val="21"/>
              </w:rPr>
              <w:t>《煤矿安全规程》第</w:t>
            </w:r>
            <w:r>
              <w:rPr>
                <w:rFonts w:hint="eastAsia" w:ascii="宋体" w:hAnsi="宋体" w:eastAsia="宋体" w:cs="宋体"/>
                <w:sz w:val="21"/>
                <w:szCs w:val="21"/>
                <w:lang w:eastAsia="zh-CN"/>
              </w:rPr>
              <w:t>二十二</w:t>
            </w:r>
            <w:r>
              <w:rPr>
                <w:rFonts w:hint="eastAsia" w:ascii="宋体" w:hAnsi="宋体" w:eastAsia="宋体" w:cs="宋体"/>
                <w:sz w:val="21"/>
                <w:szCs w:val="21"/>
              </w:rPr>
              <w:t>条</w:t>
            </w:r>
            <w:r>
              <w:rPr>
                <w:rFonts w:hint="eastAsia" w:ascii="宋体" w:hAnsi="宋体" w:eastAsia="宋体" w:cs="宋体"/>
                <w:sz w:val="21"/>
                <w:szCs w:val="21"/>
                <w:lang w:eastAsia="zh-CN"/>
              </w:rPr>
              <w:t>。</w:t>
            </w:r>
          </w:p>
        </w:tc>
        <w:tc>
          <w:tcPr>
            <w:tcW w:w="2497" w:type="dxa"/>
            <w:noWrap w:val="0"/>
            <w:vAlign w:val="center"/>
          </w:tcPr>
          <w:p w14:paraId="4F6E7850">
            <w:pPr>
              <w:spacing w:line="300" w:lineRule="exact"/>
              <w:jc w:val="both"/>
              <w:rPr>
                <w:rFonts w:hint="eastAsia" w:ascii="宋体" w:hAnsi="宋体" w:eastAsia="宋体" w:cs="宋体"/>
                <w:sz w:val="21"/>
                <w:szCs w:val="21"/>
              </w:rPr>
            </w:pPr>
          </w:p>
        </w:tc>
        <w:tc>
          <w:tcPr>
            <w:tcW w:w="1926" w:type="dxa"/>
            <w:noWrap w:val="0"/>
            <w:vAlign w:val="center"/>
          </w:tcPr>
          <w:p w14:paraId="2DA45EEB">
            <w:pPr>
              <w:spacing w:line="30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《中华人民共和国安全生产法》第九十七条第一项；第六十五条第一款第二项、第三项；《国务院关于预防煤矿生产安全事故的特别规定》第八条第二款</w:t>
            </w:r>
            <w:r>
              <w:rPr>
                <w:rFonts w:hint="eastAsia" w:ascii="宋体" w:hAnsi="宋体" w:eastAsia="宋体" w:cs="宋体"/>
                <w:sz w:val="21"/>
                <w:szCs w:val="21"/>
                <w:lang w:eastAsia="zh-CN"/>
              </w:rPr>
              <w:t>。</w:t>
            </w:r>
          </w:p>
        </w:tc>
        <w:tc>
          <w:tcPr>
            <w:tcW w:w="1224" w:type="dxa"/>
            <w:noWrap w:val="0"/>
            <w:vAlign w:val="center"/>
          </w:tcPr>
          <w:p w14:paraId="3115F747">
            <w:pPr>
              <w:spacing w:line="300" w:lineRule="exact"/>
              <w:jc w:val="both"/>
              <w:rPr>
                <w:rFonts w:hint="eastAsia" w:ascii="宋体" w:hAnsi="宋体" w:eastAsia="宋体" w:cs="宋体"/>
                <w:sz w:val="21"/>
                <w:szCs w:val="21"/>
              </w:rPr>
            </w:pPr>
          </w:p>
        </w:tc>
      </w:tr>
      <w:tr w14:paraId="5D1D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23" w:type="dxa"/>
            <w:noWrap w:val="0"/>
            <w:vAlign w:val="center"/>
          </w:tcPr>
          <w:p w14:paraId="552D56ED">
            <w:pPr>
              <w:spacing w:line="300" w:lineRule="exact"/>
              <w:jc w:val="center"/>
              <w:rPr>
                <w:rFonts w:hint="eastAsia" w:ascii="宋体" w:hAnsi="宋体" w:eastAsia="宋体" w:cs="宋体"/>
                <w:color w:val="0000FF"/>
                <w:sz w:val="21"/>
                <w:szCs w:val="21"/>
              </w:rPr>
            </w:pPr>
            <w:r>
              <w:rPr>
                <w:rFonts w:hint="eastAsia" w:ascii="宋体" w:hAnsi="宋体" w:eastAsia="宋体" w:cs="宋体"/>
                <w:color w:val="auto"/>
                <w:sz w:val="21"/>
                <w:szCs w:val="21"/>
              </w:rPr>
              <w:t>4</w:t>
            </w:r>
          </w:p>
        </w:tc>
        <w:tc>
          <w:tcPr>
            <w:tcW w:w="4670" w:type="dxa"/>
            <w:noWrap w:val="0"/>
            <w:vAlign w:val="center"/>
          </w:tcPr>
          <w:p w14:paraId="157F1201">
            <w:pPr>
              <w:spacing w:line="280" w:lineRule="exact"/>
              <w:jc w:val="both"/>
              <w:rPr>
                <w:rFonts w:hint="eastAsia" w:ascii="宋体" w:hAnsi="宋体" w:eastAsia="宋体" w:cs="宋体"/>
                <w:sz w:val="21"/>
                <w:szCs w:val="21"/>
              </w:rPr>
            </w:pPr>
            <w:r>
              <w:rPr>
                <w:rFonts w:hint="eastAsia" w:ascii="宋体" w:hAnsi="宋体" w:eastAsia="宋体" w:cs="宋体"/>
                <w:sz w:val="21"/>
                <w:szCs w:val="21"/>
              </w:rPr>
              <w:t>按规定定期组织排查事故隐患。</w:t>
            </w:r>
          </w:p>
          <w:p w14:paraId="3F05564B">
            <w:pPr>
              <w:spacing w:line="280" w:lineRule="exact"/>
              <w:jc w:val="both"/>
              <w:rPr>
                <w:rFonts w:hint="eastAsia" w:ascii="宋体" w:hAnsi="宋体" w:eastAsia="宋体" w:cs="宋体"/>
                <w:sz w:val="21"/>
                <w:szCs w:val="21"/>
              </w:rPr>
            </w:pPr>
            <w:r>
              <w:rPr>
                <w:rFonts w:hint="eastAsia" w:ascii="宋体" w:hAnsi="宋体" w:eastAsia="宋体" w:cs="宋体"/>
                <w:sz w:val="21"/>
                <w:szCs w:val="21"/>
              </w:rPr>
              <w:t>按规定对事故隐患登记建档。</w:t>
            </w:r>
          </w:p>
          <w:p w14:paraId="668AAB7C">
            <w:pPr>
              <w:spacing w:line="280" w:lineRule="exact"/>
              <w:jc w:val="both"/>
              <w:rPr>
                <w:rFonts w:hint="eastAsia" w:ascii="宋体" w:hAnsi="宋体" w:eastAsia="宋体" w:cs="宋体"/>
                <w:sz w:val="21"/>
                <w:szCs w:val="21"/>
              </w:rPr>
            </w:pPr>
            <w:r>
              <w:rPr>
                <w:rFonts w:hint="eastAsia" w:ascii="宋体" w:hAnsi="宋体" w:eastAsia="宋体" w:cs="宋体"/>
                <w:sz w:val="21"/>
                <w:szCs w:val="21"/>
              </w:rPr>
              <w:t>按规定对重大事故隐患进行报告。</w:t>
            </w:r>
          </w:p>
          <w:p w14:paraId="5E0CE28E">
            <w:pPr>
              <w:spacing w:line="280" w:lineRule="exact"/>
              <w:jc w:val="both"/>
              <w:rPr>
                <w:rFonts w:hint="eastAsia" w:ascii="宋体" w:hAnsi="宋体" w:eastAsia="宋体" w:cs="宋体"/>
                <w:sz w:val="21"/>
                <w:szCs w:val="21"/>
              </w:rPr>
            </w:pPr>
            <w:r>
              <w:rPr>
                <w:rFonts w:hint="eastAsia" w:ascii="宋体" w:hAnsi="宋体" w:eastAsia="宋体" w:cs="宋体"/>
                <w:sz w:val="21"/>
                <w:szCs w:val="21"/>
              </w:rPr>
              <w:t xml:space="preserve">按规定事故隐患进行整改。 </w:t>
            </w:r>
          </w:p>
          <w:p w14:paraId="1464F1EC">
            <w:pPr>
              <w:spacing w:line="280" w:lineRule="exact"/>
              <w:jc w:val="both"/>
              <w:rPr>
                <w:rFonts w:hint="eastAsia" w:ascii="宋体" w:hAnsi="宋体" w:eastAsia="宋体" w:cs="宋体"/>
                <w:sz w:val="21"/>
                <w:szCs w:val="21"/>
              </w:rPr>
            </w:pPr>
            <w:r>
              <w:rPr>
                <w:rFonts w:hint="eastAsia" w:ascii="宋体" w:hAnsi="宋体" w:eastAsia="宋体" w:cs="宋体"/>
                <w:sz w:val="21"/>
                <w:szCs w:val="21"/>
              </w:rPr>
              <w:t>对于重大事故隐患，由煤矿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p>
        </w:tc>
        <w:tc>
          <w:tcPr>
            <w:tcW w:w="3448" w:type="dxa"/>
            <w:noWrap w:val="0"/>
            <w:vAlign w:val="center"/>
          </w:tcPr>
          <w:p w14:paraId="60825B64">
            <w:pPr>
              <w:spacing w:line="28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《中华人民共和国安全生产法》第四条，《安全生产事故隐患排查治理暂行规定》第二十条、第十五条第二款。</w:t>
            </w:r>
          </w:p>
        </w:tc>
        <w:tc>
          <w:tcPr>
            <w:tcW w:w="2497" w:type="dxa"/>
            <w:noWrap w:val="0"/>
            <w:vAlign w:val="center"/>
          </w:tcPr>
          <w:p w14:paraId="55823CE8">
            <w:pPr>
              <w:spacing w:line="300" w:lineRule="exact"/>
              <w:jc w:val="both"/>
              <w:rPr>
                <w:rFonts w:hint="eastAsia" w:ascii="宋体" w:hAnsi="宋体" w:eastAsia="宋体" w:cs="宋体"/>
                <w:sz w:val="21"/>
                <w:szCs w:val="21"/>
              </w:rPr>
            </w:pPr>
          </w:p>
        </w:tc>
        <w:tc>
          <w:tcPr>
            <w:tcW w:w="1926" w:type="dxa"/>
            <w:noWrap w:val="0"/>
            <w:vAlign w:val="center"/>
          </w:tcPr>
          <w:p w14:paraId="0D9969BD">
            <w:pPr>
              <w:spacing w:line="30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《中华人民共和国安全生产法》第一百零二条；《国务院关于预防煤矿生产安全事故的特别规定》 第九条第二款</w:t>
            </w:r>
            <w:r>
              <w:rPr>
                <w:rFonts w:hint="eastAsia" w:ascii="宋体" w:hAnsi="宋体" w:eastAsia="宋体" w:cs="宋体"/>
                <w:sz w:val="21"/>
                <w:szCs w:val="21"/>
                <w:lang w:eastAsia="zh-CN"/>
              </w:rPr>
              <w:t>。</w:t>
            </w:r>
          </w:p>
        </w:tc>
        <w:tc>
          <w:tcPr>
            <w:tcW w:w="1224" w:type="dxa"/>
            <w:noWrap w:val="0"/>
            <w:vAlign w:val="center"/>
          </w:tcPr>
          <w:p w14:paraId="612F9F68">
            <w:pPr>
              <w:spacing w:line="300" w:lineRule="exact"/>
              <w:jc w:val="both"/>
              <w:rPr>
                <w:rFonts w:hint="eastAsia" w:ascii="宋体" w:hAnsi="宋体" w:eastAsia="宋体" w:cs="宋体"/>
                <w:sz w:val="21"/>
                <w:szCs w:val="21"/>
              </w:rPr>
            </w:pPr>
          </w:p>
        </w:tc>
      </w:tr>
      <w:tr w14:paraId="683F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207623A3">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670" w:type="dxa"/>
            <w:noWrap w:val="0"/>
            <w:vAlign w:val="center"/>
          </w:tcPr>
          <w:p w14:paraId="37B57283">
            <w:pPr>
              <w:spacing w:line="28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每班必须有矿领导带班下井。煤矿的主要负责人每月带班 下井不得少于 5 个。</w:t>
            </w:r>
          </w:p>
          <w:p w14:paraId="7FFCDC2A">
            <w:pPr>
              <w:spacing w:line="28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煤矿领导带班下井时，其领导姓名应当在井口明显位置公示。煤矿领导每月带班下井工作计划的完成情况，应当在   煤矿公示栏公示，接受群众监督。煤矿领导带班下井应加强对采煤、掘进、通风等重点部位、关键环节的检查巡视， 及时发现和组织消除事故隐患和险情，及时制止违章违纪行为，严禁违章指挥。煤矿领导带班下井实行井下交接班。</w:t>
            </w:r>
          </w:p>
        </w:tc>
        <w:tc>
          <w:tcPr>
            <w:tcW w:w="3448" w:type="dxa"/>
            <w:noWrap w:val="0"/>
            <w:vAlign w:val="center"/>
          </w:tcPr>
          <w:p w14:paraId="6B5FB27F">
            <w:pPr>
              <w:spacing w:line="280" w:lineRule="exact"/>
              <w:jc w:val="both"/>
              <w:rPr>
                <w:rFonts w:hint="eastAsia" w:ascii="宋体" w:hAnsi="宋体" w:eastAsia="宋体" w:cs="宋体"/>
                <w:sz w:val="21"/>
                <w:szCs w:val="21"/>
              </w:rPr>
            </w:pPr>
            <w:r>
              <w:rPr>
                <w:rFonts w:hint="eastAsia" w:ascii="宋体" w:hAnsi="宋体" w:eastAsia="宋体" w:cs="宋体"/>
                <w:sz w:val="21"/>
                <w:szCs w:val="21"/>
              </w:rPr>
              <w:t>《煤矿领导带班下井及安全监督检查规定》第五条</w:t>
            </w:r>
            <w:r>
              <w:rPr>
                <w:rFonts w:hint="eastAsia" w:ascii="宋体" w:hAnsi="宋体" w:eastAsia="宋体" w:cs="宋体"/>
                <w:sz w:val="21"/>
                <w:szCs w:val="21"/>
                <w:lang w:eastAsia="zh-CN"/>
              </w:rPr>
              <w:t>、</w:t>
            </w:r>
            <w:r>
              <w:rPr>
                <w:rFonts w:hint="eastAsia" w:ascii="宋体" w:hAnsi="宋体" w:eastAsia="宋体" w:cs="宋体"/>
                <w:sz w:val="21"/>
                <w:szCs w:val="21"/>
              </w:rPr>
              <w:t>第七条</w:t>
            </w:r>
            <w:r>
              <w:rPr>
                <w:rFonts w:hint="eastAsia" w:ascii="宋体" w:hAnsi="宋体" w:eastAsia="宋体" w:cs="宋体"/>
                <w:sz w:val="21"/>
                <w:szCs w:val="21"/>
                <w:lang w:eastAsia="zh-CN"/>
              </w:rPr>
              <w:t>、</w:t>
            </w:r>
            <w:r>
              <w:rPr>
                <w:rFonts w:hint="eastAsia" w:ascii="宋体" w:hAnsi="宋体" w:eastAsia="宋体" w:cs="宋体"/>
                <w:sz w:val="21"/>
                <w:szCs w:val="21"/>
              </w:rPr>
              <w:t>第九条</w:t>
            </w:r>
            <w:r>
              <w:rPr>
                <w:rFonts w:hint="eastAsia" w:ascii="宋体" w:hAnsi="宋体" w:eastAsia="宋体" w:cs="宋体"/>
                <w:sz w:val="21"/>
                <w:szCs w:val="21"/>
                <w:lang w:eastAsia="zh-CN"/>
              </w:rPr>
              <w:t>、</w:t>
            </w:r>
            <w:r>
              <w:rPr>
                <w:rFonts w:hint="eastAsia" w:ascii="宋体" w:hAnsi="宋体" w:eastAsia="宋体" w:cs="宋体"/>
                <w:sz w:val="21"/>
                <w:szCs w:val="21"/>
              </w:rPr>
              <w:t>第十条。</w:t>
            </w:r>
          </w:p>
        </w:tc>
        <w:tc>
          <w:tcPr>
            <w:tcW w:w="2497" w:type="dxa"/>
            <w:noWrap w:val="0"/>
            <w:vAlign w:val="center"/>
          </w:tcPr>
          <w:p w14:paraId="417C8B28">
            <w:pPr>
              <w:spacing w:line="300" w:lineRule="exact"/>
              <w:jc w:val="both"/>
              <w:rPr>
                <w:rFonts w:hint="eastAsia" w:ascii="宋体" w:hAnsi="宋体" w:eastAsia="宋体" w:cs="宋体"/>
                <w:sz w:val="21"/>
                <w:szCs w:val="21"/>
              </w:rPr>
            </w:pPr>
          </w:p>
        </w:tc>
        <w:tc>
          <w:tcPr>
            <w:tcW w:w="1926" w:type="dxa"/>
            <w:noWrap w:val="0"/>
            <w:vAlign w:val="center"/>
          </w:tcPr>
          <w:p w14:paraId="1C35F3A0">
            <w:pPr>
              <w:spacing w:line="28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《中华人民共和国安全生产法》第六十二条第一款第二项。</w:t>
            </w:r>
          </w:p>
          <w:p w14:paraId="3CF0BCB7">
            <w:pPr>
              <w:spacing w:line="300" w:lineRule="exact"/>
              <w:jc w:val="both"/>
              <w:rPr>
                <w:rFonts w:hint="eastAsia" w:ascii="宋体" w:hAnsi="宋体" w:eastAsia="宋体" w:cs="宋体"/>
                <w:sz w:val="21"/>
                <w:szCs w:val="21"/>
              </w:rPr>
            </w:pPr>
          </w:p>
        </w:tc>
        <w:tc>
          <w:tcPr>
            <w:tcW w:w="1224" w:type="dxa"/>
            <w:noWrap w:val="0"/>
            <w:vAlign w:val="center"/>
          </w:tcPr>
          <w:p w14:paraId="729DBC6C">
            <w:pPr>
              <w:spacing w:line="300" w:lineRule="exact"/>
              <w:jc w:val="both"/>
              <w:rPr>
                <w:rFonts w:hint="eastAsia" w:ascii="宋体" w:hAnsi="宋体" w:eastAsia="宋体" w:cs="宋体"/>
                <w:sz w:val="21"/>
                <w:szCs w:val="21"/>
              </w:rPr>
            </w:pPr>
          </w:p>
        </w:tc>
      </w:tr>
      <w:tr w14:paraId="0615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5190961E">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670" w:type="dxa"/>
            <w:noWrap w:val="0"/>
            <w:vAlign w:val="center"/>
          </w:tcPr>
          <w:p w14:paraId="4198CE3E">
            <w:pPr>
              <w:spacing w:line="28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煤矿实行整体承包生产经营后，要重新取得或者及时变更安全生产许可证。承包或者托管方有合法有效煤矿生产建设证照。煤矿实行承包（托管）要签订安全生产管理协议，协议约定双方安全生产管理职责。承包方（承托方）按规定变更安全生产许可证。承包方（承托方）不得再次将煤矿承包（托管）给其他单位或者个人。煤矿不得将井下采掘工作面或者井巷维修作业作为独立工程承包（托管）给其他企业或者个人。</w:t>
            </w:r>
          </w:p>
        </w:tc>
        <w:tc>
          <w:tcPr>
            <w:tcW w:w="3448" w:type="dxa"/>
            <w:noWrap w:val="0"/>
            <w:vAlign w:val="center"/>
          </w:tcPr>
          <w:p w14:paraId="77CDF07D">
            <w:pPr>
              <w:spacing w:line="280" w:lineRule="exact"/>
              <w:jc w:val="both"/>
              <w:rPr>
                <w:rFonts w:hint="eastAsia" w:ascii="宋体" w:hAnsi="宋体" w:eastAsia="宋体" w:cs="宋体"/>
                <w:sz w:val="21"/>
                <w:szCs w:val="21"/>
              </w:rPr>
            </w:pPr>
            <w:r>
              <w:rPr>
                <w:rFonts w:hint="eastAsia" w:ascii="宋体" w:hAnsi="宋体" w:eastAsia="宋体" w:cs="宋体"/>
                <w:sz w:val="21"/>
                <w:szCs w:val="21"/>
              </w:rPr>
              <w:t>《煤矿重大生产安全事故隐患判定标准》（国家安全生产监督管理总局令第85号）第十六条。</w:t>
            </w:r>
          </w:p>
        </w:tc>
        <w:tc>
          <w:tcPr>
            <w:tcW w:w="2497" w:type="dxa"/>
            <w:noWrap w:val="0"/>
            <w:vAlign w:val="center"/>
          </w:tcPr>
          <w:p w14:paraId="7DE2F0BC">
            <w:pPr>
              <w:spacing w:line="300" w:lineRule="exact"/>
              <w:jc w:val="both"/>
              <w:rPr>
                <w:rFonts w:hint="eastAsia" w:ascii="宋体" w:hAnsi="宋体" w:eastAsia="宋体" w:cs="宋体"/>
                <w:sz w:val="21"/>
                <w:szCs w:val="21"/>
              </w:rPr>
            </w:pPr>
          </w:p>
        </w:tc>
        <w:tc>
          <w:tcPr>
            <w:tcW w:w="1926" w:type="dxa"/>
            <w:noWrap w:val="0"/>
            <w:vAlign w:val="center"/>
          </w:tcPr>
          <w:p w14:paraId="5A8874D9">
            <w:pPr>
              <w:spacing w:line="300" w:lineRule="exact"/>
              <w:jc w:val="both"/>
              <w:rPr>
                <w:rFonts w:hint="eastAsia" w:ascii="宋体" w:hAnsi="宋体" w:eastAsia="宋体" w:cs="宋体"/>
                <w:sz w:val="21"/>
                <w:szCs w:val="21"/>
              </w:rPr>
            </w:pPr>
            <w:r>
              <w:rPr>
                <w:rFonts w:hint="eastAsia" w:ascii="宋体" w:hAnsi="宋体" w:eastAsia="宋体" w:cs="宋体"/>
                <w:sz w:val="21"/>
                <w:szCs w:val="21"/>
              </w:rPr>
              <w:t>《国务院关于预防煤矿生产安全事故的特别规定》 第十条第一款、第十一条。《中华人民共和国安全生产法》第一百零三条第二款</w:t>
            </w:r>
            <w:r>
              <w:rPr>
                <w:rFonts w:hint="eastAsia" w:ascii="宋体" w:hAnsi="宋体" w:eastAsia="宋体" w:cs="宋体"/>
                <w:sz w:val="21"/>
                <w:szCs w:val="21"/>
                <w:lang w:eastAsia="zh-CN"/>
              </w:rPr>
              <w:t>。</w:t>
            </w:r>
          </w:p>
        </w:tc>
        <w:tc>
          <w:tcPr>
            <w:tcW w:w="1224" w:type="dxa"/>
            <w:noWrap w:val="0"/>
            <w:vAlign w:val="center"/>
          </w:tcPr>
          <w:p w14:paraId="528E0B5B">
            <w:pPr>
              <w:spacing w:line="300" w:lineRule="exact"/>
              <w:jc w:val="both"/>
              <w:rPr>
                <w:rFonts w:hint="eastAsia" w:ascii="宋体" w:hAnsi="宋体" w:eastAsia="宋体" w:cs="宋体"/>
                <w:sz w:val="21"/>
                <w:szCs w:val="21"/>
              </w:rPr>
            </w:pPr>
          </w:p>
        </w:tc>
      </w:tr>
      <w:tr w14:paraId="7184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3" w:type="dxa"/>
            <w:noWrap w:val="0"/>
            <w:vAlign w:val="center"/>
          </w:tcPr>
          <w:p w14:paraId="34FEB3B4">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4670" w:type="dxa"/>
            <w:noWrap w:val="0"/>
            <w:vAlign w:val="center"/>
          </w:tcPr>
          <w:p w14:paraId="112D83E3">
            <w:pPr>
              <w:spacing w:line="28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rPr>
              <w:t>煤矿要分别配备矿长、总工程师和分管安全、生产、机电的副矿长，以及负责采煤、掘进、机电运输、通风、地质测量工作的专业技术人员。</w:t>
            </w:r>
          </w:p>
        </w:tc>
        <w:tc>
          <w:tcPr>
            <w:tcW w:w="3448" w:type="dxa"/>
            <w:noWrap w:val="0"/>
            <w:vAlign w:val="center"/>
          </w:tcPr>
          <w:p w14:paraId="4B99CB8B">
            <w:pPr>
              <w:spacing w:line="280" w:lineRule="exact"/>
              <w:jc w:val="both"/>
              <w:rPr>
                <w:rFonts w:hint="eastAsia" w:ascii="宋体" w:hAnsi="宋体" w:eastAsia="宋体" w:cs="宋体"/>
                <w:sz w:val="21"/>
                <w:szCs w:val="21"/>
              </w:rPr>
            </w:pPr>
            <w:r>
              <w:rPr>
                <w:rFonts w:hint="eastAsia" w:ascii="宋体" w:hAnsi="宋体" w:eastAsia="宋体" w:cs="宋体"/>
                <w:sz w:val="21"/>
                <w:szCs w:val="21"/>
              </w:rPr>
              <w:t>《煤矿重大生产安全事故隐患判定标准》（国家安全生产监督管理总局令第85号）第十八条。</w:t>
            </w:r>
          </w:p>
        </w:tc>
        <w:tc>
          <w:tcPr>
            <w:tcW w:w="2497" w:type="dxa"/>
            <w:noWrap w:val="0"/>
            <w:vAlign w:val="center"/>
          </w:tcPr>
          <w:p w14:paraId="463AF5FC">
            <w:pPr>
              <w:spacing w:line="300" w:lineRule="exact"/>
              <w:jc w:val="both"/>
              <w:rPr>
                <w:rFonts w:hint="eastAsia" w:ascii="宋体" w:hAnsi="宋体" w:eastAsia="宋体" w:cs="宋体"/>
                <w:sz w:val="21"/>
                <w:szCs w:val="21"/>
              </w:rPr>
            </w:pPr>
          </w:p>
        </w:tc>
        <w:tc>
          <w:tcPr>
            <w:tcW w:w="1926" w:type="dxa"/>
            <w:noWrap w:val="0"/>
            <w:vAlign w:val="center"/>
          </w:tcPr>
          <w:p w14:paraId="4F4D688C">
            <w:pPr>
              <w:spacing w:line="30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《中华人民共和国安全生产法》第九十七条第一项；《煤矿企业安全生产许可证实施办法》第三十八条。</w:t>
            </w:r>
          </w:p>
        </w:tc>
        <w:tc>
          <w:tcPr>
            <w:tcW w:w="1224" w:type="dxa"/>
            <w:noWrap w:val="0"/>
            <w:vAlign w:val="center"/>
          </w:tcPr>
          <w:p w14:paraId="4A77E593">
            <w:pPr>
              <w:spacing w:line="300" w:lineRule="exact"/>
              <w:jc w:val="both"/>
              <w:rPr>
                <w:rFonts w:hint="eastAsia" w:ascii="宋体" w:hAnsi="宋体" w:eastAsia="宋体" w:cs="宋体"/>
                <w:sz w:val="21"/>
                <w:szCs w:val="21"/>
              </w:rPr>
            </w:pPr>
          </w:p>
        </w:tc>
      </w:tr>
      <w:tr w14:paraId="6A3A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25215EEF">
            <w:pPr>
              <w:spacing w:line="28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c>
          <w:tcPr>
            <w:tcW w:w="4670" w:type="dxa"/>
            <w:noWrap w:val="0"/>
            <w:vAlign w:val="center"/>
          </w:tcPr>
          <w:p w14:paraId="2D1DAE24">
            <w:pPr>
              <w:spacing w:line="280" w:lineRule="exact"/>
              <w:ind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煤矿企业主要负责人和安全生产管理人员应当自任职之日起六个月内通过考核部门组织的安全生产知识和管理能力考核，并持续保持相应水平和能力；煤矿企业主要负责人和安全生产管理人员应当自任职之日起三十日内，按照规定向考核部门提出考核申请；企业应当每年组织主要负责人和安全生产管理人员进行新法律法规、新标准、新规程、新技术、新工艺、新设备和新材料等方面的安全培训；煤矿特种作业人员必须经专门的安全技术培训和考核合格，由省级煤矿安全培训主管部门颁发特种作业操作证后，方可上岗作业。</w:t>
            </w:r>
          </w:p>
        </w:tc>
        <w:tc>
          <w:tcPr>
            <w:tcW w:w="3448" w:type="dxa"/>
            <w:noWrap w:val="0"/>
            <w:vAlign w:val="center"/>
          </w:tcPr>
          <w:p w14:paraId="4A40361D">
            <w:pPr>
              <w:spacing w:line="28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《中华人民共和国安全生产法》第十八条；《煤矿安全培训规定》(国家安全生产监督管理总局令第92号)第十二条、十七条；《煤矿安全规程》第</w:t>
            </w:r>
            <w:r>
              <w:rPr>
                <w:rFonts w:hint="eastAsia" w:ascii="宋体" w:hAnsi="宋体" w:eastAsia="宋体" w:cs="宋体"/>
                <w:sz w:val="21"/>
                <w:szCs w:val="21"/>
                <w:lang w:eastAsia="zh-CN"/>
              </w:rPr>
              <w:t>九</w:t>
            </w:r>
            <w:r>
              <w:rPr>
                <w:rFonts w:hint="eastAsia" w:ascii="宋体" w:hAnsi="宋体" w:eastAsia="宋体" w:cs="宋体"/>
                <w:sz w:val="21"/>
                <w:szCs w:val="21"/>
              </w:rPr>
              <w:t>条</w:t>
            </w:r>
            <w:r>
              <w:rPr>
                <w:rFonts w:hint="eastAsia" w:ascii="宋体" w:hAnsi="宋体" w:eastAsia="宋体" w:cs="宋体"/>
                <w:sz w:val="21"/>
                <w:szCs w:val="21"/>
                <w:lang w:eastAsia="zh-CN"/>
              </w:rPr>
              <w:t>。</w:t>
            </w:r>
          </w:p>
        </w:tc>
        <w:tc>
          <w:tcPr>
            <w:tcW w:w="2497" w:type="dxa"/>
            <w:noWrap w:val="0"/>
            <w:vAlign w:val="center"/>
          </w:tcPr>
          <w:p w14:paraId="7E6B98F6">
            <w:pPr>
              <w:spacing w:line="300" w:lineRule="exact"/>
              <w:jc w:val="both"/>
              <w:rPr>
                <w:rFonts w:hint="eastAsia" w:ascii="宋体" w:hAnsi="宋体" w:eastAsia="宋体" w:cs="宋体"/>
                <w:sz w:val="21"/>
                <w:szCs w:val="21"/>
              </w:rPr>
            </w:pPr>
          </w:p>
        </w:tc>
        <w:tc>
          <w:tcPr>
            <w:tcW w:w="1926" w:type="dxa"/>
            <w:noWrap w:val="0"/>
            <w:vAlign w:val="center"/>
          </w:tcPr>
          <w:p w14:paraId="048195DE">
            <w:pPr>
              <w:spacing w:line="30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《中华人民共和国安全生产法》第九十七条第二项、第三项、第七项；《煤矿安全培训规定》第四十七条第一项、第二项、第四项</w:t>
            </w:r>
            <w:r>
              <w:rPr>
                <w:rFonts w:hint="eastAsia" w:ascii="宋体" w:hAnsi="宋体" w:eastAsia="宋体" w:cs="宋体"/>
                <w:sz w:val="21"/>
                <w:szCs w:val="21"/>
                <w:lang w:eastAsia="zh-CN"/>
              </w:rPr>
              <w:t>。</w:t>
            </w:r>
          </w:p>
        </w:tc>
        <w:tc>
          <w:tcPr>
            <w:tcW w:w="1224" w:type="dxa"/>
            <w:noWrap w:val="0"/>
            <w:vAlign w:val="center"/>
          </w:tcPr>
          <w:p w14:paraId="3120AE22">
            <w:pPr>
              <w:spacing w:line="300" w:lineRule="exact"/>
              <w:jc w:val="both"/>
              <w:rPr>
                <w:rFonts w:hint="eastAsia" w:ascii="宋体" w:hAnsi="宋体" w:eastAsia="宋体" w:cs="宋体"/>
                <w:sz w:val="21"/>
                <w:szCs w:val="21"/>
              </w:rPr>
            </w:pPr>
          </w:p>
        </w:tc>
      </w:tr>
      <w:tr w14:paraId="1A9E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15240A1E">
            <w:pPr>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9</w:t>
            </w:r>
          </w:p>
        </w:tc>
        <w:tc>
          <w:tcPr>
            <w:tcW w:w="4670" w:type="dxa"/>
            <w:noWrap w:val="0"/>
            <w:vAlign w:val="center"/>
          </w:tcPr>
          <w:p w14:paraId="54FAD7E2">
            <w:pPr>
              <w:spacing w:line="280" w:lineRule="exact"/>
              <w:ind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煤矿企业及所属矿井应设立地测部门，配备所需的地质及相关专业技术人员和仪器设备；每个煤矿应结合实际情况开展隐蔽致灾因素普查，提出普查报告，由煤矿企业总工程师组织审定。</w:t>
            </w:r>
          </w:p>
          <w:p w14:paraId="57388C92">
            <w:pPr>
              <w:spacing w:line="280" w:lineRule="exact"/>
              <w:jc w:val="both"/>
              <w:rPr>
                <w:rFonts w:hint="eastAsia" w:ascii="宋体" w:hAnsi="宋体" w:eastAsia="宋体" w:cs="宋体"/>
                <w:kern w:val="0"/>
                <w:sz w:val="21"/>
                <w:szCs w:val="21"/>
              </w:rPr>
            </w:pPr>
            <w:r>
              <w:rPr>
                <w:rFonts w:hint="eastAsia" w:ascii="宋体" w:hAnsi="宋体" w:eastAsia="宋体" w:cs="宋体"/>
                <w:kern w:val="0"/>
                <w:sz w:val="21"/>
                <w:szCs w:val="21"/>
              </w:rPr>
              <w:t>小煤矿集中的矿区，由地方人民政府组织进行区域性隐蔽致灾因素普查，制定防范事故的措施。</w:t>
            </w:r>
          </w:p>
          <w:p w14:paraId="0AFE5A70">
            <w:pPr>
              <w:spacing w:line="280" w:lineRule="exact"/>
              <w:jc w:val="both"/>
              <w:rPr>
                <w:rFonts w:hint="eastAsia" w:ascii="宋体" w:hAnsi="宋体" w:eastAsia="宋体" w:cs="宋体"/>
                <w:kern w:val="0"/>
                <w:sz w:val="21"/>
                <w:szCs w:val="21"/>
              </w:rPr>
            </w:pPr>
          </w:p>
        </w:tc>
        <w:tc>
          <w:tcPr>
            <w:tcW w:w="3448" w:type="dxa"/>
            <w:noWrap w:val="0"/>
            <w:vAlign w:val="center"/>
          </w:tcPr>
          <w:p w14:paraId="264E9609">
            <w:pPr>
              <w:spacing w:line="280" w:lineRule="exact"/>
              <w:jc w:val="both"/>
              <w:rPr>
                <w:rFonts w:hint="eastAsia" w:ascii="宋体" w:hAnsi="宋体" w:eastAsia="宋体" w:cs="宋体"/>
                <w:kern w:val="0"/>
                <w:sz w:val="21"/>
                <w:szCs w:val="21"/>
              </w:rPr>
            </w:pPr>
            <w:r>
              <w:rPr>
                <w:rFonts w:hint="eastAsia" w:ascii="宋体" w:hAnsi="宋体" w:eastAsia="宋体" w:cs="宋体"/>
                <w:kern w:val="0"/>
                <w:sz w:val="21"/>
                <w:szCs w:val="21"/>
              </w:rPr>
              <w:t>《煤矿重大事故隐患判定标准》解读第十八条第一项；《煤矿安全规程》第</w:t>
            </w:r>
            <w:r>
              <w:rPr>
                <w:rFonts w:hint="eastAsia" w:ascii="宋体" w:hAnsi="宋体" w:eastAsia="宋体" w:cs="宋体"/>
                <w:kern w:val="0"/>
                <w:sz w:val="21"/>
                <w:szCs w:val="21"/>
                <w:lang w:eastAsia="zh-CN"/>
              </w:rPr>
              <w:t>三十二</w:t>
            </w:r>
            <w:r>
              <w:rPr>
                <w:rFonts w:hint="eastAsia" w:ascii="宋体" w:hAnsi="宋体" w:eastAsia="宋体" w:cs="宋体"/>
                <w:kern w:val="0"/>
                <w:sz w:val="21"/>
                <w:szCs w:val="21"/>
              </w:rPr>
              <w:t>条《煤矿地质工作规定》第七条第一款、第二十九条至第三十八条</w:t>
            </w:r>
            <w:r>
              <w:rPr>
                <w:rFonts w:hint="eastAsia" w:ascii="宋体" w:hAnsi="宋体" w:eastAsia="宋体" w:cs="宋体"/>
                <w:kern w:val="0"/>
                <w:sz w:val="21"/>
                <w:szCs w:val="21"/>
                <w:lang w:eastAsia="zh-CN"/>
              </w:rPr>
              <w:t>。</w:t>
            </w:r>
          </w:p>
        </w:tc>
        <w:tc>
          <w:tcPr>
            <w:tcW w:w="2497" w:type="dxa"/>
            <w:noWrap w:val="0"/>
            <w:vAlign w:val="center"/>
          </w:tcPr>
          <w:p w14:paraId="4DB2B3A1">
            <w:pPr>
              <w:spacing w:line="300" w:lineRule="exact"/>
              <w:jc w:val="both"/>
              <w:rPr>
                <w:rFonts w:hint="eastAsia" w:ascii="宋体" w:hAnsi="宋体" w:eastAsia="宋体" w:cs="宋体"/>
                <w:sz w:val="21"/>
                <w:szCs w:val="21"/>
              </w:rPr>
            </w:pPr>
          </w:p>
        </w:tc>
        <w:tc>
          <w:tcPr>
            <w:tcW w:w="1926" w:type="dxa"/>
            <w:noWrap w:val="0"/>
            <w:vAlign w:val="center"/>
          </w:tcPr>
          <w:p w14:paraId="60E8AA9D">
            <w:pPr>
              <w:spacing w:line="300" w:lineRule="exact"/>
              <w:jc w:val="both"/>
              <w:rPr>
                <w:rFonts w:hint="eastAsia" w:ascii="宋体" w:hAnsi="宋体" w:eastAsia="宋体" w:cs="宋体"/>
                <w:sz w:val="21"/>
                <w:szCs w:val="21"/>
              </w:rPr>
            </w:pPr>
            <w:r>
              <w:rPr>
                <w:rFonts w:hint="eastAsia" w:ascii="宋体" w:hAnsi="宋体" w:eastAsia="宋体" w:cs="宋体"/>
                <w:sz w:val="21"/>
                <w:szCs w:val="21"/>
              </w:rPr>
              <w:t>《中华人民共和国安全生产法》第九十七条第一项；《国务院关于预防煤矿生产安全事故的特别规定》第十条第一款，第十一条第一款</w:t>
            </w:r>
            <w:r>
              <w:rPr>
                <w:rFonts w:hint="eastAsia" w:ascii="宋体" w:hAnsi="宋体" w:eastAsia="宋体" w:cs="宋体"/>
                <w:sz w:val="21"/>
                <w:szCs w:val="21"/>
                <w:lang w:eastAsia="zh-CN"/>
              </w:rPr>
              <w:t>。</w:t>
            </w:r>
          </w:p>
        </w:tc>
        <w:tc>
          <w:tcPr>
            <w:tcW w:w="1224" w:type="dxa"/>
            <w:noWrap w:val="0"/>
            <w:vAlign w:val="center"/>
          </w:tcPr>
          <w:p w14:paraId="11B67110">
            <w:pPr>
              <w:spacing w:line="300" w:lineRule="exact"/>
              <w:jc w:val="both"/>
              <w:rPr>
                <w:rFonts w:hint="eastAsia" w:ascii="宋体" w:hAnsi="宋体" w:eastAsia="宋体" w:cs="宋体"/>
                <w:sz w:val="21"/>
                <w:szCs w:val="21"/>
              </w:rPr>
            </w:pPr>
          </w:p>
        </w:tc>
      </w:tr>
      <w:tr w14:paraId="12D1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noWrap w:val="0"/>
            <w:vAlign w:val="center"/>
          </w:tcPr>
          <w:p w14:paraId="2701C727">
            <w:pPr>
              <w:spacing w:line="300" w:lineRule="exact"/>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auto"/>
                <w:kern w:val="0"/>
                <w:sz w:val="21"/>
                <w:szCs w:val="21"/>
                <w:lang w:val="en-US" w:eastAsia="zh-CN"/>
              </w:rPr>
              <w:t>10</w:t>
            </w:r>
          </w:p>
        </w:tc>
        <w:tc>
          <w:tcPr>
            <w:tcW w:w="4670" w:type="dxa"/>
            <w:noWrap w:val="0"/>
            <w:vAlign w:val="center"/>
          </w:tcPr>
          <w:p w14:paraId="66FEC881">
            <w:pPr>
              <w:spacing w:line="280" w:lineRule="exact"/>
              <w:ind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基建矿井、露天煤矿移交生产前，必须编制建井（矿）地质报告；掘、采前,应当编制地质说明书，掌握地质构造、岩浆岩体、陷落柱、煤层及其顶底板岩性、煤(岩)与瓦斯（二氧化碳）突出（以下简称突出）危险区、受水威胁区、技术边界、采空区、地质钻孔等情况；回采工作面形成后，应开展相关物探、钻探等补充地质工作，查明工作面内部地质构造情况，并在10日内提出回采工作面地质说明书，由矿井总工程师审批。</w:t>
            </w:r>
          </w:p>
        </w:tc>
        <w:tc>
          <w:tcPr>
            <w:tcW w:w="3448" w:type="dxa"/>
            <w:noWrap w:val="0"/>
            <w:vAlign w:val="center"/>
          </w:tcPr>
          <w:p w14:paraId="0CE38B42">
            <w:pPr>
              <w:spacing w:line="280" w:lineRule="exact"/>
              <w:jc w:val="both"/>
              <w:rPr>
                <w:rFonts w:hint="eastAsia" w:ascii="宋体" w:hAnsi="宋体" w:eastAsia="宋体" w:cs="宋体"/>
                <w:kern w:val="0"/>
                <w:sz w:val="21"/>
                <w:szCs w:val="21"/>
              </w:rPr>
            </w:pPr>
            <w:r>
              <w:rPr>
                <w:rFonts w:hint="eastAsia" w:ascii="宋体" w:hAnsi="宋体" w:eastAsia="宋体" w:cs="宋体"/>
                <w:kern w:val="0"/>
                <w:sz w:val="21"/>
                <w:szCs w:val="21"/>
              </w:rPr>
              <w:t>《煤矿地质工作规定》第十条；《煤矿安全规程》第</w:t>
            </w:r>
            <w:r>
              <w:rPr>
                <w:rFonts w:hint="eastAsia" w:ascii="宋体" w:hAnsi="宋体" w:eastAsia="宋体" w:cs="宋体"/>
                <w:kern w:val="0"/>
                <w:sz w:val="21"/>
                <w:szCs w:val="21"/>
                <w:lang w:eastAsia="zh-CN"/>
              </w:rPr>
              <w:t>三十一</w:t>
            </w:r>
            <w:r>
              <w:rPr>
                <w:rFonts w:hint="eastAsia" w:ascii="宋体" w:hAnsi="宋体" w:eastAsia="宋体" w:cs="宋体"/>
                <w:kern w:val="0"/>
                <w:sz w:val="21"/>
                <w:szCs w:val="21"/>
              </w:rPr>
              <w:t>条</w:t>
            </w:r>
            <w:r>
              <w:rPr>
                <w:rFonts w:hint="eastAsia" w:ascii="宋体" w:hAnsi="宋体" w:eastAsia="宋体" w:cs="宋体"/>
                <w:kern w:val="0"/>
                <w:sz w:val="21"/>
                <w:szCs w:val="21"/>
                <w:lang w:eastAsia="zh-CN"/>
              </w:rPr>
              <w:t>。</w:t>
            </w:r>
          </w:p>
        </w:tc>
        <w:tc>
          <w:tcPr>
            <w:tcW w:w="2497" w:type="dxa"/>
            <w:noWrap w:val="0"/>
            <w:vAlign w:val="center"/>
          </w:tcPr>
          <w:p w14:paraId="60D8AFCD">
            <w:pPr>
              <w:spacing w:line="300" w:lineRule="exact"/>
              <w:jc w:val="both"/>
              <w:rPr>
                <w:rFonts w:hint="eastAsia" w:ascii="宋体" w:hAnsi="宋体" w:eastAsia="宋体" w:cs="宋体"/>
                <w:sz w:val="21"/>
                <w:szCs w:val="21"/>
              </w:rPr>
            </w:pPr>
          </w:p>
        </w:tc>
        <w:tc>
          <w:tcPr>
            <w:tcW w:w="1926" w:type="dxa"/>
            <w:noWrap w:val="0"/>
            <w:vAlign w:val="center"/>
          </w:tcPr>
          <w:p w14:paraId="31FA90CD">
            <w:pPr>
              <w:spacing w:line="300" w:lineRule="exact"/>
              <w:jc w:val="both"/>
              <w:rPr>
                <w:rFonts w:hint="eastAsia" w:ascii="宋体" w:hAnsi="宋体" w:eastAsia="宋体" w:cs="宋体"/>
                <w:sz w:val="21"/>
                <w:szCs w:val="21"/>
              </w:rPr>
            </w:pPr>
            <w:r>
              <w:rPr>
                <w:rFonts w:hint="eastAsia" w:ascii="宋体" w:hAnsi="宋体" w:eastAsia="宋体" w:cs="宋体"/>
                <w:sz w:val="21"/>
                <w:szCs w:val="21"/>
              </w:rPr>
              <w:t>《安全生产违法行为行政处罚办法》第四十五条第一项</w:t>
            </w:r>
            <w:r>
              <w:rPr>
                <w:rFonts w:hint="eastAsia" w:ascii="宋体" w:hAnsi="宋体" w:eastAsia="宋体" w:cs="宋体"/>
                <w:sz w:val="21"/>
                <w:szCs w:val="21"/>
                <w:lang w:eastAsia="zh-CN"/>
              </w:rPr>
              <w:t>。</w:t>
            </w:r>
          </w:p>
        </w:tc>
        <w:tc>
          <w:tcPr>
            <w:tcW w:w="1224" w:type="dxa"/>
            <w:noWrap w:val="0"/>
            <w:vAlign w:val="center"/>
          </w:tcPr>
          <w:p w14:paraId="36BDDF73">
            <w:pPr>
              <w:spacing w:line="300" w:lineRule="exact"/>
              <w:jc w:val="both"/>
              <w:rPr>
                <w:rFonts w:hint="eastAsia" w:ascii="宋体" w:hAnsi="宋体" w:eastAsia="宋体" w:cs="宋体"/>
                <w:sz w:val="21"/>
                <w:szCs w:val="21"/>
              </w:rPr>
            </w:pPr>
          </w:p>
        </w:tc>
      </w:tr>
      <w:tr w14:paraId="78FD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4A188C22">
            <w:pPr>
              <w:spacing w:line="300" w:lineRule="exact"/>
              <w:jc w:val="center"/>
              <w:rPr>
                <w:rFonts w:hint="eastAsia" w:ascii="宋体" w:hAnsi="宋体" w:eastAsia="宋体" w:cs="宋体"/>
                <w:color w:val="0000FF"/>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p>
        </w:tc>
        <w:tc>
          <w:tcPr>
            <w:tcW w:w="4670" w:type="dxa"/>
            <w:noWrap w:val="0"/>
            <w:vAlign w:val="center"/>
          </w:tcPr>
          <w:p w14:paraId="50BE2376">
            <w:pPr>
              <w:spacing w:line="280" w:lineRule="exact"/>
              <w:ind w:firstLine="210" w:firstLineChars="100"/>
              <w:jc w:val="both"/>
              <w:rPr>
                <w:rFonts w:hint="eastAsia" w:ascii="宋体" w:hAnsi="宋体" w:eastAsia="宋体" w:cs="宋体"/>
                <w:sz w:val="21"/>
                <w:szCs w:val="21"/>
              </w:rPr>
            </w:pPr>
            <w:r>
              <w:rPr>
                <w:rFonts w:hint="eastAsia" w:ascii="宋体" w:hAnsi="宋体" w:eastAsia="宋体" w:cs="宋体"/>
                <w:sz w:val="21"/>
                <w:szCs w:val="21"/>
                <w:lang w:val="zh-CN"/>
              </w:rPr>
              <w:t>工作面回采前，应当查清采煤工作面及周边老空水、含水层富水性和断层、陷落柱含（导）水性等情况。地测部门应当提出专门水文地质情况评价报告和水害隐患治理情况分析报告，经煤矿总工程师组织生产、安检、地测等有关单位审批后，方可回采。发现断层、裂隙或者陷落柱等构造充水的，应当采取注浆加固或者留设防隔水煤（岩）柱等安全措施，否则不得回采。</w:t>
            </w:r>
          </w:p>
        </w:tc>
        <w:tc>
          <w:tcPr>
            <w:tcW w:w="3448" w:type="dxa"/>
            <w:noWrap w:val="0"/>
            <w:vAlign w:val="center"/>
          </w:tcPr>
          <w:p w14:paraId="2BB9B388">
            <w:pPr>
              <w:spacing w:line="280" w:lineRule="exact"/>
              <w:jc w:val="both"/>
              <w:rPr>
                <w:rFonts w:hint="eastAsia" w:ascii="宋体" w:hAnsi="宋体" w:eastAsia="宋体" w:cs="宋体"/>
                <w:sz w:val="21"/>
                <w:szCs w:val="21"/>
              </w:rPr>
            </w:pPr>
            <w:r>
              <w:rPr>
                <w:rFonts w:hint="eastAsia" w:ascii="宋体" w:hAnsi="宋体" w:eastAsia="宋体" w:cs="宋体"/>
                <w:sz w:val="21"/>
                <w:szCs w:val="21"/>
                <w:lang w:val="zh-CN"/>
              </w:rPr>
              <w:t>《煤矿防治水细则》第四十一条。</w:t>
            </w:r>
          </w:p>
        </w:tc>
        <w:tc>
          <w:tcPr>
            <w:tcW w:w="2497" w:type="dxa"/>
            <w:noWrap w:val="0"/>
            <w:vAlign w:val="center"/>
          </w:tcPr>
          <w:p w14:paraId="4DC0683D">
            <w:pPr>
              <w:spacing w:line="300" w:lineRule="exact"/>
              <w:jc w:val="both"/>
              <w:rPr>
                <w:rFonts w:hint="eastAsia" w:ascii="宋体" w:hAnsi="宋体" w:eastAsia="宋体" w:cs="宋体"/>
                <w:sz w:val="21"/>
                <w:szCs w:val="21"/>
              </w:rPr>
            </w:pPr>
          </w:p>
        </w:tc>
        <w:tc>
          <w:tcPr>
            <w:tcW w:w="1926" w:type="dxa"/>
            <w:noWrap w:val="0"/>
            <w:vAlign w:val="center"/>
          </w:tcPr>
          <w:p w14:paraId="2D156FB5">
            <w:pPr>
              <w:spacing w:line="300" w:lineRule="exact"/>
              <w:jc w:val="both"/>
              <w:rPr>
                <w:rFonts w:hint="eastAsia" w:ascii="宋体" w:hAnsi="宋体" w:eastAsia="宋体" w:cs="宋体"/>
                <w:sz w:val="21"/>
                <w:szCs w:val="21"/>
              </w:rPr>
            </w:pPr>
            <w:r>
              <w:rPr>
                <w:rFonts w:hint="eastAsia" w:ascii="宋体" w:hAnsi="宋体" w:eastAsia="宋体" w:cs="宋体"/>
                <w:sz w:val="21"/>
                <w:szCs w:val="21"/>
              </w:rPr>
              <w:t>《安全生产违法行为行政处罚办法》第四十五条第一项</w:t>
            </w:r>
            <w:r>
              <w:rPr>
                <w:rFonts w:hint="eastAsia" w:ascii="宋体" w:hAnsi="宋体" w:eastAsia="宋体" w:cs="宋体"/>
                <w:sz w:val="21"/>
                <w:szCs w:val="21"/>
                <w:lang w:eastAsia="zh-CN"/>
              </w:rPr>
              <w:t>。</w:t>
            </w:r>
          </w:p>
        </w:tc>
        <w:tc>
          <w:tcPr>
            <w:tcW w:w="1224" w:type="dxa"/>
            <w:noWrap w:val="0"/>
            <w:vAlign w:val="center"/>
          </w:tcPr>
          <w:p w14:paraId="769E4479">
            <w:pPr>
              <w:spacing w:line="300" w:lineRule="exact"/>
              <w:jc w:val="both"/>
              <w:rPr>
                <w:rFonts w:hint="eastAsia" w:ascii="宋体" w:hAnsi="宋体" w:eastAsia="宋体" w:cs="宋体"/>
                <w:sz w:val="21"/>
                <w:szCs w:val="21"/>
              </w:rPr>
            </w:pPr>
          </w:p>
        </w:tc>
      </w:tr>
      <w:tr w14:paraId="2D18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27F4F190">
            <w:pPr>
              <w:spacing w:line="300" w:lineRule="exact"/>
              <w:jc w:val="center"/>
              <w:rPr>
                <w:rFonts w:ascii="仿宋_GB2312"/>
                <w:sz w:val="21"/>
                <w:szCs w:val="21"/>
              </w:rPr>
            </w:pPr>
            <w:r>
              <w:rPr>
                <w:rFonts w:hint="eastAsia" w:ascii="仿宋_GB2312"/>
                <w:sz w:val="21"/>
                <w:szCs w:val="21"/>
              </w:rPr>
              <w:t>12</w:t>
            </w:r>
          </w:p>
        </w:tc>
        <w:tc>
          <w:tcPr>
            <w:tcW w:w="4670" w:type="dxa"/>
            <w:noWrap w:val="0"/>
            <w:vAlign w:val="center"/>
          </w:tcPr>
          <w:p w14:paraId="5F162FA2">
            <w:pPr>
              <w:spacing w:line="280" w:lineRule="exact"/>
              <w:ind w:firstLine="210" w:firstLineChars="100"/>
              <w:jc w:val="both"/>
              <w:rPr>
                <w:rFonts w:hint="eastAsia" w:ascii="仿宋_GB2312"/>
                <w:color w:val="000000"/>
                <w:sz w:val="21"/>
                <w:szCs w:val="21"/>
                <w:lang w:val="zh-CN"/>
              </w:rPr>
            </w:pPr>
            <w:r>
              <w:rPr>
                <w:rFonts w:hint="eastAsia" w:ascii="仿宋_GB2312"/>
                <w:color w:val="000000"/>
                <w:sz w:val="21"/>
                <w:szCs w:val="21"/>
                <w:lang w:val="zh-CN"/>
              </w:rPr>
              <w:t>煤矿必须对揭露的煤层、断层、褶皱、岩浆岩体、陷落柱、含水岩层,矿井涌水量及主要出水点等进行观测及描述，实施地质预测、预报。地质预报应做到期前预报、期末总结，预报与实际出入较大时，应分析原因，总结经验，提高地质预报质量。</w:t>
            </w:r>
          </w:p>
        </w:tc>
        <w:tc>
          <w:tcPr>
            <w:tcW w:w="3448" w:type="dxa"/>
            <w:noWrap w:val="0"/>
            <w:vAlign w:val="center"/>
          </w:tcPr>
          <w:p w14:paraId="233FDC12">
            <w:pPr>
              <w:spacing w:line="280" w:lineRule="exact"/>
              <w:jc w:val="both"/>
              <w:rPr>
                <w:rFonts w:hint="eastAsia" w:ascii="仿宋_GB2312"/>
                <w:color w:val="000000"/>
                <w:sz w:val="21"/>
                <w:szCs w:val="21"/>
              </w:rPr>
            </w:pPr>
            <w:r>
              <w:rPr>
                <w:rFonts w:hint="eastAsia" w:ascii="仿宋_GB2312"/>
                <w:color w:val="000000"/>
                <w:sz w:val="21"/>
                <w:szCs w:val="21"/>
              </w:rPr>
              <w:t>《煤矿地质工作规定》第五十九条；《煤矿地质工作规定》第五十八条第三项</w:t>
            </w:r>
            <w:r>
              <w:rPr>
                <w:rFonts w:hint="eastAsia" w:ascii="仿宋_GB2312"/>
                <w:color w:val="000000"/>
                <w:sz w:val="21"/>
                <w:szCs w:val="21"/>
                <w:lang w:eastAsia="zh-CN"/>
              </w:rPr>
              <w:t>。</w:t>
            </w:r>
          </w:p>
        </w:tc>
        <w:tc>
          <w:tcPr>
            <w:tcW w:w="2497" w:type="dxa"/>
            <w:noWrap w:val="0"/>
            <w:vAlign w:val="center"/>
          </w:tcPr>
          <w:p w14:paraId="36526455">
            <w:pPr>
              <w:spacing w:line="300" w:lineRule="exact"/>
              <w:jc w:val="both"/>
              <w:rPr>
                <w:rFonts w:hint="eastAsia" w:ascii="仿宋_GB2312"/>
                <w:color w:val="000000"/>
                <w:sz w:val="21"/>
                <w:szCs w:val="21"/>
              </w:rPr>
            </w:pPr>
          </w:p>
        </w:tc>
        <w:tc>
          <w:tcPr>
            <w:tcW w:w="1926" w:type="dxa"/>
            <w:noWrap w:val="0"/>
            <w:vAlign w:val="center"/>
          </w:tcPr>
          <w:p w14:paraId="607C91EF">
            <w:pPr>
              <w:spacing w:line="300" w:lineRule="exact"/>
              <w:jc w:val="both"/>
              <w:rPr>
                <w:rFonts w:hint="eastAsia" w:ascii="仿宋_GB2312" w:hAnsi="Times New Roman" w:cs="Times New Roman"/>
                <w:color w:val="000000"/>
                <w:sz w:val="21"/>
                <w:szCs w:val="21"/>
              </w:rPr>
            </w:pPr>
            <w:r>
              <w:rPr>
                <w:rFonts w:hint="eastAsia" w:ascii="仿宋_GB2312" w:hAnsi="Times New Roman" w:cs="Times New Roman"/>
                <w:color w:val="000000"/>
                <w:sz w:val="21"/>
                <w:szCs w:val="21"/>
                <w:lang w:val="en-US" w:eastAsia="zh-CN"/>
              </w:rPr>
              <w:t>《中华人民共和国安全生产法》第六十二条第一款第二项。</w:t>
            </w:r>
          </w:p>
          <w:p w14:paraId="310BDCA4">
            <w:pPr>
              <w:spacing w:line="300" w:lineRule="exact"/>
              <w:jc w:val="both"/>
              <w:rPr>
                <w:rFonts w:hint="eastAsia" w:ascii="仿宋_GB2312"/>
                <w:color w:val="000000"/>
                <w:sz w:val="21"/>
                <w:szCs w:val="21"/>
              </w:rPr>
            </w:pPr>
          </w:p>
        </w:tc>
        <w:tc>
          <w:tcPr>
            <w:tcW w:w="1224" w:type="dxa"/>
            <w:noWrap w:val="0"/>
            <w:vAlign w:val="center"/>
          </w:tcPr>
          <w:p w14:paraId="6878C53E">
            <w:pPr>
              <w:spacing w:line="300" w:lineRule="exact"/>
              <w:jc w:val="both"/>
              <w:rPr>
                <w:rFonts w:hint="eastAsia" w:ascii="仿宋_GB2312"/>
                <w:sz w:val="21"/>
                <w:szCs w:val="21"/>
              </w:rPr>
            </w:pPr>
          </w:p>
        </w:tc>
      </w:tr>
      <w:tr w14:paraId="303B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06A1139F">
            <w:pPr>
              <w:spacing w:line="300" w:lineRule="exact"/>
              <w:jc w:val="center"/>
              <w:rPr>
                <w:rFonts w:ascii="仿宋_GB2312"/>
                <w:sz w:val="21"/>
                <w:szCs w:val="21"/>
              </w:rPr>
            </w:pPr>
            <w:r>
              <w:rPr>
                <w:rFonts w:hint="eastAsia" w:ascii="仿宋_GB2312"/>
                <w:sz w:val="21"/>
                <w:szCs w:val="21"/>
              </w:rPr>
              <w:t>13</w:t>
            </w:r>
          </w:p>
        </w:tc>
        <w:tc>
          <w:tcPr>
            <w:tcW w:w="4670" w:type="dxa"/>
            <w:noWrap w:val="0"/>
            <w:vAlign w:val="center"/>
          </w:tcPr>
          <w:p w14:paraId="310DF512">
            <w:pPr>
              <w:spacing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煤矿应当根据本单位的水害情况，配备满足工作需要的防治水专业技术人员，配齐专用的探放水设备，建立专门的探放水作业队伍，储备必要的水害抢险救灾设备和物资。</w:t>
            </w:r>
          </w:p>
          <w:p w14:paraId="59E50752">
            <w:pPr>
              <w:spacing w:line="280" w:lineRule="exact"/>
              <w:jc w:val="both"/>
              <w:rPr>
                <w:rFonts w:hint="eastAsia" w:ascii="宋体" w:hAnsi="宋体" w:eastAsia="宋体" w:cs="宋体"/>
                <w:color w:val="000000"/>
                <w:kern w:val="0"/>
                <w:sz w:val="21"/>
                <w:szCs w:val="21"/>
              </w:rPr>
            </w:pPr>
            <w:r>
              <w:rPr>
                <w:rFonts w:hint="eastAsia" w:ascii="宋体" w:hAnsi="宋体" w:eastAsia="宋体" w:cs="宋体"/>
                <w:color w:val="000000"/>
                <w:sz w:val="21"/>
                <w:szCs w:val="21"/>
              </w:rPr>
              <w:t>水文地质类型复杂、极复杂的煤矿，还应当设立专门的防治水机构、配备防治水副总工程师。</w:t>
            </w:r>
          </w:p>
        </w:tc>
        <w:tc>
          <w:tcPr>
            <w:tcW w:w="3448" w:type="dxa"/>
            <w:noWrap w:val="0"/>
            <w:vAlign w:val="center"/>
          </w:tcPr>
          <w:p w14:paraId="69FCD436">
            <w:pPr>
              <w:spacing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《煤矿防治水细则》第五条；《煤矿重大事故隐患判定标准》解读第九条第二项</w:t>
            </w:r>
            <w:r>
              <w:rPr>
                <w:rFonts w:hint="eastAsia" w:ascii="宋体" w:hAnsi="宋体" w:eastAsia="宋体" w:cs="宋体"/>
                <w:color w:val="000000"/>
                <w:sz w:val="21"/>
                <w:szCs w:val="21"/>
                <w:lang w:eastAsia="zh-CN"/>
              </w:rPr>
              <w:t>。</w:t>
            </w:r>
          </w:p>
        </w:tc>
        <w:tc>
          <w:tcPr>
            <w:tcW w:w="2497" w:type="dxa"/>
            <w:noWrap w:val="0"/>
            <w:vAlign w:val="center"/>
          </w:tcPr>
          <w:p w14:paraId="59774DAB">
            <w:pPr>
              <w:spacing w:line="300" w:lineRule="exact"/>
              <w:jc w:val="both"/>
              <w:rPr>
                <w:rFonts w:hint="eastAsia" w:ascii="宋体" w:hAnsi="宋体" w:eastAsia="宋体" w:cs="宋体"/>
                <w:color w:val="000000"/>
                <w:sz w:val="21"/>
                <w:szCs w:val="21"/>
              </w:rPr>
            </w:pPr>
          </w:p>
        </w:tc>
        <w:tc>
          <w:tcPr>
            <w:tcW w:w="1926" w:type="dxa"/>
            <w:noWrap w:val="0"/>
            <w:vAlign w:val="center"/>
          </w:tcPr>
          <w:p w14:paraId="1C0084BF">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《国务院关于预防煤矿生产安全事故的特别规定》第八条第六项，第十五项，第十条第一款，第十一条第一款；《中华人民共和国安全生产法》第九十七条第七项、第一百零二条</w:t>
            </w:r>
            <w:r>
              <w:rPr>
                <w:rFonts w:hint="eastAsia" w:ascii="宋体" w:hAnsi="宋体" w:eastAsia="宋体" w:cs="宋体"/>
                <w:color w:val="000000"/>
                <w:sz w:val="21"/>
                <w:szCs w:val="21"/>
                <w:lang w:eastAsia="zh-CN"/>
              </w:rPr>
              <w:t>。</w:t>
            </w:r>
          </w:p>
        </w:tc>
        <w:tc>
          <w:tcPr>
            <w:tcW w:w="1224" w:type="dxa"/>
            <w:noWrap w:val="0"/>
            <w:vAlign w:val="center"/>
          </w:tcPr>
          <w:p w14:paraId="4025D5D1">
            <w:pPr>
              <w:spacing w:line="300" w:lineRule="exact"/>
              <w:jc w:val="both"/>
              <w:rPr>
                <w:rFonts w:hint="eastAsia" w:ascii="宋体" w:hAnsi="宋体" w:eastAsia="宋体" w:cs="宋体"/>
                <w:sz w:val="21"/>
                <w:szCs w:val="21"/>
              </w:rPr>
            </w:pPr>
          </w:p>
        </w:tc>
      </w:tr>
      <w:tr w14:paraId="3800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39E4F365">
            <w:pPr>
              <w:spacing w:line="300" w:lineRule="exact"/>
              <w:jc w:val="center"/>
              <w:rPr>
                <w:rFonts w:ascii="仿宋_GB2312"/>
                <w:sz w:val="21"/>
                <w:szCs w:val="21"/>
              </w:rPr>
            </w:pPr>
            <w:r>
              <w:rPr>
                <w:rFonts w:hint="eastAsia" w:ascii="仿宋_GB2312"/>
                <w:sz w:val="21"/>
                <w:szCs w:val="21"/>
              </w:rPr>
              <w:t>14</w:t>
            </w:r>
          </w:p>
        </w:tc>
        <w:tc>
          <w:tcPr>
            <w:tcW w:w="4670" w:type="dxa"/>
            <w:noWrap w:val="0"/>
            <w:vAlign w:val="center"/>
          </w:tcPr>
          <w:p w14:paraId="04F53AA0">
            <w:pPr>
              <w:spacing w:line="280" w:lineRule="exact"/>
              <w:ind w:firstLine="210" w:firstLineChars="1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地面无法查明水文地质条件时，应当在采掘前采用物探、钻探或者化探等方法查清采掘工作面及其周围的水文地质条件。严格执行井下探放水“三专”要求。由专业技术人员编制探放水设计，采用专用钻机进行探放水，由专职探放水队伍施工。严禁使用非专用钻机探放水。严禁使用煤电钻探放水。</w:t>
            </w:r>
          </w:p>
        </w:tc>
        <w:tc>
          <w:tcPr>
            <w:tcW w:w="3448" w:type="dxa"/>
            <w:noWrap w:val="0"/>
            <w:vAlign w:val="center"/>
          </w:tcPr>
          <w:p w14:paraId="39C2A53D">
            <w:pPr>
              <w:spacing w:line="280" w:lineRule="exact"/>
              <w:jc w:val="both"/>
              <w:rPr>
                <w:rFonts w:hint="eastAsia" w:ascii="宋体" w:hAnsi="宋体" w:eastAsia="宋体" w:cs="宋体"/>
                <w:color w:val="000000"/>
                <w:w w:val="80"/>
                <w:sz w:val="21"/>
                <w:szCs w:val="21"/>
              </w:rPr>
            </w:pPr>
            <w:r>
              <w:rPr>
                <w:rFonts w:hint="eastAsia" w:ascii="宋体" w:hAnsi="宋体" w:eastAsia="宋体" w:cs="宋体"/>
                <w:color w:val="000000"/>
                <w:kern w:val="0"/>
                <w:sz w:val="21"/>
                <w:szCs w:val="21"/>
              </w:rPr>
              <w:t>《煤矿安全规程》第三百一十七条第一款；《煤矿重大事故隐患判定标准》解读第九条第三项；</w:t>
            </w:r>
            <w:r>
              <w:rPr>
                <w:rFonts w:hint="eastAsia" w:ascii="宋体" w:hAnsi="宋体" w:eastAsia="宋体" w:cs="宋体"/>
                <w:color w:val="000000"/>
                <w:sz w:val="21"/>
                <w:szCs w:val="21"/>
              </w:rPr>
              <w:t>《煤矿防治水细则》第三十九条第一款</w:t>
            </w:r>
            <w:r>
              <w:rPr>
                <w:rFonts w:hint="eastAsia" w:ascii="宋体" w:hAnsi="宋体" w:eastAsia="宋体" w:cs="宋体"/>
                <w:color w:val="000000"/>
                <w:sz w:val="21"/>
                <w:szCs w:val="21"/>
                <w:lang w:eastAsia="zh-CN"/>
              </w:rPr>
              <w:t>。</w:t>
            </w:r>
          </w:p>
        </w:tc>
        <w:tc>
          <w:tcPr>
            <w:tcW w:w="2497" w:type="dxa"/>
            <w:noWrap w:val="0"/>
            <w:vAlign w:val="center"/>
          </w:tcPr>
          <w:p w14:paraId="553AA3CE">
            <w:pPr>
              <w:spacing w:line="300" w:lineRule="exact"/>
              <w:jc w:val="both"/>
              <w:rPr>
                <w:rFonts w:hint="eastAsia" w:ascii="宋体" w:hAnsi="宋体" w:eastAsia="宋体" w:cs="宋体"/>
                <w:color w:val="000000"/>
                <w:sz w:val="21"/>
                <w:szCs w:val="21"/>
              </w:rPr>
            </w:pPr>
          </w:p>
        </w:tc>
        <w:tc>
          <w:tcPr>
            <w:tcW w:w="1926" w:type="dxa"/>
            <w:noWrap w:val="0"/>
            <w:vAlign w:val="center"/>
          </w:tcPr>
          <w:p w14:paraId="1CBD06FB">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《安全生产违法行为行政处罚办法》第四十五条第一项</w:t>
            </w:r>
            <w:r>
              <w:rPr>
                <w:rFonts w:hint="eastAsia" w:ascii="宋体" w:hAnsi="宋体" w:eastAsia="宋体" w:cs="宋体"/>
                <w:color w:val="000000"/>
                <w:sz w:val="21"/>
                <w:szCs w:val="21"/>
                <w:lang w:eastAsia="zh-CN"/>
              </w:rPr>
              <w:t>。</w:t>
            </w:r>
          </w:p>
        </w:tc>
        <w:tc>
          <w:tcPr>
            <w:tcW w:w="1224" w:type="dxa"/>
            <w:noWrap w:val="0"/>
            <w:vAlign w:val="center"/>
          </w:tcPr>
          <w:p w14:paraId="600F0114">
            <w:pPr>
              <w:spacing w:line="300" w:lineRule="exact"/>
              <w:jc w:val="both"/>
              <w:rPr>
                <w:rFonts w:hint="eastAsia" w:ascii="宋体" w:hAnsi="宋体" w:eastAsia="宋体" w:cs="宋体"/>
                <w:sz w:val="21"/>
                <w:szCs w:val="21"/>
              </w:rPr>
            </w:pPr>
          </w:p>
        </w:tc>
      </w:tr>
      <w:tr w14:paraId="29A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67CE8975">
            <w:pPr>
              <w:spacing w:line="300" w:lineRule="exact"/>
              <w:jc w:val="center"/>
              <w:rPr>
                <w:rFonts w:ascii="仿宋_GB2312"/>
                <w:sz w:val="21"/>
                <w:szCs w:val="21"/>
              </w:rPr>
            </w:pPr>
            <w:r>
              <w:rPr>
                <w:rFonts w:hint="eastAsia" w:ascii="仿宋_GB2312"/>
                <w:sz w:val="21"/>
                <w:szCs w:val="21"/>
              </w:rPr>
              <w:t>15</w:t>
            </w:r>
          </w:p>
        </w:tc>
        <w:tc>
          <w:tcPr>
            <w:tcW w:w="4670" w:type="dxa"/>
            <w:noWrap w:val="0"/>
            <w:vAlign w:val="center"/>
          </w:tcPr>
          <w:p w14:paraId="55B674A3">
            <w:pPr>
              <w:spacing w:line="280" w:lineRule="exact"/>
              <w:ind w:firstLine="210" w:firstLineChars="1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掘工作面接近水淹或者可能积水的井巷、老空区或者相邻煤矿；接近含水层、导水断层、溶洞和导水陷落柱；打开隔离煤柱放水；接近可能与河流、湖泊、水库、蓄水池、水井等相通的导水通道；接近有出水可能的钻孔；接近水文地质条件不清的区域；接近有积水的灌浆区；接近其他可能突(透)水的区域应当进行探放水。</w:t>
            </w:r>
          </w:p>
          <w:p w14:paraId="6B343720">
            <w:pPr>
              <w:spacing w:line="28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严禁采掘工作面边探放水边进行采掘活动。</w:t>
            </w:r>
          </w:p>
        </w:tc>
        <w:tc>
          <w:tcPr>
            <w:tcW w:w="3448" w:type="dxa"/>
            <w:noWrap w:val="0"/>
            <w:vAlign w:val="center"/>
          </w:tcPr>
          <w:p w14:paraId="248773F6">
            <w:pPr>
              <w:spacing w:line="280" w:lineRule="exact"/>
              <w:jc w:val="both"/>
              <w:rPr>
                <w:rFonts w:hint="eastAsia" w:ascii="宋体" w:hAnsi="宋体" w:eastAsia="宋体" w:cs="宋体"/>
                <w:color w:val="000000"/>
                <w:w w:val="80"/>
                <w:sz w:val="21"/>
                <w:szCs w:val="21"/>
              </w:rPr>
            </w:pPr>
            <w:r>
              <w:rPr>
                <w:rFonts w:hint="eastAsia" w:ascii="宋体" w:hAnsi="宋体" w:eastAsia="宋体" w:cs="宋体"/>
                <w:color w:val="000000"/>
                <w:sz w:val="21"/>
                <w:szCs w:val="21"/>
              </w:rPr>
              <w:t>《煤矿安全规程》第三百一十七条第二款；《煤矿重大事故隐患判定标准》解读第九条第三项</w:t>
            </w:r>
            <w:r>
              <w:rPr>
                <w:rFonts w:hint="eastAsia" w:ascii="宋体" w:hAnsi="宋体" w:eastAsia="宋体" w:cs="宋体"/>
                <w:color w:val="000000"/>
                <w:sz w:val="21"/>
                <w:szCs w:val="21"/>
                <w:lang w:eastAsia="zh-CN"/>
              </w:rPr>
              <w:t>。</w:t>
            </w:r>
          </w:p>
        </w:tc>
        <w:tc>
          <w:tcPr>
            <w:tcW w:w="2497" w:type="dxa"/>
            <w:noWrap w:val="0"/>
            <w:vAlign w:val="center"/>
          </w:tcPr>
          <w:p w14:paraId="3585E481">
            <w:pPr>
              <w:spacing w:line="300" w:lineRule="exact"/>
              <w:jc w:val="both"/>
              <w:rPr>
                <w:rFonts w:hint="eastAsia" w:ascii="宋体" w:hAnsi="宋体" w:eastAsia="宋体" w:cs="宋体"/>
                <w:color w:val="000000"/>
                <w:sz w:val="21"/>
                <w:szCs w:val="21"/>
              </w:rPr>
            </w:pPr>
          </w:p>
        </w:tc>
        <w:tc>
          <w:tcPr>
            <w:tcW w:w="1926" w:type="dxa"/>
            <w:noWrap w:val="0"/>
            <w:vAlign w:val="center"/>
          </w:tcPr>
          <w:p w14:paraId="72B6EFB6">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《安全生产违法行为行政处罚办法》第四十五条第一项</w:t>
            </w:r>
            <w:r>
              <w:rPr>
                <w:rFonts w:hint="eastAsia" w:ascii="宋体" w:hAnsi="宋体" w:eastAsia="宋体" w:cs="宋体"/>
                <w:color w:val="000000"/>
                <w:sz w:val="21"/>
                <w:szCs w:val="21"/>
                <w:lang w:eastAsia="zh-CN"/>
              </w:rPr>
              <w:t>。</w:t>
            </w:r>
          </w:p>
        </w:tc>
        <w:tc>
          <w:tcPr>
            <w:tcW w:w="1224" w:type="dxa"/>
            <w:noWrap w:val="0"/>
            <w:vAlign w:val="center"/>
          </w:tcPr>
          <w:p w14:paraId="7D0A23A6">
            <w:pPr>
              <w:spacing w:line="300" w:lineRule="exact"/>
              <w:jc w:val="both"/>
              <w:rPr>
                <w:rFonts w:hint="eastAsia" w:ascii="宋体" w:hAnsi="宋体" w:eastAsia="宋体" w:cs="宋体"/>
                <w:sz w:val="21"/>
                <w:szCs w:val="21"/>
              </w:rPr>
            </w:pPr>
          </w:p>
        </w:tc>
      </w:tr>
      <w:tr w14:paraId="372E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6006D078">
            <w:pPr>
              <w:spacing w:line="300" w:lineRule="exact"/>
              <w:jc w:val="center"/>
              <w:rPr>
                <w:rFonts w:hint="eastAsia" w:ascii="仿宋_GB2312"/>
                <w:sz w:val="21"/>
                <w:szCs w:val="21"/>
              </w:rPr>
            </w:pPr>
            <w:r>
              <w:rPr>
                <w:rFonts w:hint="eastAsia" w:ascii="仿宋_GB2312"/>
                <w:sz w:val="21"/>
                <w:szCs w:val="21"/>
              </w:rPr>
              <w:t>16</w:t>
            </w:r>
          </w:p>
        </w:tc>
        <w:tc>
          <w:tcPr>
            <w:tcW w:w="4670" w:type="dxa"/>
            <w:noWrap w:val="0"/>
            <w:vAlign w:val="center"/>
          </w:tcPr>
          <w:p w14:paraId="1EB22777">
            <w:pPr>
              <w:spacing w:line="280" w:lineRule="exact"/>
              <w:ind w:firstLine="210" w:firstLineChars="100"/>
              <w:jc w:val="both"/>
              <w:rPr>
                <w:rFonts w:hint="eastAsia" w:ascii="宋体" w:hAnsi="宋体" w:eastAsia="宋体" w:cs="宋体"/>
                <w:color w:val="000000"/>
                <w:kern w:val="0"/>
                <w:sz w:val="21"/>
                <w:szCs w:val="21"/>
              </w:rPr>
            </w:pPr>
            <w:r>
              <w:rPr>
                <w:rFonts w:hint="eastAsia" w:ascii="宋体" w:hAnsi="宋体" w:eastAsia="宋体" w:cs="宋体"/>
                <w:color w:val="000000"/>
                <w:sz w:val="21"/>
                <w:szCs w:val="21"/>
              </w:rPr>
              <w:t>矿井必须有完整、可靠的独立通风系统，生产水平和采区必须实现分区通风，</w:t>
            </w:r>
            <w:r>
              <w:rPr>
                <w:rFonts w:hint="eastAsia" w:ascii="宋体" w:hAnsi="宋体" w:eastAsia="宋体" w:cs="宋体"/>
                <w:color w:val="000000"/>
                <w:kern w:val="0"/>
                <w:sz w:val="21"/>
                <w:szCs w:val="21"/>
              </w:rPr>
              <w:t>采区回风应直接进入主要回风巷或总回风巷。</w:t>
            </w:r>
            <w:r>
              <w:rPr>
                <w:rFonts w:hint="eastAsia" w:ascii="宋体" w:hAnsi="宋体" w:eastAsia="宋体" w:cs="宋体"/>
                <w:color w:val="000000"/>
                <w:sz w:val="21"/>
                <w:szCs w:val="21"/>
              </w:rPr>
              <w:t>矿井每年安排采掘作业计划时核定矿井生产和通风能力，严禁超通风能力生产。</w:t>
            </w:r>
          </w:p>
        </w:tc>
        <w:tc>
          <w:tcPr>
            <w:tcW w:w="3448" w:type="dxa"/>
            <w:noWrap w:val="0"/>
            <w:vAlign w:val="center"/>
          </w:tcPr>
          <w:p w14:paraId="409FB510">
            <w:pPr>
              <w:spacing w:line="280" w:lineRule="exact"/>
              <w:jc w:val="both"/>
              <w:rPr>
                <w:rFonts w:hint="eastAsia" w:ascii="宋体" w:hAnsi="宋体" w:eastAsia="宋体" w:cs="宋体"/>
                <w:color w:val="000000"/>
                <w:w w:val="80"/>
                <w:sz w:val="21"/>
                <w:szCs w:val="21"/>
              </w:rPr>
            </w:pPr>
            <w:r>
              <w:rPr>
                <w:rFonts w:hint="eastAsia" w:ascii="宋体" w:hAnsi="宋体" w:eastAsia="宋体" w:cs="宋体"/>
                <w:color w:val="000000"/>
                <w:sz w:val="21"/>
                <w:szCs w:val="21"/>
              </w:rPr>
              <w:t>《煤矿安全规程》第一百四十二条、一百四十九条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第一百三十八条、一百三十九条。</w:t>
            </w:r>
          </w:p>
        </w:tc>
        <w:tc>
          <w:tcPr>
            <w:tcW w:w="2497" w:type="dxa"/>
            <w:noWrap w:val="0"/>
            <w:vAlign w:val="center"/>
          </w:tcPr>
          <w:p w14:paraId="45948329">
            <w:pPr>
              <w:spacing w:line="300" w:lineRule="exact"/>
              <w:jc w:val="both"/>
              <w:rPr>
                <w:rFonts w:hint="eastAsia" w:ascii="宋体" w:hAnsi="宋体" w:eastAsia="宋体" w:cs="宋体"/>
                <w:color w:val="000000"/>
                <w:sz w:val="21"/>
                <w:szCs w:val="21"/>
              </w:rPr>
            </w:pPr>
          </w:p>
        </w:tc>
        <w:tc>
          <w:tcPr>
            <w:tcW w:w="1926" w:type="dxa"/>
            <w:noWrap w:val="0"/>
            <w:vAlign w:val="center"/>
          </w:tcPr>
          <w:p w14:paraId="6E0AA0CB">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《国务院关于预防煤矿生产安全事故的特别规定》第十条第一款，第十一条</w:t>
            </w:r>
            <w:r>
              <w:rPr>
                <w:rFonts w:hint="eastAsia" w:ascii="宋体" w:hAnsi="宋体" w:eastAsia="宋体" w:cs="宋体"/>
                <w:color w:val="000000"/>
                <w:sz w:val="21"/>
                <w:szCs w:val="21"/>
                <w:lang w:eastAsia="zh-CN"/>
              </w:rPr>
              <w:t>。</w:t>
            </w:r>
          </w:p>
        </w:tc>
        <w:tc>
          <w:tcPr>
            <w:tcW w:w="1224" w:type="dxa"/>
            <w:noWrap w:val="0"/>
            <w:vAlign w:val="center"/>
          </w:tcPr>
          <w:p w14:paraId="007DD54D">
            <w:pPr>
              <w:spacing w:line="300" w:lineRule="exact"/>
              <w:jc w:val="both"/>
              <w:rPr>
                <w:rFonts w:hint="eastAsia" w:ascii="宋体" w:hAnsi="宋体" w:eastAsia="宋体" w:cs="宋体"/>
                <w:sz w:val="21"/>
                <w:szCs w:val="21"/>
              </w:rPr>
            </w:pPr>
          </w:p>
        </w:tc>
      </w:tr>
      <w:tr w14:paraId="6E87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16473255">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17</w:t>
            </w:r>
          </w:p>
        </w:tc>
        <w:tc>
          <w:tcPr>
            <w:tcW w:w="4670" w:type="dxa"/>
            <w:noWrap w:val="0"/>
            <w:vAlign w:val="center"/>
          </w:tcPr>
          <w:p w14:paraId="6A7ACD2B">
            <w:pPr>
              <w:spacing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高瓦斯矿井、突出矿井的每个采（盘）区和开采容易自燃煤层的、低瓦斯矿井开采煤层群的和分层开采采用联合布置的采（盘）区，必须至少布置1条专用回风巷。</w:t>
            </w:r>
          </w:p>
        </w:tc>
        <w:tc>
          <w:tcPr>
            <w:tcW w:w="3448" w:type="dxa"/>
            <w:noWrap w:val="0"/>
            <w:vAlign w:val="center"/>
          </w:tcPr>
          <w:p w14:paraId="63DF6464">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《煤矿安全规程》第一百四十九条。</w:t>
            </w:r>
          </w:p>
        </w:tc>
        <w:tc>
          <w:tcPr>
            <w:tcW w:w="2497" w:type="dxa"/>
            <w:noWrap w:val="0"/>
            <w:vAlign w:val="center"/>
          </w:tcPr>
          <w:p w14:paraId="50C41C89">
            <w:pPr>
              <w:spacing w:line="300" w:lineRule="exact"/>
              <w:jc w:val="both"/>
              <w:rPr>
                <w:rFonts w:hint="eastAsia" w:ascii="宋体" w:hAnsi="宋体" w:eastAsia="宋体" w:cs="宋体"/>
                <w:color w:val="000000"/>
                <w:sz w:val="21"/>
                <w:szCs w:val="21"/>
              </w:rPr>
            </w:pPr>
          </w:p>
        </w:tc>
        <w:tc>
          <w:tcPr>
            <w:tcW w:w="1926" w:type="dxa"/>
            <w:noWrap w:val="0"/>
            <w:vAlign w:val="center"/>
          </w:tcPr>
          <w:p w14:paraId="73951EFA">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《国务院关于预防煤矿生产安全事故的特别规定》第八条第二款第五项。</w:t>
            </w:r>
          </w:p>
          <w:p w14:paraId="56FAA388">
            <w:pPr>
              <w:spacing w:line="300" w:lineRule="exact"/>
              <w:jc w:val="both"/>
              <w:rPr>
                <w:rFonts w:hint="eastAsia" w:ascii="宋体" w:hAnsi="宋体" w:eastAsia="宋体" w:cs="宋体"/>
                <w:color w:val="000000"/>
                <w:sz w:val="21"/>
                <w:szCs w:val="21"/>
              </w:rPr>
            </w:pPr>
          </w:p>
        </w:tc>
        <w:tc>
          <w:tcPr>
            <w:tcW w:w="1224" w:type="dxa"/>
            <w:noWrap w:val="0"/>
            <w:vAlign w:val="center"/>
          </w:tcPr>
          <w:p w14:paraId="605A02D2">
            <w:pPr>
              <w:spacing w:line="300" w:lineRule="exact"/>
              <w:jc w:val="both"/>
              <w:rPr>
                <w:rFonts w:hint="eastAsia" w:ascii="宋体" w:hAnsi="宋体" w:eastAsia="宋体" w:cs="宋体"/>
                <w:color w:val="0000FF"/>
                <w:sz w:val="21"/>
                <w:szCs w:val="21"/>
              </w:rPr>
            </w:pPr>
          </w:p>
        </w:tc>
      </w:tr>
      <w:tr w14:paraId="1A07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13C469FC">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18</w:t>
            </w:r>
          </w:p>
        </w:tc>
        <w:tc>
          <w:tcPr>
            <w:tcW w:w="4670" w:type="dxa"/>
            <w:noWrap w:val="0"/>
            <w:vAlign w:val="center"/>
          </w:tcPr>
          <w:p w14:paraId="4259671C">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rPr>
              <w:t>采区进风、回风巷必须贯穿整个采区，严禁利用通风设施隔断巷道，形成一段进风、一段回风的通风系统；准备采区，必须在采区构成通风系统后，方可开掘其他巷道；下山采区未形成完整的通风、排水等生产系统前，严禁掘进回采巷道；采煤工作面必须在采区构成完整的通风、排水系统后，方可回采；准备采区时，突出煤层掘进巷道的回风不得经过有人作业的其他采区回风巷，不得切断其它通风巷道或工作面回风。</w:t>
            </w:r>
          </w:p>
        </w:tc>
        <w:tc>
          <w:tcPr>
            <w:tcW w:w="3448" w:type="dxa"/>
            <w:noWrap w:val="0"/>
            <w:vAlign w:val="center"/>
          </w:tcPr>
          <w:p w14:paraId="07537AE8">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rPr>
              <w:t>《煤矿安全规程》第九十五条、第一百四十九条；《防治煤与瓦斯突出细则》第三十一条第二项。</w:t>
            </w:r>
          </w:p>
        </w:tc>
        <w:tc>
          <w:tcPr>
            <w:tcW w:w="2497" w:type="dxa"/>
            <w:noWrap w:val="0"/>
            <w:vAlign w:val="center"/>
          </w:tcPr>
          <w:p w14:paraId="7C8C4719">
            <w:pPr>
              <w:spacing w:line="300" w:lineRule="exact"/>
              <w:jc w:val="both"/>
              <w:rPr>
                <w:rFonts w:hint="eastAsia" w:ascii="宋体" w:hAnsi="宋体" w:eastAsia="宋体" w:cs="宋体"/>
                <w:color w:val="000000"/>
                <w:sz w:val="21"/>
                <w:szCs w:val="21"/>
              </w:rPr>
            </w:pPr>
          </w:p>
        </w:tc>
        <w:tc>
          <w:tcPr>
            <w:tcW w:w="1926" w:type="dxa"/>
            <w:noWrap w:val="0"/>
            <w:vAlign w:val="center"/>
          </w:tcPr>
          <w:p w14:paraId="2513DB2D">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《国务院关于预防煤矿生产安全事故的特别规定》第十条第一款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第十一条；《煤矿企业安全生产许可证实施办法》第三十八条</w:t>
            </w:r>
            <w:r>
              <w:rPr>
                <w:rFonts w:hint="eastAsia" w:ascii="宋体" w:hAnsi="宋体" w:eastAsia="宋体" w:cs="宋体"/>
                <w:color w:val="000000"/>
                <w:sz w:val="21"/>
                <w:szCs w:val="21"/>
                <w:lang w:eastAsia="zh-CN"/>
              </w:rPr>
              <w:t>。</w:t>
            </w:r>
          </w:p>
        </w:tc>
        <w:tc>
          <w:tcPr>
            <w:tcW w:w="1224" w:type="dxa"/>
            <w:noWrap w:val="0"/>
            <w:vAlign w:val="center"/>
          </w:tcPr>
          <w:p w14:paraId="11074A32">
            <w:pPr>
              <w:spacing w:line="300" w:lineRule="exact"/>
              <w:jc w:val="both"/>
              <w:rPr>
                <w:rFonts w:hint="eastAsia" w:ascii="宋体" w:hAnsi="宋体" w:eastAsia="宋体" w:cs="宋体"/>
                <w:sz w:val="21"/>
                <w:szCs w:val="21"/>
              </w:rPr>
            </w:pPr>
          </w:p>
        </w:tc>
      </w:tr>
      <w:tr w14:paraId="5A73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2D97EF77">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19</w:t>
            </w:r>
          </w:p>
        </w:tc>
        <w:tc>
          <w:tcPr>
            <w:tcW w:w="4670" w:type="dxa"/>
            <w:noWrap w:val="0"/>
            <w:vAlign w:val="center"/>
          </w:tcPr>
          <w:p w14:paraId="424FFE61">
            <w:pPr>
              <w:spacing w:line="280" w:lineRule="exact"/>
              <w:ind w:firstLine="210" w:firstLineChars="1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矿井应当按规定测定瓦斯参数，突出煤层应当测定煤层原始瓦斯压力、瓦斯含量、煤的坚固性系数、煤的破坏类型、瓦斯放散初速度、原始煤层可解析瓦斯量和不可解析量、煤层透气性系数、各种在用孔径钻孔的排放半径和抽采半径等参数。</w:t>
            </w:r>
          </w:p>
        </w:tc>
        <w:tc>
          <w:tcPr>
            <w:tcW w:w="3448" w:type="dxa"/>
            <w:noWrap w:val="0"/>
            <w:vAlign w:val="center"/>
          </w:tcPr>
          <w:p w14:paraId="00FCD379">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《瓦斯抽采基本指标》第6.2，《防治煤与瓦斯突出细则》第二十六条第一款。</w:t>
            </w:r>
          </w:p>
        </w:tc>
        <w:tc>
          <w:tcPr>
            <w:tcW w:w="2497" w:type="dxa"/>
            <w:noWrap w:val="0"/>
            <w:vAlign w:val="center"/>
          </w:tcPr>
          <w:p w14:paraId="2A12065E">
            <w:pPr>
              <w:spacing w:line="300" w:lineRule="exact"/>
              <w:jc w:val="both"/>
              <w:rPr>
                <w:rFonts w:hint="eastAsia" w:ascii="宋体" w:hAnsi="宋体" w:eastAsia="宋体" w:cs="宋体"/>
                <w:color w:val="000000"/>
                <w:sz w:val="21"/>
                <w:szCs w:val="21"/>
              </w:rPr>
            </w:pPr>
          </w:p>
        </w:tc>
        <w:tc>
          <w:tcPr>
            <w:tcW w:w="1926" w:type="dxa"/>
            <w:noWrap w:val="0"/>
            <w:vAlign w:val="center"/>
          </w:tcPr>
          <w:p w14:paraId="19F3355E">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《安全生产违法行为行政处罚办法》第四十五条第一项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tc>
        <w:tc>
          <w:tcPr>
            <w:tcW w:w="1224" w:type="dxa"/>
            <w:noWrap w:val="0"/>
            <w:vAlign w:val="center"/>
          </w:tcPr>
          <w:p w14:paraId="497A4FEC">
            <w:pPr>
              <w:spacing w:line="300" w:lineRule="exact"/>
              <w:jc w:val="both"/>
              <w:rPr>
                <w:rFonts w:hint="eastAsia" w:ascii="宋体" w:hAnsi="宋体" w:eastAsia="宋体" w:cs="宋体"/>
                <w:sz w:val="21"/>
                <w:szCs w:val="21"/>
              </w:rPr>
            </w:pPr>
          </w:p>
        </w:tc>
      </w:tr>
      <w:tr w14:paraId="10E7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723" w:type="dxa"/>
            <w:noWrap w:val="0"/>
            <w:vAlign w:val="center"/>
          </w:tcPr>
          <w:p w14:paraId="05EDE178">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20</w:t>
            </w:r>
          </w:p>
        </w:tc>
        <w:tc>
          <w:tcPr>
            <w:tcW w:w="4670" w:type="dxa"/>
            <w:noWrap w:val="0"/>
            <w:vAlign w:val="center"/>
          </w:tcPr>
          <w:p w14:paraId="14761377">
            <w:pPr>
              <w:spacing w:line="280" w:lineRule="exact"/>
              <w:ind w:firstLine="210" w:firstLineChars="1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瓦斯抽采工程必须严格按设计施工，并应进行验收，瓦斯抽采工程竣工图及其他竣工验收资料内容符合规定，并由相关责任人签字。瓦斯抽采工程竣工资料（图）除应有与设计对应的内容外，还应包括各工程开工时间、竣工时间以及工程施工过程中的异常现象（如喷孔、顶钻、卡钻等）等内容。</w:t>
            </w:r>
          </w:p>
        </w:tc>
        <w:tc>
          <w:tcPr>
            <w:tcW w:w="3448" w:type="dxa"/>
            <w:noWrap w:val="0"/>
            <w:vAlign w:val="center"/>
          </w:tcPr>
          <w:p w14:paraId="68AB16AD">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《煤矿瓦斯抽采达标暂行规定》第十九条。</w:t>
            </w:r>
          </w:p>
        </w:tc>
        <w:tc>
          <w:tcPr>
            <w:tcW w:w="2497" w:type="dxa"/>
            <w:noWrap w:val="0"/>
            <w:vAlign w:val="center"/>
          </w:tcPr>
          <w:p w14:paraId="66C499E8">
            <w:pPr>
              <w:spacing w:line="300" w:lineRule="exact"/>
              <w:jc w:val="both"/>
              <w:rPr>
                <w:rFonts w:hint="eastAsia" w:ascii="宋体" w:hAnsi="宋体" w:eastAsia="宋体" w:cs="宋体"/>
                <w:color w:val="000000"/>
                <w:sz w:val="21"/>
                <w:szCs w:val="21"/>
              </w:rPr>
            </w:pPr>
          </w:p>
        </w:tc>
        <w:tc>
          <w:tcPr>
            <w:tcW w:w="1926" w:type="dxa"/>
            <w:noWrap w:val="0"/>
            <w:vAlign w:val="center"/>
          </w:tcPr>
          <w:p w14:paraId="5B41F1C8">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《安全生产违法行为行政处罚办法》第四十五条</w:t>
            </w:r>
          </w:p>
        </w:tc>
        <w:tc>
          <w:tcPr>
            <w:tcW w:w="1224" w:type="dxa"/>
            <w:noWrap w:val="0"/>
            <w:vAlign w:val="center"/>
          </w:tcPr>
          <w:p w14:paraId="1BE0A257">
            <w:pPr>
              <w:spacing w:line="300" w:lineRule="exact"/>
              <w:jc w:val="both"/>
              <w:rPr>
                <w:rFonts w:hint="eastAsia" w:ascii="宋体" w:hAnsi="宋体" w:eastAsia="宋体" w:cs="宋体"/>
                <w:sz w:val="21"/>
                <w:szCs w:val="21"/>
              </w:rPr>
            </w:pPr>
          </w:p>
        </w:tc>
      </w:tr>
      <w:tr w14:paraId="5387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436C22C6">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4670" w:type="dxa"/>
            <w:noWrap w:val="0"/>
            <w:vAlign w:val="center"/>
          </w:tcPr>
          <w:p w14:paraId="0C855B7C">
            <w:pPr>
              <w:spacing w:line="280" w:lineRule="exact"/>
              <w:ind w:firstLine="210" w:firstLineChars="1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瓦斯抽采系统、瓦斯抽采规划、年度计划、瓦斯抽采达标工艺方案设计、抽采工程竣工验收资料、抽采计量测点设置等符合要求，否则判定为瓦斯抽采基础条件不达标；预抽煤层瓦斯效果评判应包括抽采钻孔有效控制范围界定、抽采钻孔布孔均匀程度评价、抽采瓦斯效果评判指标测定、抽采效果达标评判等内容。</w:t>
            </w:r>
          </w:p>
        </w:tc>
        <w:tc>
          <w:tcPr>
            <w:tcW w:w="3448" w:type="dxa"/>
            <w:noWrap w:val="0"/>
            <w:vAlign w:val="center"/>
          </w:tcPr>
          <w:p w14:paraId="39AB739B">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《煤矿瓦斯抽采达标暂行规定》（安监总煤装〔2011〕163号）第二十二条、第二十三条。</w:t>
            </w:r>
          </w:p>
        </w:tc>
        <w:tc>
          <w:tcPr>
            <w:tcW w:w="2497" w:type="dxa"/>
            <w:noWrap w:val="0"/>
            <w:vAlign w:val="center"/>
          </w:tcPr>
          <w:p w14:paraId="34D65746">
            <w:pPr>
              <w:spacing w:line="300" w:lineRule="exact"/>
              <w:jc w:val="both"/>
              <w:rPr>
                <w:rFonts w:hint="eastAsia" w:ascii="宋体" w:hAnsi="宋体" w:eastAsia="宋体" w:cs="宋体"/>
                <w:color w:val="000000"/>
                <w:sz w:val="21"/>
                <w:szCs w:val="21"/>
              </w:rPr>
            </w:pPr>
          </w:p>
        </w:tc>
        <w:tc>
          <w:tcPr>
            <w:tcW w:w="1926" w:type="dxa"/>
            <w:noWrap w:val="0"/>
            <w:vAlign w:val="center"/>
          </w:tcPr>
          <w:p w14:paraId="7A439035">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《安全生产违法行为行政处罚办法》第四十五条。</w:t>
            </w:r>
          </w:p>
        </w:tc>
        <w:tc>
          <w:tcPr>
            <w:tcW w:w="1224" w:type="dxa"/>
            <w:noWrap w:val="0"/>
            <w:vAlign w:val="center"/>
          </w:tcPr>
          <w:p w14:paraId="27AF9002">
            <w:pPr>
              <w:spacing w:line="300" w:lineRule="exact"/>
              <w:jc w:val="both"/>
              <w:rPr>
                <w:rFonts w:hint="eastAsia" w:ascii="宋体" w:hAnsi="宋体" w:eastAsia="宋体" w:cs="宋体"/>
                <w:sz w:val="21"/>
                <w:szCs w:val="21"/>
              </w:rPr>
            </w:pPr>
          </w:p>
        </w:tc>
      </w:tr>
      <w:tr w14:paraId="2798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4BE6E39B">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22</w:t>
            </w:r>
          </w:p>
        </w:tc>
        <w:tc>
          <w:tcPr>
            <w:tcW w:w="4670" w:type="dxa"/>
            <w:noWrap w:val="0"/>
            <w:vAlign w:val="center"/>
          </w:tcPr>
          <w:p w14:paraId="268994C6">
            <w:pPr>
              <w:spacing w:line="28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突出危险煤层的新建矿井或者突出矿井，开拓新水平的井巷第一次揭穿(开)厚度为0.3m及以上煤层时，必须测定煤层瓦斯压力及瓦斯含量等与突出危险性相关的参数。按非突出矿井设计的新建矿井在建井期间，所有平均厚度0.3m以上的煤层在首次揭煤时，应当测定瓦斯压力、瓦斯含量等参数。</w:t>
            </w:r>
          </w:p>
        </w:tc>
        <w:tc>
          <w:tcPr>
            <w:tcW w:w="3448" w:type="dxa"/>
            <w:noWrap w:val="0"/>
            <w:vAlign w:val="center"/>
          </w:tcPr>
          <w:p w14:paraId="69C3F8ED">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《煤矿安全规程》（原国家安全监管总局令第87号）第一百九十七条；《防治煤与瓦斯突出细则》（煤安监技装〔2019〕28号）第十七条。</w:t>
            </w:r>
          </w:p>
        </w:tc>
        <w:tc>
          <w:tcPr>
            <w:tcW w:w="2497" w:type="dxa"/>
            <w:noWrap w:val="0"/>
            <w:vAlign w:val="center"/>
          </w:tcPr>
          <w:p w14:paraId="3E1CDDCC">
            <w:pPr>
              <w:spacing w:line="300" w:lineRule="exact"/>
              <w:jc w:val="both"/>
              <w:rPr>
                <w:rFonts w:hint="eastAsia" w:ascii="宋体" w:hAnsi="宋体" w:eastAsia="宋体" w:cs="宋体"/>
                <w:color w:val="000000"/>
                <w:sz w:val="21"/>
                <w:szCs w:val="21"/>
              </w:rPr>
            </w:pPr>
          </w:p>
        </w:tc>
        <w:tc>
          <w:tcPr>
            <w:tcW w:w="1926" w:type="dxa"/>
            <w:noWrap w:val="0"/>
            <w:vAlign w:val="center"/>
          </w:tcPr>
          <w:p w14:paraId="324091FE">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《安全生产违法行为行政处罚办法》第四十五条第一项</w:t>
            </w:r>
            <w:r>
              <w:rPr>
                <w:rFonts w:hint="eastAsia" w:ascii="宋体" w:hAnsi="宋体" w:eastAsia="宋体" w:cs="宋体"/>
                <w:color w:val="000000"/>
                <w:sz w:val="21"/>
                <w:szCs w:val="21"/>
                <w:lang w:eastAsia="zh-CN"/>
              </w:rPr>
              <w:t>。</w:t>
            </w:r>
          </w:p>
        </w:tc>
        <w:tc>
          <w:tcPr>
            <w:tcW w:w="1224" w:type="dxa"/>
            <w:noWrap w:val="0"/>
            <w:vAlign w:val="center"/>
          </w:tcPr>
          <w:p w14:paraId="2F11D5AA">
            <w:pPr>
              <w:spacing w:line="300" w:lineRule="exact"/>
              <w:jc w:val="both"/>
              <w:rPr>
                <w:rFonts w:hint="eastAsia" w:ascii="宋体" w:hAnsi="宋体" w:eastAsia="宋体" w:cs="宋体"/>
                <w:sz w:val="21"/>
                <w:szCs w:val="21"/>
              </w:rPr>
            </w:pPr>
          </w:p>
        </w:tc>
      </w:tr>
      <w:tr w14:paraId="4A4F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635B4094">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c>
          <w:tcPr>
            <w:tcW w:w="4670" w:type="dxa"/>
            <w:noWrap w:val="0"/>
            <w:vAlign w:val="center"/>
          </w:tcPr>
          <w:p w14:paraId="732036C4">
            <w:pPr>
              <w:spacing w:line="280" w:lineRule="exact"/>
              <w:ind w:firstLine="210" w:firstLineChars="1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矿井开拓系统巷道布置满足矿井生产、安全和抗灾的要求；</w:t>
            </w:r>
            <w:r>
              <w:rPr>
                <w:rFonts w:hint="eastAsia" w:ascii="宋体" w:hAnsi="宋体" w:eastAsia="宋体" w:cs="宋体"/>
                <w:color w:val="000000"/>
                <w:sz w:val="21"/>
                <w:szCs w:val="21"/>
              </w:rPr>
              <w:t>矿井开拓、准备、回采煤量可采期必须符合有关标准规定。</w:t>
            </w:r>
          </w:p>
        </w:tc>
        <w:tc>
          <w:tcPr>
            <w:tcW w:w="3448" w:type="dxa"/>
            <w:noWrap w:val="0"/>
            <w:vAlign w:val="center"/>
          </w:tcPr>
          <w:p w14:paraId="44040997">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《煤矿重大生产安全事故隐患判定标准》第</w:t>
            </w: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条</w:t>
            </w:r>
            <w:r>
              <w:rPr>
                <w:rFonts w:hint="eastAsia" w:ascii="宋体" w:hAnsi="宋体" w:eastAsia="宋体" w:cs="宋体"/>
                <w:color w:val="000000"/>
                <w:sz w:val="21"/>
                <w:szCs w:val="21"/>
                <w:lang w:eastAsia="zh-CN"/>
              </w:rPr>
              <w:t>。</w:t>
            </w:r>
          </w:p>
        </w:tc>
        <w:tc>
          <w:tcPr>
            <w:tcW w:w="2497" w:type="dxa"/>
            <w:noWrap w:val="0"/>
            <w:vAlign w:val="center"/>
          </w:tcPr>
          <w:p w14:paraId="6C65C99C">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《煤炭工业矿井设计规范》（GB50215-2015）第3.3.1条；《煤矿建设项目安全设施设计审查和竣工验收规范》（AQ1055-2008）第4.2.4条</w:t>
            </w:r>
          </w:p>
        </w:tc>
        <w:tc>
          <w:tcPr>
            <w:tcW w:w="1926" w:type="dxa"/>
            <w:noWrap w:val="0"/>
            <w:vAlign w:val="center"/>
          </w:tcPr>
          <w:p w14:paraId="4E303729">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《国务院关于预防煤矿生产安全事故的特别规定》第十条第一款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第十一条</w:t>
            </w:r>
            <w:r>
              <w:rPr>
                <w:rFonts w:hint="eastAsia" w:ascii="宋体" w:hAnsi="宋体" w:eastAsia="宋体" w:cs="宋体"/>
                <w:color w:val="000000"/>
                <w:sz w:val="21"/>
                <w:szCs w:val="21"/>
                <w:lang w:eastAsia="zh-CN"/>
              </w:rPr>
              <w:t>。</w:t>
            </w:r>
          </w:p>
        </w:tc>
        <w:tc>
          <w:tcPr>
            <w:tcW w:w="1224" w:type="dxa"/>
            <w:noWrap w:val="0"/>
            <w:vAlign w:val="center"/>
          </w:tcPr>
          <w:p w14:paraId="670685C8">
            <w:pPr>
              <w:spacing w:line="300" w:lineRule="exact"/>
              <w:jc w:val="both"/>
              <w:rPr>
                <w:rFonts w:hint="eastAsia" w:ascii="宋体" w:hAnsi="宋体" w:eastAsia="宋体" w:cs="宋体"/>
                <w:sz w:val="21"/>
                <w:szCs w:val="21"/>
              </w:rPr>
            </w:pPr>
          </w:p>
        </w:tc>
      </w:tr>
      <w:tr w14:paraId="0E3F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3527B942">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4670" w:type="dxa"/>
            <w:noWrap w:val="0"/>
            <w:vAlign w:val="center"/>
          </w:tcPr>
          <w:p w14:paraId="6DEB7B36">
            <w:pPr>
              <w:spacing w:line="280" w:lineRule="exact"/>
              <w:ind w:firstLine="210" w:firstLineChars="1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个采（盘）区内同一煤层的一翼最多只能布置1个采煤工作面和2个煤（半煤岩）巷掘进工作面同时作业。一个采（盘）区内同一煤层双翼开采或者多煤层开采的，该采（盘）区最多只能布置2个采煤工作面和4个煤（半煤岩）巷掘进工作面同时作业。</w:t>
            </w:r>
          </w:p>
          <w:p w14:paraId="2FCC16D5">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rPr>
              <w:t>下山采区未形成完整的通风、排水等生产系统前，严禁掘进回采巷道。</w:t>
            </w:r>
          </w:p>
        </w:tc>
        <w:tc>
          <w:tcPr>
            <w:tcW w:w="3448" w:type="dxa"/>
            <w:noWrap w:val="0"/>
            <w:vAlign w:val="center"/>
          </w:tcPr>
          <w:p w14:paraId="7C41C3BB">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《煤矿安全规程》第</w:t>
            </w:r>
            <w:r>
              <w:rPr>
                <w:rFonts w:hint="eastAsia" w:ascii="宋体" w:hAnsi="宋体" w:eastAsia="宋体" w:cs="宋体"/>
                <w:color w:val="000000"/>
                <w:sz w:val="21"/>
                <w:szCs w:val="21"/>
                <w:lang w:eastAsia="zh-CN"/>
              </w:rPr>
              <w:t>九十五</w:t>
            </w:r>
            <w:r>
              <w:rPr>
                <w:rFonts w:hint="eastAsia" w:ascii="宋体" w:hAnsi="宋体" w:eastAsia="宋体" w:cs="宋体"/>
                <w:color w:val="000000"/>
                <w:sz w:val="21"/>
                <w:szCs w:val="21"/>
              </w:rPr>
              <w:t>条</w:t>
            </w:r>
            <w:r>
              <w:rPr>
                <w:rFonts w:hint="eastAsia" w:ascii="宋体" w:hAnsi="宋体" w:eastAsia="宋体" w:cs="宋体"/>
                <w:color w:val="000000"/>
                <w:sz w:val="21"/>
                <w:szCs w:val="21"/>
                <w:lang w:eastAsia="zh-CN"/>
              </w:rPr>
              <w:t>。</w:t>
            </w:r>
          </w:p>
        </w:tc>
        <w:tc>
          <w:tcPr>
            <w:tcW w:w="2497" w:type="dxa"/>
            <w:noWrap w:val="0"/>
            <w:vAlign w:val="center"/>
          </w:tcPr>
          <w:p w14:paraId="1D3AE708">
            <w:pPr>
              <w:spacing w:line="300" w:lineRule="exact"/>
              <w:jc w:val="both"/>
              <w:rPr>
                <w:rFonts w:hint="eastAsia" w:ascii="宋体" w:hAnsi="宋体" w:eastAsia="宋体" w:cs="宋体"/>
                <w:color w:val="000000"/>
                <w:sz w:val="21"/>
                <w:szCs w:val="21"/>
              </w:rPr>
            </w:pPr>
          </w:p>
        </w:tc>
        <w:tc>
          <w:tcPr>
            <w:tcW w:w="1926" w:type="dxa"/>
            <w:noWrap w:val="0"/>
            <w:vAlign w:val="center"/>
          </w:tcPr>
          <w:p w14:paraId="7FFE0C31">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《国务院关于预防煤矿生产安全事故的特别规定》第十条第一款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第十一条。</w:t>
            </w:r>
          </w:p>
        </w:tc>
        <w:tc>
          <w:tcPr>
            <w:tcW w:w="1224" w:type="dxa"/>
            <w:noWrap w:val="0"/>
            <w:vAlign w:val="center"/>
          </w:tcPr>
          <w:p w14:paraId="345F5C52">
            <w:pPr>
              <w:spacing w:line="300" w:lineRule="exact"/>
              <w:jc w:val="both"/>
              <w:rPr>
                <w:rFonts w:hint="eastAsia" w:ascii="宋体" w:hAnsi="宋体" w:eastAsia="宋体" w:cs="宋体"/>
                <w:sz w:val="21"/>
                <w:szCs w:val="21"/>
              </w:rPr>
            </w:pPr>
          </w:p>
        </w:tc>
      </w:tr>
      <w:tr w14:paraId="0D88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2AADB91C">
            <w:pPr>
              <w:spacing w:line="300" w:lineRule="exact"/>
              <w:jc w:val="center"/>
              <w:rPr>
                <w:rFonts w:hint="eastAsia" w:ascii="宋体" w:hAnsi="宋体" w:eastAsia="宋体" w:cs="宋体"/>
                <w:kern w:val="0"/>
                <w:sz w:val="21"/>
                <w:szCs w:val="21"/>
              </w:rPr>
            </w:pPr>
          </w:p>
        </w:tc>
        <w:tc>
          <w:tcPr>
            <w:tcW w:w="4670" w:type="dxa"/>
            <w:noWrap w:val="0"/>
            <w:vAlign w:val="center"/>
          </w:tcPr>
          <w:p w14:paraId="34E32928">
            <w:pPr>
              <w:spacing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掘进巷道在揭露老空区前，必须制定探查老空区的安全措施，包括接近老空区时必须预留的煤(岩)柱厚度和探明水、火、瓦斯等内容。必须根据探明的情况采取措施，进行处理。在揭露老空区时，必须将人员撤至安全地点。只有经过检查，证明老空区内的水、瓦斯和其他有害气体等无危险后，方可恢复工作。</w:t>
            </w:r>
          </w:p>
        </w:tc>
        <w:tc>
          <w:tcPr>
            <w:tcW w:w="3448" w:type="dxa"/>
            <w:noWrap w:val="0"/>
            <w:vAlign w:val="center"/>
          </w:tcPr>
          <w:p w14:paraId="0C2C20DA">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《煤矿安全规程》（原国家安全监管总局令第87号）第九十三条。</w:t>
            </w:r>
          </w:p>
        </w:tc>
        <w:tc>
          <w:tcPr>
            <w:tcW w:w="2497" w:type="dxa"/>
            <w:noWrap w:val="0"/>
            <w:vAlign w:val="center"/>
          </w:tcPr>
          <w:p w14:paraId="6DF1D5E4">
            <w:pPr>
              <w:spacing w:line="300" w:lineRule="exact"/>
              <w:jc w:val="both"/>
              <w:rPr>
                <w:rFonts w:hint="eastAsia" w:ascii="宋体" w:hAnsi="宋体" w:eastAsia="宋体" w:cs="宋体"/>
                <w:color w:val="000000"/>
                <w:sz w:val="21"/>
                <w:szCs w:val="21"/>
              </w:rPr>
            </w:pPr>
          </w:p>
        </w:tc>
        <w:tc>
          <w:tcPr>
            <w:tcW w:w="1926" w:type="dxa"/>
            <w:noWrap w:val="0"/>
            <w:vAlign w:val="center"/>
          </w:tcPr>
          <w:p w14:paraId="39D32BD4">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《安全生产违法行为行政处罚办法》第四十五条。</w:t>
            </w:r>
          </w:p>
          <w:p w14:paraId="58977209">
            <w:pPr>
              <w:spacing w:line="300" w:lineRule="exact"/>
              <w:jc w:val="both"/>
              <w:rPr>
                <w:rFonts w:hint="eastAsia" w:ascii="宋体" w:hAnsi="宋体" w:eastAsia="宋体" w:cs="宋体"/>
                <w:color w:val="000000"/>
                <w:sz w:val="21"/>
                <w:szCs w:val="21"/>
              </w:rPr>
            </w:pPr>
          </w:p>
        </w:tc>
        <w:tc>
          <w:tcPr>
            <w:tcW w:w="1224" w:type="dxa"/>
            <w:noWrap w:val="0"/>
            <w:vAlign w:val="center"/>
          </w:tcPr>
          <w:p w14:paraId="2DD1B8FE">
            <w:pPr>
              <w:spacing w:line="300" w:lineRule="exact"/>
              <w:jc w:val="both"/>
              <w:rPr>
                <w:rFonts w:hint="eastAsia" w:ascii="宋体" w:hAnsi="宋体" w:eastAsia="宋体" w:cs="宋体"/>
                <w:sz w:val="21"/>
                <w:szCs w:val="21"/>
              </w:rPr>
            </w:pPr>
          </w:p>
        </w:tc>
      </w:tr>
      <w:tr w14:paraId="5D2C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3B69B80D">
            <w:pPr>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5</w:t>
            </w:r>
          </w:p>
        </w:tc>
        <w:tc>
          <w:tcPr>
            <w:tcW w:w="4670" w:type="dxa"/>
            <w:noWrap w:val="0"/>
            <w:vAlign w:val="center"/>
          </w:tcPr>
          <w:p w14:paraId="43B8CBBC">
            <w:pPr>
              <w:spacing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开采容易自燃和自燃煤层时，同一煤层应当至少测定1次采煤工作面采空区自然发火“三带”分布范围。当采煤工作面采煤方法、通风方式等发生重大变化时，应当重新测定。开采容易自燃和自燃煤层时，必须制定防治采空区(特别是工作面始采线、终采线、上下煤柱线和三角点)、巷道高冒区、煤柱破坏区自然发火的技术措施。</w:t>
            </w:r>
          </w:p>
        </w:tc>
        <w:tc>
          <w:tcPr>
            <w:tcW w:w="3448" w:type="dxa"/>
            <w:noWrap w:val="0"/>
            <w:vAlign w:val="center"/>
          </w:tcPr>
          <w:p w14:paraId="1488B8D1">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《煤矿防灭火细则》（矿安〔2021〕156号）第十四条；《煤矿安全规程》（原国家安全监管总局令第87号）第二百六十五条；《煤矿防灭火细则》（矿安〔2021〕156号）第二十一条。</w:t>
            </w:r>
          </w:p>
        </w:tc>
        <w:tc>
          <w:tcPr>
            <w:tcW w:w="2497" w:type="dxa"/>
            <w:noWrap w:val="0"/>
            <w:vAlign w:val="center"/>
          </w:tcPr>
          <w:p w14:paraId="679B39E9">
            <w:pPr>
              <w:spacing w:line="300" w:lineRule="exact"/>
              <w:jc w:val="both"/>
              <w:rPr>
                <w:rFonts w:hint="eastAsia" w:ascii="宋体" w:hAnsi="宋体" w:eastAsia="宋体" w:cs="宋体"/>
                <w:color w:val="000000"/>
                <w:sz w:val="21"/>
                <w:szCs w:val="21"/>
              </w:rPr>
            </w:pPr>
          </w:p>
        </w:tc>
        <w:tc>
          <w:tcPr>
            <w:tcW w:w="1926" w:type="dxa"/>
            <w:noWrap w:val="0"/>
            <w:vAlign w:val="center"/>
          </w:tcPr>
          <w:p w14:paraId="4FFE8EBC">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《国务院关于预防煤矿生产安全事故的特别规定》第十条第一款</w:t>
            </w:r>
            <w:r>
              <w:rPr>
                <w:rFonts w:hint="eastAsia" w:ascii="宋体" w:hAnsi="宋体" w:eastAsia="宋体" w:cs="宋体"/>
                <w:color w:val="000000"/>
                <w:sz w:val="21"/>
                <w:szCs w:val="21"/>
                <w:lang w:eastAsia="zh-CN"/>
              </w:rPr>
              <w:t>。</w:t>
            </w:r>
          </w:p>
        </w:tc>
        <w:tc>
          <w:tcPr>
            <w:tcW w:w="1224" w:type="dxa"/>
            <w:noWrap w:val="0"/>
            <w:vAlign w:val="center"/>
          </w:tcPr>
          <w:p w14:paraId="1FDB0207">
            <w:pPr>
              <w:spacing w:line="300" w:lineRule="exact"/>
              <w:jc w:val="both"/>
              <w:rPr>
                <w:rFonts w:hint="eastAsia" w:ascii="宋体" w:hAnsi="宋体" w:eastAsia="宋体" w:cs="宋体"/>
                <w:sz w:val="21"/>
                <w:szCs w:val="21"/>
              </w:rPr>
            </w:pPr>
          </w:p>
        </w:tc>
      </w:tr>
      <w:tr w14:paraId="6915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65FD7079">
            <w:pPr>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6</w:t>
            </w:r>
          </w:p>
        </w:tc>
        <w:tc>
          <w:tcPr>
            <w:tcW w:w="4670" w:type="dxa"/>
            <w:noWrap w:val="0"/>
            <w:vAlign w:val="center"/>
          </w:tcPr>
          <w:p w14:paraId="30DEE240">
            <w:pPr>
              <w:spacing w:line="28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煤矿安全监控系统应具有伪数据标注及异常数据分析，瓦斯涌出、火灾等的预测预警，多系统融合条件下的综合数据分析，可与煤矿安全监控系统检查分析工具对接数据等大数据分析与应用功能。</w:t>
            </w:r>
          </w:p>
        </w:tc>
        <w:tc>
          <w:tcPr>
            <w:tcW w:w="3448" w:type="dxa"/>
            <w:noWrap w:val="0"/>
            <w:vAlign w:val="center"/>
          </w:tcPr>
          <w:p w14:paraId="40105E8B">
            <w:pPr>
              <w:spacing w:line="28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《煤矿安全监控系统及检测仪器使用管理规范》（AQ1029—2019）4.9</w:t>
            </w:r>
          </w:p>
        </w:tc>
        <w:tc>
          <w:tcPr>
            <w:tcW w:w="2497" w:type="dxa"/>
            <w:noWrap w:val="0"/>
            <w:vAlign w:val="center"/>
          </w:tcPr>
          <w:p w14:paraId="5A13D2E9">
            <w:pPr>
              <w:spacing w:line="300" w:lineRule="exact"/>
              <w:jc w:val="both"/>
              <w:rPr>
                <w:rFonts w:hint="eastAsia" w:ascii="宋体" w:hAnsi="宋体" w:eastAsia="宋体" w:cs="宋体"/>
                <w:color w:val="000000"/>
                <w:sz w:val="21"/>
                <w:szCs w:val="21"/>
              </w:rPr>
            </w:pPr>
          </w:p>
        </w:tc>
        <w:tc>
          <w:tcPr>
            <w:tcW w:w="1926" w:type="dxa"/>
            <w:noWrap w:val="0"/>
            <w:vAlign w:val="center"/>
          </w:tcPr>
          <w:p w14:paraId="0D66DB55">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《中华人民共和国安全生产法》第九十九条第二项</w:t>
            </w:r>
            <w:r>
              <w:rPr>
                <w:rFonts w:hint="eastAsia" w:ascii="宋体" w:hAnsi="宋体" w:eastAsia="宋体" w:cs="宋体"/>
                <w:color w:val="000000"/>
                <w:sz w:val="21"/>
                <w:szCs w:val="21"/>
                <w:lang w:eastAsia="zh-CN"/>
              </w:rPr>
              <w:t>。</w:t>
            </w:r>
          </w:p>
        </w:tc>
        <w:tc>
          <w:tcPr>
            <w:tcW w:w="1224" w:type="dxa"/>
            <w:noWrap w:val="0"/>
            <w:vAlign w:val="center"/>
          </w:tcPr>
          <w:p w14:paraId="2F88DE05">
            <w:pPr>
              <w:spacing w:line="300" w:lineRule="exact"/>
              <w:jc w:val="both"/>
              <w:rPr>
                <w:rFonts w:hint="eastAsia" w:ascii="宋体" w:hAnsi="宋体" w:eastAsia="宋体" w:cs="宋体"/>
                <w:sz w:val="21"/>
                <w:szCs w:val="21"/>
              </w:rPr>
            </w:pPr>
          </w:p>
        </w:tc>
      </w:tr>
      <w:tr w14:paraId="05C0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25E3AED8">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4670" w:type="dxa"/>
            <w:noWrap w:val="0"/>
            <w:vAlign w:val="center"/>
          </w:tcPr>
          <w:p w14:paraId="109DB664">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煤矿安全监控系统应具有在瓦斯超限、断电等需立即撤人的紧急情况下，可自动与应急广播、通信、人员位置监测等系统应急联动的功能。有断电、馈电状态监测、报警、故障闭锁、甲烷电闭锁、风电闭锁等功能。是否存在人为破坏、数据造假、遮挡传感器、修改后台数据、压风吹传感器等违法行为。</w:t>
            </w:r>
          </w:p>
        </w:tc>
        <w:tc>
          <w:tcPr>
            <w:tcW w:w="3448" w:type="dxa"/>
            <w:noWrap w:val="0"/>
            <w:vAlign w:val="center"/>
          </w:tcPr>
          <w:p w14:paraId="0CAC754A">
            <w:pPr>
              <w:spacing w:line="280" w:lineRule="exact"/>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rPr>
              <w:t>《煤矿安全监控系统及检测仪器使用管理规范》（AQ1029—2019）4.10；《煤矿安全监控系统通用技术要求》（AQ 6201-2019）5.5.2.7；《煤矿安全规程》第四百九十条；《安全生产法》第三十六条第三款。</w:t>
            </w:r>
          </w:p>
        </w:tc>
        <w:tc>
          <w:tcPr>
            <w:tcW w:w="2497" w:type="dxa"/>
            <w:noWrap w:val="0"/>
            <w:vAlign w:val="center"/>
          </w:tcPr>
          <w:p w14:paraId="498A9F9D">
            <w:pPr>
              <w:spacing w:line="300" w:lineRule="exact"/>
              <w:jc w:val="both"/>
              <w:rPr>
                <w:rFonts w:hint="eastAsia" w:ascii="宋体" w:hAnsi="宋体" w:eastAsia="宋体" w:cs="宋体"/>
                <w:color w:val="000000"/>
                <w:sz w:val="21"/>
                <w:szCs w:val="21"/>
              </w:rPr>
            </w:pPr>
          </w:p>
        </w:tc>
        <w:tc>
          <w:tcPr>
            <w:tcW w:w="1926" w:type="dxa"/>
            <w:noWrap w:val="0"/>
            <w:vAlign w:val="center"/>
          </w:tcPr>
          <w:p w14:paraId="4440770A">
            <w:pPr>
              <w:numPr>
                <w:ilvl w:val="0"/>
                <w:numId w:val="0"/>
              </w:num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《国务院关于预防煤矿生产安全事故的特别规定》第十条第一款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《中华人民共和国安全生产法》第六十九条；《中华人民共和国安全生产法》第九十九条第二项</w:t>
            </w:r>
            <w:r>
              <w:rPr>
                <w:rFonts w:hint="eastAsia" w:ascii="宋体" w:hAnsi="宋体" w:eastAsia="宋体" w:cs="宋体"/>
                <w:color w:val="000000"/>
                <w:sz w:val="21"/>
                <w:szCs w:val="21"/>
                <w:lang w:eastAsia="zh-CN"/>
              </w:rPr>
              <w:t>。</w:t>
            </w:r>
          </w:p>
        </w:tc>
        <w:tc>
          <w:tcPr>
            <w:tcW w:w="1224" w:type="dxa"/>
            <w:noWrap w:val="0"/>
            <w:vAlign w:val="center"/>
          </w:tcPr>
          <w:p w14:paraId="232348DD">
            <w:pPr>
              <w:spacing w:line="300" w:lineRule="exact"/>
              <w:jc w:val="both"/>
              <w:rPr>
                <w:rFonts w:hint="eastAsia" w:ascii="宋体" w:hAnsi="宋体" w:eastAsia="宋体" w:cs="宋体"/>
                <w:sz w:val="21"/>
                <w:szCs w:val="21"/>
              </w:rPr>
            </w:pPr>
          </w:p>
        </w:tc>
      </w:tr>
      <w:tr w14:paraId="30E0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725FD48F">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p>
        </w:tc>
        <w:tc>
          <w:tcPr>
            <w:tcW w:w="4670" w:type="dxa"/>
            <w:noWrap w:val="0"/>
            <w:vAlign w:val="center"/>
          </w:tcPr>
          <w:p w14:paraId="4898E59C">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冲击地压矿井必须设立专门的防冲机构，并配备专业防冲技术人员与施工队伍；专业防冲技术人员应明确专业技术要求、最低人数等；</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配备的专业防冲技术人员数量必须满足防冲工作需要。煤矿企业(煤矿)的主要负责人（法定代表人、实际控制人）是冲击地压防治的第一责任人，对防治工作全面负责；其他负责人对分管范围内冲击地压防治工作负责；煤矿企业(煤矿)总工程师是冲击地压防治的技术负责人，对防治技术工作负责。</w:t>
            </w:r>
          </w:p>
        </w:tc>
        <w:tc>
          <w:tcPr>
            <w:tcW w:w="3448" w:type="dxa"/>
            <w:noWrap w:val="0"/>
            <w:vAlign w:val="center"/>
          </w:tcPr>
          <w:p w14:paraId="1DF6E6F3">
            <w:pPr>
              <w:spacing w:line="28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煤矿重大事故隐患判定标准》（中华人民共和国应急管理部令第4号）第十一条第二项；《煤矿安全规程》（原国家安全监管总局令第87号）第二百二十八条；《防治煤矿冲击地压细则》（煤安监技装〔2018〕8号）第十八条。</w:t>
            </w:r>
          </w:p>
        </w:tc>
        <w:tc>
          <w:tcPr>
            <w:tcW w:w="2497" w:type="dxa"/>
            <w:noWrap w:val="0"/>
            <w:vAlign w:val="center"/>
          </w:tcPr>
          <w:p w14:paraId="1D183F7C">
            <w:pPr>
              <w:spacing w:line="300" w:lineRule="exact"/>
              <w:jc w:val="both"/>
              <w:rPr>
                <w:rFonts w:hint="eastAsia" w:ascii="宋体" w:hAnsi="宋体" w:eastAsia="宋体" w:cs="宋体"/>
                <w:color w:val="000000"/>
                <w:sz w:val="21"/>
                <w:szCs w:val="21"/>
              </w:rPr>
            </w:pPr>
          </w:p>
        </w:tc>
        <w:tc>
          <w:tcPr>
            <w:tcW w:w="1926" w:type="dxa"/>
            <w:noWrap w:val="0"/>
            <w:vAlign w:val="center"/>
          </w:tcPr>
          <w:p w14:paraId="63351ED5">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《国务院关于预防煤矿生产安全事故的特别规定》第十条第一款</w:t>
            </w:r>
            <w:r>
              <w:rPr>
                <w:rFonts w:hint="eastAsia" w:ascii="宋体" w:hAnsi="宋体" w:eastAsia="宋体" w:cs="宋体"/>
                <w:color w:val="000000"/>
                <w:sz w:val="21"/>
                <w:szCs w:val="21"/>
                <w:lang w:eastAsia="zh-CN"/>
              </w:rPr>
              <w:t>。</w:t>
            </w:r>
          </w:p>
        </w:tc>
        <w:tc>
          <w:tcPr>
            <w:tcW w:w="1224" w:type="dxa"/>
            <w:noWrap w:val="0"/>
            <w:vAlign w:val="center"/>
          </w:tcPr>
          <w:p w14:paraId="52090D6A">
            <w:pPr>
              <w:spacing w:line="300" w:lineRule="exact"/>
              <w:jc w:val="both"/>
              <w:rPr>
                <w:rFonts w:hint="eastAsia" w:ascii="宋体" w:hAnsi="宋体" w:eastAsia="宋体" w:cs="宋体"/>
                <w:sz w:val="21"/>
                <w:szCs w:val="21"/>
              </w:rPr>
            </w:pPr>
          </w:p>
        </w:tc>
      </w:tr>
      <w:tr w14:paraId="22F9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73FD5BCD">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4670" w:type="dxa"/>
            <w:noWrap w:val="0"/>
            <w:vAlign w:val="center"/>
          </w:tcPr>
          <w:p w14:paraId="7225E29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有下列情况之一的，应当进行煤岩冲击倾向性鉴定： </w:t>
            </w:r>
          </w:p>
          <w:p w14:paraId="336D0044">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有强烈震动、瞬间底(帮)鼓、煤岩弹射等动力现象的。 </w:t>
            </w:r>
          </w:p>
          <w:p w14:paraId="596FD044">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埋深超过400m的煤层，且煤层上方100m范围内存在单层厚度超过10m、单轴抗压强度大于60MPa的坚硬岩层。</w:t>
            </w:r>
          </w:p>
          <w:p w14:paraId="350A170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相邻矿井开采的同一煤层发生过冲击地压的。 </w:t>
            </w:r>
          </w:p>
          <w:p w14:paraId="0905CE0A">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rPr>
              <w:t>冲击地压矿井开采新水平、新煤层。</w:t>
            </w:r>
          </w:p>
        </w:tc>
        <w:tc>
          <w:tcPr>
            <w:tcW w:w="3448" w:type="dxa"/>
            <w:noWrap w:val="0"/>
            <w:vAlign w:val="center"/>
          </w:tcPr>
          <w:p w14:paraId="032F53D5">
            <w:pPr>
              <w:spacing w:line="28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《煤矿重大事故隐患判定标准》（应急管理部令第4号）第十一条第（一）项；《煤矿安全规程》（原国家安全监管总局令第87号）第二百二十六条；《防治煤矿冲击地压细则》（煤安监技装〔2018〕8号）第十条。</w:t>
            </w:r>
          </w:p>
        </w:tc>
        <w:tc>
          <w:tcPr>
            <w:tcW w:w="2497" w:type="dxa"/>
            <w:noWrap w:val="0"/>
            <w:vAlign w:val="center"/>
          </w:tcPr>
          <w:p w14:paraId="1C38281F">
            <w:pPr>
              <w:spacing w:line="300" w:lineRule="exact"/>
              <w:jc w:val="both"/>
              <w:rPr>
                <w:rFonts w:hint="eastAsia" w:ascii="宋体" w:hAnsi="宋体" w:eastAsia="宋体" w:cs="宋体"/>
                <w:color w:val="000000"/>
                <w:sz w:val="21"/>
                <w:szCs w:val="21"/>
              </w:rPr>
            </w:pPr>
          </w:p>
        </w:tc>
        <w:tc>
          <w:tcPr>
            <w:tcW w:w="1926" w:type="dxa"/>
            <w:noWrap w:val="0"/>
            <w:vAlign w:val="center"/>
          </w:tcPr>
          <w:p w14:paraId="13A8FD80">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《国务院关于预防煤矿生产安全事故的特别规定》第十条第一款</w:t>
            </w:r>
            <w:r>
              <w:rPr>
                <w:rFonts w:hint="eastAsia" w:ascii="宋体" w:hAnsi="宋体" w:eastAsia="宋体" w:cs="宋体"/>
                <w:color w:val="000000"/>
                <w:sz w:val="21"/>
                <w:szCs w:val="21"/>
                <w:lang w:eastAsia="zh-CN"/>
              </w:rPr>
              <w:t>。</w:t>
            </w:r>
          </w:p>
        </w:tc>
        <w:tc>
          <w:tcPr>
            <w:tcW w:w="1224" w:type="dxa"/>
            <w:noWrap w:val="0"/>
            <w:vAlign w:val="center"/>
          </w:tcPr>
          <w:p w14:paraId="05A04CC5">
            <w:pPr>
              <w:spacing w:line="300" w:lineRule="exact"/>
              <w:jc w:val="both"/>
              <w:rPr>
                <w:rFonts w:hint="eastAsia" w:ascii="宋体" w:hAnsi="宋体" w:eastAsia="宋体" w:cs="宋体"/>
                <w:sz w:val="21"/>
                <w:szCs w:val="21"/>
              </w:rPr>
            </w:pPr>
          </w:p>
        </w:tc>
      </w:tr>
      <w:tr w14:paraId="022E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0A1F9BEE">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4670" w:type="dxa"/>
            <w:noWrap w:val="0"/>
            <w:vAlign w:val="center"/>
          </w:tcPr>
          <w:p w14:paraId="0A9CF230">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SA"/>
              </w:rPr>
              <w:t>采剥工作面布置在采矿许可证规定的范围之内，严禁超层越界开采。</w:t>
            </w:r>
          </w:p>
        </w:tc>
        <w:tc>
          <w:tcPr>
            <w:tcW w:w="3448" w:type="dxa"/>
            <w:noWrap w:val="0"/>
            <w:vAlign w:val="center"/>
          </w:tcPr>
          <w:p w14:paraId="370690B8">
            <w:pPr>
              <w:spacing w:line="280" w:lineRule="exact"/>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《中华人民共和国安全生产法》第六十二条第一款第二项；《国务院关于预防煤矿生 产安全事故的特别规定》第十条第一款，第十一条；</w:t>
            </w:r>
          </w:p>
          <w:p w14:paraId="4C136230">
            <w:pPr>
              <w:spacing w:line="28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《煤矿重大生产安全事故隐患判定标准》第一条。</w:t>
            </w:r>
          </w:p>
        </w:tc>
        <w:tc>
          <w:tcPr>
            <w:tcW w:w="2497" w:type="dxa"/>
            <w:noWrap w:val="0"/>
            <w:vAlign w:val="center"/>
          </w:tcPr>
          <w:p w14:paraId="40652036">
            <w:pPr>
              <w:spacing w:line="300" w:lineRule="exact"/>
              <w:jc w:val="both"/>
              <w:rPr>
                <w:rFonts w:hint="eastAsia" w:ascii="宋体" w:hAnsi="宋体" w:eastAsia="宋体" w:cs="宋体"/>
                <w:color w:val="000000"/>
                <w:sz w:val="21"/>
                <w:szCs w:val="21"/>
              </w:rPr>
            </w:pPr>
          </w:p>
        </w:tc>
        <w:tc>
          <w:tcPr>
            <w:tcW w:w="1926" w:type="dxa"/>
            <w:noWrap w:val="0"/>
            <w:vAlign w:val="center"/>
          </w:tcPr>
          <w:p w14:paraId="2370B39E">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《国务院关于预防煤矿生产安全事故的特别规定》第十条第一款</w:t>
            </w:r>
            <w:r>
              <w:rPr>
                <w:rFonts w:hint="eastAsia" w:ascii="宋体" w:hAnsi="宋体" w:eastAsia="宋体" w:cs="宋体"/>
                <w:color w:val="000000"/>
                <w:sz w:val="21"/>
                <w:szCs w:val="21"/>
                <w:lang w:eastAsia="zh-CN"/>
              </w:rPr>
              <w:t>。</w:t>
            </w:r>
          </w:p>
        </w:tc>
        <w:tc>
          <w:tcPr>
            <w:tcW w:w="1224" w:type="dxa"/>
            <w:noWrap w:val="0"/>
            <w:vAlign w:val="center"/>
          </w:tcPr>
          <w:p w14:paraId="00E6DF52">
            <w:pPr>
              <w:spacing w:line="300" w:lineRule="exact"/>
              <w:jc w:val="both"/>
              <w:rPr>
                <w:rFonts w:hint="eastAsia" w:ascii="宋体" w:hAnsi="宋体" w:eastAsia="宋体" w:cs="宋体"/>
                <w:sz w:val="21"/>
                <w:szCs w:val="21"/>
              </w:rPr>
            </w:pPr>
          </w:p>
        </w:tc>
      </w:tr>
      <w:tr w14:paraId="75E9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36205C1C">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4670" w:type="dxa"/>
            <w:noWrap w:val="0"/>
            <w:vAlign w:val="center"/>
          </w:tcPr>
          <w:p w14:paraId="485A6EC8">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露天采场局部及最终边坡的台阶坡面角和边坡角符合最终边坡设计要求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最小工作平盘宽度，须保证采掘、运输设备的安全运行和供电通信线路、供排水系统、安全挡墙等的正常布置。</w:t>
            </w:r>
          </w:p>
        </w:tc>
        <w:tc>
          <w:tcPr>
            <w:tcW w:w="3448" w:type="dxa"/>
            <w:noWrap w:val="0"/>
            <w:vAlign w:val="center"/>
          </w:tcPr>
          <w:p w14:paraId="6F87B4C1">
            <w:pPr>
              <w:spacing w:line="280" w:lineRule="exact"/>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spacing w:val="-8"/>
                <w:sz w:val="21"/>
                <w:szCs w:val="21"/>
              </w:rPr>
              <w:t>《煤矿安全规程》第</w:t>
            </w:r>
            <w:r>
              <w:rPr>
                <w:rFonts w:hint="eastAsia" w:ascii="宋体" w:hAnsi="宋体" w:eastAsia="宋体" w:cs="宋体"/>
                <w:color w:val="000000"/>
                <w:spacing w:val="-8"/>
                <w:sz w:val="21"/>
                <w:szCs w:val="21"/>
                <w:lang w:eastAsia="zh-CN"/>
              </w:rPr>
              <w:t>五百三十九</w:t>
            </w:r>
            <w:r>
              <w:rPr>
                <w:rFonts w:hint="eastAsia" w:ascii="宋体" w:hAnsi="宋体" w:eastAsia="宋体" w:cs="宋体"/>
                <w:color w:val="000000"/>
                <w:spacing w:val="-8"/>
                <w:sz w:val="21"/>
                <w:szCs w:val="21"/>
              </w:rPr>
              <w:t>条</w:t>
            </w:r>
            <w:r>
              <w:rPr>
                <w:rFonts w:hint="eastAsia" w:ascii="宋体" w:hAnsi="宋体" w:eastAsia="宋体" w:cs="宋体"/>
                <w:color w:val="000000"/>
                <w:spacing w:val="-8"/>
                <w:sz w:val="21"/>
                <w:szCs w:val="21"/>
                <w:lang w:eastAsia="zh-CN"/>
              </w:rPr>
              <w:t>、五百四十</w:t>
            </w:r>
            <w:r>
              <w:rPr>
                <w:rFonts w:hint="eastAsia" w:ascii="宋体" w:hAnsi="宋体" w:eastAsia="宋体" w:cs="宋体"/>
                <w:color w:val="000000"/>
                <w:spacing w:val="-8"/>
                <w:sz w:val="21"/>
                <w:szCs w:val="21"/>
                <w:lang w:val="en-US" w:eastAsia="zh-CN"/>
              </w:rPr>
              <w:t>条。</w:t>
            </w:r>
          </w:p>
        </w:tc>
        <w:tc>
          <w:tcPr>
            <w:tcW w:w="2497" w:type="dxa"/>
            <w:noWrap w:val="0"/>
            <w:vAlign w:val="center"/>
          </w:tcPr>
          <w:p w14:paraId="115E4E46">
            <w:pPr>
              <w:spacing w:line="300" w:lineRule="exact"/>
              <w:jc w:val="both"/>
              <w:rPr>
                <w:rFonts w:hint="eastAsia" w:ascii="宋体" w:hAnsi="宋体" w:eastAsia="宋体" w:cs="宋体"/>
                <w:color w:val="000000"/>
                <w:sz w:val="21"/>
                <w:szCs w:val="21"/>
              </w:rPr>
            </w:pPr>
          </w:p>
        </w:tc>
        <w:tc>
          <w:tcPr>
            <w:tcW w:w="1926" w:type="dxa"/>
            <w:noWrap w:val="0"/>
            <w:vAlign w:val="center"/>
          </w:tcPr>
          <w:p w14:paraId="230890BD">
            <w:pPr>
              <w:spacing w:line="300" w:lineRule="exact"/>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《安全生产违法行为行政处罚办法》第四十五条。</w:t>
            </w:r>
          </w:p>
        </w:tc>
        <w:tc>
          <w:tcPr>
            <w:tcW w:w="1224" w:type="dxa"/>
            <w:noWrap w:val="0"/>
            <w:vAlign w:val="center"/>
          </w:tcPr>
          <w:p w14:paraId="7C9821CF">
            <w:pPr>
              <w:spacing w:line="300" w:lineRule="exact"/>
              <w:jc w:val="both"/>
              <w:rPr>
                <w:rFonts w:hint="eastAsia" w:ascii="宋体" w:hAnsi="宋体" w:eastAsia="宋体" w:cs="宋体"/>
                <w:sz w:val="21"/>
                <w:szCs w:val="21"/>
              </w:rPr>
            </w:pPr>
          </w:p>
        </w:tc>
      </w:tr>
      <w:tr w14:paraId="0CD8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417853CD">
            <w:pPr>
              <w:spacing w:line="300" w:lineRule="exact"/>
              <w:jc w:val="center"/>
              <w:rPr>
                <w:rFonts w:hint="default" w:ascii="仿宋_GB2312" w:eastAsia="仿宋_GB2312"/>
                <w:sz w:val="21"/>
                <w:szCs w:val="21"/>
                <w:lang w:val="en-US" w:eastAsia="zh-CN"/>
              </w:rPr>
            </w:pPr>
            <w:r>
              <w:rPr>
                <w:rFonts w:hint="eastAsia" w:ascii="仿宋_GB2312"/>
                <w:sz w:val="21"/>
                <w:szCs w:val="21"/>
                <w:lang w:val="en-US" w:eastAsia="zh-CN"/>
              </w:rPr>
              <w:t>32</w:t>
            </w:r>
          </w:p>
        </w:tc>
        <w:tc>
          <w:tcPr>
            <w:tcW w:w="4670" w:type="dxa"/>
            <w:noWrap w:val="0"/>
            <w:vAlign w:val="center"/>
          </w:tcPr>
          <w:p w14:paraId="5D140043">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ascii="仿宋_GB2312" w:hAnsi="Times New Roman" w:eastAsia="仿宋_GB2312" w:cs="Times New Roman"/>
                <w:color w:val="000000"/>
                <w:sz w:val="21"/>
                <w:szCs w:val="21"/>
              </w:rPr>
            </w:pPr>
            <w:r>
              <w:rPr>
                <w:rFonts w:hint="eastAsia" w:ascii="仿宋_GB2312" w:hAnsi="Times New Roman" w:eastAsia="仿宋_GB2312" w:cs="Times New Roman"/>
                <w:color w:val="000000"/>
                <w:sz w:val="21"/>
                <w:szCs w:val="21"/>
              </w:rPr>
              <w:t>露天采场局部及最终边坡的台阶坡面角和边坡角符合最终边坡设计要求。</w:t>
            </w:r>
          </w:p>
        </w:tc>
        <w:tc>
          <w:tcPr>
            <w:tcW w:w="3448" w:type="dxa"/>
            <w:noWrap w:val="0"/>
            <w:vAlign w:val="center"/>
          </w:tcPr>
          <w:p w14:paraId="21C68017">
            <w:pPr>
              <w:spacing w:line="280" w:lineRule="exact"/>
              <w:jc w:val="both"/>
              <w:rPr>
                <w:rFonts w:ascii="仿宋_GB2312"/>
                <w:color w:val="000000"/>
                <w:kern w:val="0"/>
                <w:sz w:val="21"/>
                <w:szCs w:val="21"/>
              </w:rPr>
            </w:pPr>
            <w:r>
              <w:rPr>
                <w:rFonts w:hint="eastAsia" w:ascii="仿宋_GB2312" w:hAnsi="Times New Roman" w:cs="Times New Roman"/>
                <w:color w:val="000000"/>
                <w:kern w:val="0"/>
                <w:sz w:val="21"/>
                <w:szCs w:val="21"/>
              </w:rPr>
              <w:t>《煤矿安全规程》第</w:t>
            </w:r>
            <w:r>
              <w:rPr>
                <w:rFonts w:hint="eastAsia" w:ascii="仿宋_GB2312"/>
                <w:color w:val="000000"/>
                <w:spacing w:val="-8"/>
                <w:sz w:val="21"/>
                <w:szCs w:val="21"/>
                <w:lang w:eastAsia="zh-CN"/>
              </w:rPr>
              <w:t>五百三十九</w:t>
            </w:r>
            <w:r>
              <w:rPr>
                <w:rFonts w:hint="eastAsia" w:ascii="仿宋_GB2312" w:hAnsi="Times New Roman" w:cs="Times New Roman"/>
                <w:color w:val="000000"/>
                <w:kern w:val="0"/>
                <w:sz w:val="21"/>
                <w:szCs w:val="21"/>
              </w:rPr>
              <w:t>条</w:t>
            </w:r>
          </w:p>
        </w:tc>
        <w:tc>
          <w:tcPr>
            <w:tcW w:w="2497" w:type="dxa"/>
            <w:noWrap w:val="0"/>
            <w:vAlign w:val="center"/>
          </w:tcPr>
          <w:p w14:paraId="645F400D">
            <w:pPr>
              <w:spacing w:line="300" w:lineRule="exact"/>
              <w:jc w:val="both"/>
              <w:rPr>
                <w:rFonts w:hint="eastAsia" w:ascii="仿宋_GB2312"/>
                <w:color w:val="000000"/>
                <w:sz w:val="21"/>
                <w:szCs w:val="21"/>
              </w:rPr>
            </w:pPr>
          </w:p>
        </w:tc>
        <w:tc>
          <w:tcPr>
            <w:tcW w:w="1926" w:type="dxa"/>
            <w:noWrap w:val="0"/>
            <w:vAlign w:val="center"/>
          </w:tcPr>
          <w:p w14:paraId="2249C7B7">
            <w:pPr>
              <w:spacing w:line="300" w:lineRule="exact"/>
              <w:jc w:val="both"/>
              <w:rPr>
                <w:rFonts w:hint="eastAsia" w:ascii="仿宋_GB2312" w:eastAsia="仿宋_GB2312"/>
                <w:color w:val="000000"/>
                <w:sz w:val="21"/>
                <w:szCs w:val="21"/>
                <w:lang w:val="en-US" w:eastAsia="zh-CN"/>
              </w:rPr>
            </w:pPr>
            <w:r>
              <w:rPr>
                <w:rFonts w:hint="eastAsia" w:ascii="仿宋_GB2312"/>
                <w:color w:val="000000"/>
                <w:sz w:val="21"/>
                <w:szCs w:val="21"/>
                <w:lang w:val="en-US" w:eastAsia="zh-CN"/>
              </w:rPr>
              <w:t>《安全生产违法行为行政处罚办法》第四十五条。</w:t>
            </w:r>
          </w:p>
        </w:tc>
        <w:tc>
          <w:tcPr>
            <w:tcW w:w="1224" w:type="dxa"/>
            <w:noWrap w:val="0"/>
            <w:vAlign w:val="center"/>
          </w:tcPr>
          <w:p w14:paraId="3E5BD2D3">
            <w:pPr>
              <w:spacing w:line="300" w:lineRule="exact"/>
              <w:jc w:val="both"/>
              <w:rPr>
                <w:rFonts w:hint="eastAsia" w:ascii="仿宋_GB2312"/>
                <w:sz w:val="21"/>
                <w:szCs w:val="21"/>
              </w:rPr>
            </w:pPr>
          </w:p>
        </w:tc>
      </w:tr>
      <w:tr w14:paraId="4B0C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30A98008">
            <w:pPr>
              <w:spacing w:line="300" w:lineRule="exact"/>
              <w:jc w:val="center"/>
              <w:rPr>
                <w:rFonts w:hint="default" w:ascii="仿宋_GB2312"/>
                <w:sz w:val="21"/>
                <w:szCs w:val="21"/>
                <w:lang w:val="en-US" w:eastAsia="zh-CN"/>
              </w:rPr>
            </w:pPr>
            <w:r>
              <w:rPr>
                <w:rFonts w:hint="eastAsia" w:ascii="仿宋_GB2312"/>
                <w:sz w:val="21"/>
                <w:szCs w:val="21"/>
                <w:lang w:val="en-US" w:eastAsia="zh-CN"/>
              </w:rPr>
              <w:t>33</w:t>
            </w:r>
          </w:p>
        </w:tc>
        <w:tc>
          <w:tcPr>
            <w:tcW w:w="4670" w:type="dxa"/>
            <w:noWrap w:val="0"/>
            <w:vAlign w:val="center"/>
          </w:tcPr>
          <w:p w14:paraId="55F59D82">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sz w:val="21"/>
                <w:szCs w:val="21"/>
              </w:rPr>
              <w:t>最小工作平盘宽度，须保证采掘、运输设备的安全运行和供电通信线路、供排水系统、安全挡墙等的正常布置。</w:t>
            </w:r>
          </w:p>
        </w:tc>
        <w:tc>
          <w:tcPr>
            <w:tcW w:w="3448" w:type="dxa"/>
            <w:noWrap w:val="0"/>
            <w:vAlign w:val="center"/>
          </w:tcPr>
          <w:p w14:paraId="6B5F8EC8">
            <w:pPr>
              <w:spacing w:line="280" w:lineRule="exact"/>
              <w:jc w:val="both"/>
              <w:rPr>
                <w:rFonts w:hint="eastAsia" w:ascii="仿宋_GB2312" w:hAnsi="Times New Roman" w:cs="Times New Roman"/>
                <w:color w:val="000000"/>
                <w:kern w:val="0"/>
                <w:sz w:val="21"/>
                <w:szCs w:val="21"/>
              </w:rPr>
            </w:pPr>
            <w:r>
              <w:rPr>
                <w:rFonts w:hint="eastAsia" w:ascii="仿宋_GB2312" w:hAnsi="Times New Roman" w:cs="Times New Roman"/>
                <w:color w:val="000000"/>
                <w:kern w:val="0"/>
                <w:sz w:val="21"/>
                <w:szCs w:val="21"/>
              </w:rPr>
              <w:t>《煤矿安全规程》第</w:t>
            </w:r>
            <w:r>
              <w:rPr>
                <w:rFonts w:hint="eastAsia" w:ascii="仿宋_GB2312"/>
                <w:color w:val="000000"/>
                <w:spacing w:val="-8"/>
                <w:sz w:val="21"/>
                <w:szCs w:val="21"/>
                <w:lang w:eastAsia="zh-CN"/>
              </w:rPr>
              <w:t>五百四十</w:t>
            </w:r>
            <w:r>
              <w:rPr>
                <w:rFonts w:hint="eastAsia" w:ascii="仿宋_GB2312" w:hAnsi="Times New Roman" w:cs="Times New Roman"/>
                <w:color w:val="000000"/>
                <w:kern w:val="0"/>
                <w:sz w:val="21"/>
                <w:szCs w:val="21"/>
              </w:rPr>
              <w:t>条</w:t>
            </w:r>
          </w:p>
        </w:tc>
        <w:tc>
          <w:tcPr>
            <w:tcW w:w="2497" w:type="dxa"/>
            <w:noWrap w:val="0"/>
            <w:vAlign w:val="center"/>
          </w:tcPr>
          <w:p w14:paraId="0A32DCE1">
            <w:pPr>
              <w:spacing w:line="300" w:lineRule="exact"/>
              <w:jc w:val="both"/>
              <w:rPr>
                <w:rFonts w:hint="eastAsia" w:ascii="仿宋_GB2312"/>
                <w:color w:val="000000"/>
                <w:sz w:val="21"/>
                <w:szCs w:val="21"/>
              </w:rPr>
            </w:pPr>
          </w:p>
        </w:tc>
        <w:tc>
          <w:tcPr>
            <w:tcW w:w="1926" w:type="dxa"/>
            <w:noWrap w:val="0"/>
            <w:vAlign w:val="center"/>
          </w:tcPr>
          <w:p w14:paraId="1A001AE7">
            <w:pPr>
              <w:spacing w:line="300" w:lineRule="exact"/>
              <w:jc w:val="both"/>
              <w:rPr>
                <w:rFonts w:hint="eastAsia" w:ascii="仿宋_GB2312"/>
                <w:color w:val="000000"/>
                <w:sz w:val="21"/>
                <w:szCs w:val="21"/>
              </w:rPr>
            </w:pPr>
            <w:r>
              <w:rPr>
                <w:rFonts w:hint="eastAsia" w:ascii="仿宋_GB2312"/>
                <w:color w:val="000000"/>
                <w:sz w:val="21"/>
                <w:szCs w:val="21"/>
                <w:lang w:val="en-US" w:eastAsia="zh-CN"/>
              </w:rPr>
              <w:t>《安全生产违法行为行政处罚办法》第四十五条。</w:t>
            </w:r>
          </w:p>
        </w:tc>
        <w:tc>
          <w:tcPr>
            <w:tcW w:w="1224" w:type="dxa"/>
            <w:noWrap w:val="0"/>
            <w:vAlign w:val="center"/>
          </w:tcPr>
          <w:p w14:paraId="1A7E90D8">
            <w:pPr>
              <w:spacing w:line="300" w:lineRule="exact"/>
              <w:jc w:val="both"/>
              <w:rPr>
                <w:rFonts w:hint="eastAsia" w:ascii="仿宋_GB2312"/>
                <w:sz w:val="21"/>
                <w:szCs w:val="21"/>
              </w:rPr>
            </w:pPr>
          </w:p>
        </w:tc>
      </w:tr>
      <w:tr w14:paraId="33DF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40ED427B">
            <w:pPr>
              <w:spacing w:line="300" w:lineRule="exact"/>
              <w:jc w:val="center"/>
              <w:rPr>
                <w:rFonts w:hint="default" w:ascii="仿宋_GB2312"/>
                <w:sz w:val="21"/>
                <w:szCs w:val="21"/>
                <w:lang w:val="en-US" w:eastAsia="zh-CN"/>
              </w:rPr>
            </w:pPr>
            <w:r>
              <w:rPr>
                <w:rFonts w:hint="eastAsia" w:ascii="仿宋_GB2312"/>
                <w:sz w:val="21"/>
                <w:szCs w:val="21"/>
                <w:lang w:val="en-US" w:eastAsia="zh-CN"/>
              </w:rPr>
              <w:t>34</w:t>
            </w:r>
          </w:p>
        </w:tc>
        <w:tc>
          <w:tcPr>
            <w:tcW w:w="4670" w:type="dxa"/>
            <w:noWrap w:val="0"/>
            <w:vAlign w:val="center"/>
          </w:tcPr>
          <w:p w14:paraId="6FF97C37">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eastAsia" w:ascii="仿宋_GB2312" w:hAnsi="Times New Roman" w:eastAsia="仿宋_GB2312" w:cs="Times New Roman"/>
                <w:color w:val="000000"/>
                <w:kern w:val="0"/>
                <w:sz w:val="21"/>
                <w:szCs w:val="21"/>
                <w:lang w:val="en-US" w:eastAsia="zh-CN" w:bidi="ar-SA"/>
              </w:rPr>
            </w:pPr>
            <w:r>
              <w:rPr>
                <w:rFonts w:hint="eastAsia" w:ascii="仿宋_GB2312" w:hAnsi="Times New Roman" w:eastAsia="仿宋_GB2312" w:cs="Times New Roman"/>
                <w:color w:val="000000"/>
                <w:kern w:val="0"/>
                <w:sz w:val="21"/>
                <w:szCs w:val="21"/>
                <w:lang w:val="en-US" w:eastAsia="zh-CN" w:bidi="ar-SA"/>
              </w:rPr>
              <w:t>进行专门边坡工程、地质勘探工程和稳定性分析评价；非工作帮形成一定范围的到界台阶后，定期进行边坡稳定分析和评价；工作帮边坡在临近最终设计的边坡之前，对其进行稳定性分析和评价；露天煤矿长远和年度采矿工程设计中，含边坡稳定性验算；定期对排土场边坡进行稳定性分析，采取防治措施；</w:t>
            </w:r>
          </w:p>
        </w:tc>
        <w:tc>
          <w:tcPr>
            <w:tcW w:w="3448" w:type="dxa"/>
            <w:noWrap w:val="0"/>
            <w:vAlign w:val="center"/>
          </w:tcPr>
          <w:p w14:paraId="71D45D73">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280" w:lineRule="exact"/>
              <w:ind w:firstLine="210" w:firstLineChars="100"/>
              <w:jc w:val="both"/>
              <w:rPr>
                <w:rFonts w:hint="default" w:ascii="仿宋_GB2312" w:hAnsi="Times New Roman" w:eastAsia="仿宋_GB2312" w:cs="Times New Roman"/>
                <w:color w:val="000000"/>
                <w:kern w:val="0"/>
                <w:sz w:val="21"/>
                <w:szCs w:val="21"/>
                <w:lang w:val="en-US" w:eastAsia="zh-CN" w:bidi="ar-SA"/>
              </w:rPr>
            </w:pPr>
            <w:r>
              <w:rPr>
                <w:rFonts w:hint="eastAsia" w:ascii="仿宋_GB2312" w:hAnsi="Times New Roman" w:eastAsia="仿宋_GB2312" w:cs="Times New Roman"/>
                <w:color w:val="000000"/>
                <w:kern w:val="0"/>
                <w:sz w:val="21"/>
                <w:szCs w:val="21"/>
                <w:lang w:val="en-US" w:eastAsia="zh-CN" w:bidi="ar-SA"/>
              </w:rPr>
              <w:t>《煤矿安全规程》第五百八十三、五百八十四、五百八十五、五百八十六、五百八十八条。</w:t>
            </w:r>
          </w:p>
        </w:tc>
        <w:tc>
          <w:tcPr>
            <w:tcW w:w="2497" w:type="dxa"/>
            <w:noWrap w:val="0"/>
            <w:vAlign w:val="center"/>
          </w:tcPr>
          <w:p w14:paraId="70A800F7">
            <w:pPr>
              <w:spacing w:line="300" w:lineRule="exact"/>
              <w:jc w:val="both"/>
              <w:rPr>
                <w:rFonts w:hint="eastAsia" w:ascii="仿宋_GB2312"/>
                <w:color w:val="000000"/>
                <w:sz w:val="21"/>
                <w:szCs w:val="21"/>
              </w:rPr>
            </w:pPr>
          </w:p>
        </w:tc>
        <w:tc>
          <w:tcPr>
            <w:tcW w:w="1926" w:type="dxa"/>
            <w:noWrap w:val="0"/>
            <w:vAlign w:val="center"/>
          </w:tcPr>
          <w:p w14:paraId="2D265E6C">
            <w:pPr>
              <w:spacing w:line="300" w:lineRule="exact"/>
              <w:jc w:val="both"/>
              <w:rPr>
                <w:rFonts w:hint="eastAsia" w:ascii="仿宋_GB2312"/>
                <w:color w:val="000000"/>
                <w:sz w:val="21"/>
                <w:szCs w:val="21"/>
              </w:rPr>
            </w:pPr>
            <w:r>
              <w:rPr>
                <w:rFonts w:hint="eastAsia" w:ascii="仿宋_GB2312"/>
                <w:color w:val="000000"/>
                <w:sz w:val="21"/>
                <w:szCs w:val="21"/>
                <w:lang w:val="en-US" w:eastAsia="zh-CN"/>
              </w:rPr>
              <w:t>《安全生产违法行为行政处罚办法》第四十五条。</w:t>
            </w:r>
          </w:p>
        </w:tc>
        <w:tc>
          <w:tcPr>
            <w:tcW w:w="1224" w:type="dxa"/>
            <w:noWrap w:val="0"/>
            <w:vAlign w:val="center"/>
          </w:tcPr>
          <w:p w14:paraId="458E771A">
            <w:pPr>
              <w:spacing w:line="300" w:lineRule="exact"/>
              <w:jc w:val="both"/>
              <w:rPr>
                <w:rFonts w:hint="eastAsia" w:ascii="仿宋_GB2312"/>
                <w:sz w:val="21"/>
                <w:szCs w:val="21"/>
              </w:rPr>
            </w:pPr>
          </w:p>
        </w:tc>
      </w:tr>
      <w:tr w14:paraId="2A07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2FA0E836">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4670" w:type="dxa"/>
            <w:noWrap w:val="0"/>
            <w:vAlign w:val="center"/>
          </w:tcPr>
          <w:p w14:paraId="626E3BDF">
            <w:pPr>
              <w:spacing w:line="280" w:lineRule="exact"/>
              <w:ind w:firstLine="210" w:firstLineChars="1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制定边坡监测措施；定期巡视采场及排土场边坡，设运输道路、采运机械和重对滑坡区采取的安全措施，专门的勘查、评价与治理工程设计；对影响生产安全的不稳定边坡采取安全措施。</w:t>
            </w:r>
          </w:p>
        </w:tc>
        <w:tc>
          <w:tcPr>
            <w:tcW w:w="3448" w:type="dxa"/>
            <w:noWrap w:val="0"/>
            <w:vAlign w:val="center"/>
          </w:tcPr>
          <w:p w14:paraId="3AE103DE">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《煤矿企业安全生产许可证实施办法》第九条；《煤矿安全规程》第五百八十三条、五百八十四条。</w:t>
            </w:r>
          </w:p>
        </w:tc>
        <w:tc>
          <w:tcPr>
            <w:tcW w:w="2497" w:type="dxa"/>
            <w:noWrap w:val="0"/>
            <w:vAlign w:val="center"/>
          </w:tcPr>
          <w:p w14:paraId="5E6B17BC">
            <w:pPr>
              <w:spacing w:line="300" w:lineRule="exact"/>
              <w:jc w:val="both"/>
              <w:rPr>
                <w:rFonts w:hint="eastAsia" w:ascii="宋体" w:hAnsi="宋体" w:eastAsia="宋体" w:cs="宋体"/>
                <w:color w:val="000000"/>
                <w:sz w:val="21"/>
                <w:szCs w:val="21"/>
              </w:rPr>
            </w:pPr>
          </w:p>
        </w:tc>
        <w:tc>
          <w:tcPr>
            <w:tcW w:w="1926" w:type="dxa"/>
            <w:noWrap w:val="0"/>
            <w:vAlign w:val="center"/>
          </w:tcPr>
          <w:p w14:paraId="12870E9A">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《安全生产违法行为行政处罚办法》第四十五条。</w:t>
            </w:r>
          </w:p>
          <w:p w14:paraId="42800BFB">
            <w:pPr>
              <w:spacing w:line="300" w:lineRule="exact"/>
              <w:jc w:val="both"/>
              <w:rPr>
                <w:rFonts w:hint="eastAsia" w:ascii="宋体" w:hAnsi="宋体" w:eastAsia="宋体" w:cs="宋体"/>
                <w:color w:val="000000"/>
                <w:sz w:val="21"/>
                <w:szCs w:val="21"/>
              </w:rPr>
            </w:pPr>
          </w:p>
        </w:tc>
        <w:tc>
          <w:tcPr>
            <w:tcW w:w="1224" w:type="dxa"/>
            <w:noWrap w:val="0"/>
            <w:vAlign w:val="center"/>
          </w:tcPr>
          <w:p w14:paraId="7BA0475D">
            <w:pPr>
              <w:spacing w:line="300" w:lineRule="exact"/>
              <w:jc w:val="both"/>
              <w:rPr>
                <w:rFonts w:hint="eastAsia" w:ascii="宋体" w:hAnsi="宋体" w:eastAsia="宋体" w:cs="宋体"/>
                <w:sz w:val="21"/>
                <w:szCs w:val="21"/>
              </w:rPr>
            </w:pPr>
          </w:p>
        </w:tc>
      </w:tr>
      <w:tr w14:paraId="6E52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7A1F4F66">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4670" w:type="dxa"/>
            <w:noWrap w:val="0"/>
            <w:vAlign w:val="center"/>
          </w:tcPr>
          <w:p w14:paraId="27C19369">
            <w:pPr>
              <w:spacing w:line="280" w:lineRule="exact"/>
              <w:ind w:firstLine="210" w:firstLineChars="1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采掘作业按设计进行，不超挖坡底线。</w:t>
            </w:r>
          </w:p>
          <w:p w14:paraId="08FB2438">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临近到界台阶时，采用控制爆破。</w:t>
            </w:r>
          </w:p>
          <w:p w14:paraId="1D8F2B55">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最终煤台阶采取防止煤风化、自然发火及沿煤层底板滑坡等措施。</w:t>
            </w:r>
          </w:p>
        </w:tc>
        <w:tc>
          <w:tcPr>
            <w:tcW w:w="3448" w:type="dxa"/>
            <w:noWrap w:val="0"/>
            <w:vAlign w:val="center"/>
          </w:tcPr>
          <w:p w14:paraId="1FB360A8">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《煤矿安全规程》第五百八十七条。</w:t>
            </w:r>
          </w:p>
        </w:tc>
        <w:tc>
          <w:tcPr>
            <w:tcW w:w="2497" w:type="dxa"/>
            <w:noWrap w:val="0"/>
            <w:vAlign w:val="center"/>
          </w:tcPr>
          <w:p w14:paraId="5280752B">
            <w:pPr>
              <w:spacing w:line="300" w:lineRule="exact"/>
              <w:jc w:val="both"/>
              <w:rPr>
                <w:rFonts w:hint="eastAsia" w:ascii="宋体" w:hAnsi="宋体" w:eastAsia="宋体" w:cs="宋体"/>
                <w:color w:val="000000"/>
                <w:sz w:val="21"/>
                <w:szCs w:val="21"/>
              </w:rPr>
            </w:pPr>
          </w:p>
        </w:tc>
        <w:tc>
          <w:tcPr>
            <w:tcW w:w="1926" w:type="dxa"/>
            <w:noWrap w:val="0"/>
            <w:vAlign w:val="center"/>
          </w:tcPr>
          <w:p w14:paraId="578A93C0">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《安全生产违法行为行政处罚办法》第四十五条。</w:t>
            </w:r>
          </w:p>
        </w:tc>
        <w:tc>
          <w:tcPr>
            <w:tcW w:w="1224" w:type="dxa"/>
            <w:noWrap w:val="0"/>
            <w:vAlign w:val="center"/>
          </w:tcPr>
          <w:p w14:paraId="71ADA20C">
            <w:pPr>
              <w:spacing w:line="300" w:lineRule="exact"/>
              <w:jc w:val="both"/>
              <w:rPr>
                <w:rFonts w:hint="eastAsia" w:ascii="宋体" w:hAnsi="宋体" w:eastAsia="宋体" w:cs="宋体"/>
                <w:sz w:val="21"/>
                <w:szCs w:val="21"/>
              </w:rPr>
            </w:pPr>
          </w:p>
        </w:tc>
      </w:tr>
      <w:tr w14:paraId="2D1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5DD80DE5">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4670" w:type="dxa"/>
            <w:noWrap w:val="0"/>
            <w:vAlign w:val="center"/>
          </w:tcPr>
          <w:p w14:paraId="5D7B28AD">
            <w:pPr>
              <w:spacing w:line="280" w:lineRule="exact"/>
              <w:ind w:firstLine="210" w:firstLineChars="1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内排土场最下部台阶的坡底与采掘台阶坡底之间留有足够的安全距离。</w:t>
            </w:r>
          </w:p>
          <w:p w14:paraId="72BD3AAF">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排土场保持平整，没有积水，修筑截泥、防洪和排水设施，防止或者减少水流入排土场。</w:t>
            </w:r>
          </w:p>
        </w:tc>
        <w:tc>
          <w:tcPr>
            <w:tcW w:w="3448" w:type="dxa"/>
            <w:noWrap w:val="0"/>
            <w:vAlign w:val="center"/>
          </w:tcPr>
          <w:p w14:paraId="38FE2050">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《煤矿安全规程》第五百八十八条、五百九十一条。</w:t>
            </w:r>
          </w:p>
        </w:tc>
        <w:tc>
          <w:tcPr>
            <w:tcW w:w="2497" w:type="dxa"/>
            <w:noWrap w:val="0"/>
            <w:vAlign w:val="center"/>
          </w:tcPr>
          <w:p w14:paraId="30A339EC">
            <w:pPr>
              <w:spacing w:line="300" w:lineRule="exact"/>
              <w:jc w:val="both"/>
              <w:rPr>
                <w:rFonts w:hint="eastAsia" w:ascii="宋体" w:hAnsi="宋体" w:eastAsia="宋体" w:cs="宋体"/>
                <w:color w:val="000000"/>
                <w:sz w:val="21"/>
                <w:szCs w:val="21"/>
              </w:rPr>
            </w:pPr>
          </w:p>
        </w:tc>
        <w:tc>
          <w:tcPr>
            <w:tcW w:w="1926" w:type="dxa"/>
            <w:noWrap w:val="0"/>
            <w:vAlign w:val="center"/>
          </w:tcPr>
          <w:p w14:paraId="00A47FD5">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《安全生产违法行为行政处罚办法》第四十五条。</w:t>
            </w:r>
          </w:p>
        </w:tc>
        <w:tc>
          <w:tcPr>
            <w:tcW w:w="1224" w:type="dxa"/>
            <w:noWrap w:val="0"/>
            <w:vAlign w:val="center"/>
          </w:tcPr>
          <w:p w14:paraId="2BF4F0F6">
            <w:pPr>
              <w:spacing w:line="300" w:lineRule="exact"/>
              <w:jc w:val="both"/>
              <w:rPr>
                <w:rFonts w:hint="eastAsia" w:ascii="宋体" w:hAnsi="宋体" w:eastAsia="宋体" w:cs="宋体"/>
                <w:sz w:val="21"/>
                <w:szCs w:val="21"/>
              </w:rPr>
            </w:pPr>
          </w:p>
        </w:tc>
      </w:tr>
      <w:tr w14:paraId="4AF8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2DA29405">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4670" w:type="dxa"/>
            <w:noWrap w:val="0"/>
            <w:vAlign w:val="center"/>
          </w:tcPr>
          <w:p w14:paraId="1E986651">
            <w:pPr>
              <w:spacing w:line="280" w:lineRule="exact"/>
              <w:ind w:firstLine="210" w:firstLineChars="1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矿场道路宽度符合通行、会车等安全要求。运输道路设置安全挡墙，高度为矿用卡车轮胎直径的2/5～3/5倍。</w:t>
            </w:r>
          </w:p>
          <w:p w14:paraId="0F5AB8BA">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长距离坡道运输系统，在适当位置设缓坡道。</w:t>
            </w:r>
          </w:p>
        </w:tc>
        <w:tc>
          <w:tcPr>
            <w:tcW w:w="3448" w:type="dxa"/>
            <w:noWrap w:val="0"/>
            <w:vAlign w:val="center"/>
          </w:tcPr>
          <w:p w14:paraId="6CAFB9CC">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pacing w:val="-10"/>
                <w:sz w:val="21"/>
                <w:szCs w:val="21"/>
              </w:rPr>
              <w:t>《煤矿安全规程》第</w:t>
            </w:r>
            <w:r>
              <w:rPr>
                <w:rFonts w:hint="eastAsia" w:ascii="宋体" w:hAnsi="宋体" w:eastAsia="宋体" w:cs="宋体"/>
                <w:color w:val="000000"/>
                <w:spacing w:val="-10"/>
                <w:sz w:val="21"/>
                <w:szCs w:val="21"/>
                <w:lang w:eastAsia="zh-CN"/>
              </w:rPr>
              <w:t>五百六十五</w:t>
            </w:r>
            <w:r>
              <w:rPr>
                <w:rFonts w:hint="eastAsia" w:ascii="宋体" w:hAnsi="宋体" w:eastAsia="宋体" w:cs="宋体"/>
                <w:color w:val="000000"/>
                <w:spacing w:val="-10"/>
                <w:sz w:val="21"/>
                <w:szCs w:val="21"/>
              </w:rPr>
              <w:t>条</w:t>
            </w:r>
            <w:r>
              <w:rPr>
                <w:rFonts w:hint="eastAsia" w:ascii="宋体" w:hAnsi="宋体" w:eastAsia="宋体" w:cs="宋体"/>
                <w:color w:val="000000"/>
                <w:spacing w:val="-10"/>
                <w:sz w:val="21"/>
                <w:szCs w:val="21"/>
                <w:lang w:eastAsia="zh-CN"/>
              </w:rPr>
              <w:t>。</w:t>
            </w:r>
          </w:p>
        </w:tc>
        <w:tc>
          <w:tcPr>
            <w:tcW w:w="2497" w:type="dxa"/>
            <w:noWrap w:val="0"/>
            <w:vAlign w:val="center"/>
          </w:tcPr>
          <w:p w14:paraId="3028AEE2">
            <w:pPr>
              <w:spacing w:line="300" w:lineRule="exact"/>
              <w:jc w:val="both"/>
              <w:rPr>
                <w:rFonts w:hint="eastAsia" w:ascii="宋体" w:hAnsi="宋体" w:eastAsia="宋体" w:cs="宋体"/>
                <w:color w:val="000000"/>
                <w:sz w:val="21"/>
                <w:szCs w:val="21"/>
              </w:rPr>
            </w:pPr>
          </w:p>
        </w:tc>
        <w:tc>
          <w:tcPr>
            <w:tcW w:w="1926" w:type="dxa"/>
            <w:noWrap w:val="0"/>
            <w:vAlign w:val="center"/>
          </w:tcPr>
          <w:p w14:paraId="4913A790">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《安全生产违法行为行政处罚办法》第四十五条。</w:t>
            </w:r>
          </w:p>
        </w:tc>
        <w:tc>
          <w:tcPr>
            <w:tcW w:w="1224" w:type="dxa"/>
            <w:noWrap w:val="0"/>
            <w:vAlign w:val="center"/>
          </w:tcPr>
          <w:p w14:paraId="326D7065">
            <w:pPr>
              <w:spacing w:line="300" w:lineRule="exact"/>
              <w:jc w:val="both"/>
              <w:rPr>
                <w:rFonts w:hint="eastAsia" w:ascii="宋体" w:hAnsi="宋体" w:eastAsia="宋体" w:cs="宋体"/>
                <w:sz w:val="21"/>
                <w:szCs w:val="21"/>
              </w:rPr>
            </w:pPr>
          </w:p>
        </w:tc>
      </w:tr>
      <w:tr w14:paraId="40AA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6A21D575">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4670" w:type="dxa"/>
            <w:noWrap w:val="0"/>
            <w:vAlign w:val="center"/>
          </w:tcPr>
          <w:p w14:paraId="698260E2">
            <w:pPr>
              <w:spacing w:line="280" w:lineRule="exact"/>
              <w:ind w:firstLine="206" w:firstLineChars="1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pacing w:val="-2"/>
                <w:sz w:val="21"/>
                <w:szCs w:val="21"/>
              </w:rPr>
              <w:t>矿山道路设限速、道口等路标，特殊路段设警示标志；汽车运输为左侧通行的，在过渡区段内设置醒目的换向标志</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rPr>
              <w:t>设备走行道路和作业场地坡度不大于设备允许的最大坡度，转弯半径不小于设备允许的最小转弯半径。</w:t>
            </w:r>
          </w:p>
        </w:tc>
        <w:tc>
          <w:tcPr>
            <w:tcW w:w="3448" w:type="dxa"/>
            <w:noWrap w:val="0"/>
            <w:vAlign w:val="center"/>
          </w:tcPr>
          <w:p w14:paraId="71E04259">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pacing w:val="-10"/>
                <w:sz w:val="21"/>
                <w:szCs w:val="21"/>
              </w:rPr>
              <w:t>《煤矿安全规程》第</w:t>
            </w:r>
            <w:r>
              <w:rPr>
                <w:rFonts w:hint="eastAsia" w:ascii="宋体" w:hAnsi="宋体" w:eastAsia="宋体" w:cs="宋体"/>
                <w:color w:val="000000"/>
                <w:spacing w:val="-10"/>
                <w:sz w:val="21"/>
                <w:szCs w:val="21"/>
                <w:lang w:eastAsia="zh-CN"/>
              </w:rPr>
              <w:t>五百一十四</w:t>
            </w:r>
            <w:r>
              <w:rPr>
                <w:rFonts w:hint="eastAsia" w:ascii="宋体" w:hAnsi="宋体" w:eastAsia="宋体" w:cs="宋体"/>
                <w:color w:val="000000"/>
                <w:spacing w:val="-10"/>
                <w:sz w:val="21"/>
                <w:szCs w:val="21"/>
              </w:rPr>
              <w:t>条</w:t>
            </w:r>
            <w:r>
              <w:rPr>
                <w:rFonts w:hint="eastAsia" w:ascii="宋体" w:hAnsi="宋体" w:eastAsia="宋体" w:cs="宋体"/>
                <w:color w:val="000000"/>
                <w:spacing w:val="-10"/>
                <w:sz w:val="21"/>
                <w:szCs w:val="21"/>
                <w:lang w:eastAsia="zh-CN"/>
              </w:rPr>
              <w:t>、</w:t>
            </w:r>
            <w:r>
              <w:rPr>
                <w:rFonts w:hint="eastAsia" w:ascii="宋体" w:hAnsi="宋体" w:eastAsia="宋体" w:cs="宋体"/>
                <w:color w:val="000000"/>
                <w:spacing w:val="-10"/>
                <w:sz w:val="21"/>
                <w:szCs w:val="21"/>
              </w:rPr>
              <w:t>第</w:t>
            </w:r>
            <w:r>
              <w:rPr>
                <w:rFonts w:hint="eastAsia" w:ascii="宋体" w:hAnsi="宋体" w:eastAsia="宋体" w:cs="宋体"/>
                <w:color w:val="000000"/>
                <w:spacing w:val="-10"/>
                <w:sz w:val="21"/>
                <w:szCs w:val="21"/>
                <w:lang w:eastAsia="zh-CN"/>
              </w:rPr>
              <w:t>五百一十二</w:t>
            </w:r>
            <w:r>
              <w:rPr>
                <w:rFonts w:hint="eastAsia" w:ascii="宋体" w:hAnsi="宋体" w:eastAsia="宋体" w:cs="宋体"/>
                <w:color w:val="000000"/>
                <w:spacing w:val="-10"/>
                <w:sz w:val="21"/>
                <w:szCs w:val="21"/>
              </w:rPr>
              <w:t>条</w:t>
            </w:r>
            <w:r>
              <w:rPr>
                <w:rFonts w:hint="eastAsia" w:ascii="宋体" w:hAnsi="宋体" w:eastAsia="宋体" w:cs="宋体"/>
                <w:color w:val="000000"/>
                <w:spacing w:val="-10"/>
                <w:sz w:val="21"/>
                <w:szCs w:val="21"/>
                <w:lang w:eastAsia="zh-CN"/>
              </w:rPr>
              <w:t>。</w:t>
            </w:r>
          </w:p>
        </w:tc>
        <w:tc>
          <w:tcPr>
            <w:tcW w:w="2497" w:type="dxa"/>
            <w:noWrap w:val="0"/>
            <w:vAlign w:val="center"/>
          </w:tcPr>
          <w:p w14:paraId="5033006D">
            <w:pPr>
              <w:spacing w:line="300" w:lineRule="exact"/>
              <w:jc w:val="both"/>
              <w:rPr>
                <w:rFonts w:hint="eastAsia" w:ascii="宋体" w:hAnsi="宋体" w:eastAsia="宋体" w:cs="宋体"/>
                <w:color w:val="000000"/>
                <w:sz w:val="21"/>
                <w:szCs w:val="21"/>
              </w:rPr>
            </w:pPr>
          </w:p>
        </w:tc>
        <w:tc>
          <w:tcPr>
            <w:tcW w:w="1926" w:type="dxa"/>
            <w:noWrap w:val="0"/>
            <w:vAlign w:val="center"/>
          </w:tcPr>
          <w:p w14:paraId="2930E082">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《安全生产违法行为行政处罚办法》第四十五条。</w:t>
            </w:r>
          </w:p>
        </w:tc>
        <w:tc>
          <w:tcPr>
            <w:tcW w:w="1224" w:type="dxa"/>
            <w:noWrap w:val="0"/>
            <w:vAlign w:val="center"/>
          </w:tcPr>
          <w:p w14:paraId="17B51E23">
            <w:pPr>
              <w:spacing w:line="300" w:lineRule="exact"/>
              <w:jc w:val="both"/>
              <w:rPr>
                <w:rFonts w:hint="eastAsia" w:ascii="宋体" w:hAnsi="宋体" w:eastAsia="宋体" w:cs="宋体"/>
                <w:sz w:val="21"/>
                <w:szCs w:val="21"/>
              </w:rPr>
            </w:pPr>
          </w:p>
        </w:tc>
      </w:tr>
      <w:tr w14:paraId="2654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3" w:type="dxa"/>
            <w:noWrap w:val="0"/>
            <w:vAlign w:val="center"/>
          </w:tcPr>
          <w:p w14:paraId="7C221730">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4670" w:type="dxa"/>
            <w:noWrap w:val="0"/>
            <w:vAlign w:val="center"/>
          </w:tcPr>
          <w:p w14:paraId="21990DE6">
            <w:pPr>
              <w:spacing w:line="280" w:lineRule="exact"/>
              <w:ind w:firstLine="206" w:firstLineChars="1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pacing w:val="-2"/>
                <w:sz w:val="21"/>
                <w:szCs w:val="21"/>
              </w:rPr>
              <w:t>矿用卡车制动、转向系统和安全装置完好，定期检验其可靠性，大型自卸车设示宽灯或者标志。</w:t>
            </w:r>
          </w:p>
        </w:tc>
        <w:tc>
          <w:tcPr>
            <w:tcW w:w="3448" w:type="dxa"/>
            <w:noWrap w:val="0"/>
            <w:vAlign w:val="center"/>
          </w:tcPr>
          <w:p w14:paraId="4730CF4E">
            <w:pPr>
              <w:spacing w:line="28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pacing w:val="-10"/>
                <w:sz w:val="21"/>
                <w:szCs w:val="21"/>
              </w:rPr>
              <w:t>《煤矿安全规程》第</w:t>
            </w:r>
            <w:r>
              <w:rPr>
                <w:rFonts w:hint="eastAsia" w:ascii="宋体" w:hAnsi="宋体" w:eastAsia="宋体" w:cs="宋体"/>
                <w:color w:val="000000"/>
                <w:spacing w:val="-10"/>
                <w:sz w:val="21"/>
                <w:szCs w:val="21"/>
                <w:lang w:eastAsia="zh-CN"/>
              </w:rPr>
              <w:t>五百六十四</w:t>
            </w:r>
            <w:r>
              <w:rPr>
                <w:rFonts w:hint="eastAsia" w:ascii="宋体" w:hAnsi="宋体" w:eastAsia="宋体" w:cs="宋体"/>
                <w:color w:val="000000"/>
                <w:spacing w:val="-10"/>
                <w:sz w:val="21"/>
                <w:szCs w:val="21"/>
              </w:rPr>
              <w:t>条</w:t>
            </w:r>
            <w:r>
              <w:rPr>
                <w:rFonts w:hint="eastAsia" w:ascii="宋体" w:hAnsi="宋体" w:eastAsia="宋体" w:cs="宋体"/>
                <w:color w:val="000000"/>
                <w:spacing w:val="-10"/>
                <w:sz w:val="21"/>
                <w:szCs w:val="21"/>
                <w:lang w:eastAsia="zh-CN"/>
              </w:rPr>
              <w:t>。</w:t>
            </w:r>
          </w:p>
        </w:tc>
        <w:tc>
          <w:tcPr>
            <w:tcW w:w="2497" w:type="dxa"/>
            <w:noWrap w:val="0"/>
            <w:vAlign w:val="center"/>
          </w:tcPr>
          <w:p w14:paraId="3154636F">
            <w:pPr>
              <w:spacing w:line="300" w:lineRule="exact"/>
              <w:jc w:val="both"/>
              <w:rPr>
                <w:rFonts w:hint="eastAsia" w:ascii="宋体" w:hAnsi="宋体" w:eastAsia="宋体" w:cs="宋体"/>
                <w:color w:val="000000"/>
                <w:sz w:val="21"/>
                <w:szCs w:val="21"/>
              </w:rPr>
            </w:pPr>
          </w:p>
        </w:tc>
        <w:tc>
          <w:tcPr>
            <w:tcW w:w="1926" w:type="dxa"/>
            <w:noWrap w:val="0"/>
            <w:vAlign w:val="center"/>
          </w:tcPr>
          <w:p w14:paraId="20AFD5F2">
            <w:pPr>
              <w:spacing w:line="30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《安全生产违法行为行政处罚办法》第四十五条。</w:t>
            </w:r>
          </w:p>
        </w:tc>
        <w:tc>
          <w:tcPr>
            <w:tcW w:w="1224" w:type="dxa"/>
            <w:noWrap w:val="0"/>
            <w:vAlign w:val="center"/>
          </w:tcPr>
          <w:p w14:paraId="6B1DC13E">
            <w:pPr>
              <w:spacing w:line="300" w:lineRule="exact"/>
              <w:jc w:val="both"/>
              <w:rPr>
                <w:rFonts w:hint="eastAsia" w:ascii="宋体" w:hAnsi="宋体" w:eastAsia="宋体" w:cs="宋体"/>
                <w:sz w:val="21"/>
                <w:szCs w:val="21"/>
              </w:rPr>
            </w:pPr>
          </w:p>
        </w:tc>
      </w:tr>
    </w:tbl>
    <w:p w14:paraId="6A66EEE4">
      <w:pPr>
        <w:jc w:val="left"/>
        <w:rPr>
          <w:spacing w:val="-2"/>
          <w:sz w:val="21"/>
          <w:szCs w:val="21"/>
        </w:rPr>
      </w:pPr>
      <w:r>
        <w:rPr>
          <w:rFonts w:hint="eastAsia"/>
          <w:spacing w:val="-2"/>
          <w:sz w:val="21"/>
          <w:szCs w:val="21"/>
        </w:rPr>
        <w:t xml:space="preserve">   </w:t>
      </w:r>
    </w:p>
    <w:p w14:paraId="39346A01"/>
    <w:p w14:paraId="4EAEC433">
      <w:pPr>
        <w:pStyle w:val="7"/>
      </w:pPr>
    </w:p>
    <w:p w14:paraId="4F3C2801">
      <w:pPr>
        <w:pStyle w:val="7"/>
      </w:pPr>
    </w:p>
    <w:p w14:paraId="2E1CA9E4">
      <w:pPr>
        <w:jc w:val="center"/>
        <w:rPr>
          <w:rFonts w:hint="eastAsia" w:ascii="方正小标宋简体" w:hAnsi="方正小标宋简体" w:eastAsia="方正小标宋简体" w:cs="方正小标宋简体"/>
          <w:b w:val="0"/>
          <w:sz w:val="44"/>
          <w:szCs w:val="44"/>
          <w:lang w:val="en-US" w:eastAsia="zh-CN"/>
        </w:rPr>
      </w:pPr>
      <w:r>
        <w:rPr>
          <w:rFonts w:hint="eastAsia" w:ascii="方正小标宋简体" w:hAnsi="方正小标宋简体" w:eastAsia="方正小标宋简体" w:cs="方正小标宋简体"/>
          <w:b w:val="0"/>
          <w:sz w:val="44"/>
          <w:szCs w:val="44"/>
          <w:lang w:val="en-US" w:eastAsia="zh-CN"/>
        </w:rPr>
        <w:t>自治区安全生产执法检查重点事项指导目录（非煤矿山企业）</w:t>
      </w:r>
    </w:p>
    <w:tbl>
      <w:tblPr>
        <w:tblStyle w:val="8"/>
        <w:tblW w:w="15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5"/>
        <w:gridCol w:w="3"/>
        <w:gridCol w:w="469"/>
        <w:gridCol w:w="1763"/>
        <w:gridCol w:w="4949"/>
        <w:gridCol w:w="3418"/>
        <w:gridCol w:w="3324"/>
        <w:gridCol w:w="22"/>
        <w:gridCol w:w="746"/>
        <w:gridCol w:w="34"/>
      </w:tblGrid>
      <w:tr w14:paraId="1D3D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793" w:hRule="atLeast"/>
          <w:tblHeader/>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A2FB3">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E452E">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执法检查重点事项内容</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5F2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检查依据</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C9A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有关规范性文件及标准要求</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1B7E">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处罚依据</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97111">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14:paraId="239A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Height w:val="585" w:hRule="atLeast"/>
        </w:trPr>
        <w:tc>
          <w:tcPr>
            <w:tcW w:w="154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014F1C">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金属非金属地下矿山</w:t>
            </w:r>
          </w:p>
        </w:tc>
      </w:tr>
      <w:tr w14:paraId="59BA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90" w:hRule="atLeast"/>
        </w:trPr>
        <w:tc>
          <w:tcPr>
            <w:tcW w:w="688" w:type="dxa"/>
            <w:gridSpan w:val="2"/>
            <w:vMerge w:val="restart"/>
            <w:tcBorders>
              <w:left w:val="single" w:color="000000" w:sz="4" w:space="0"/>
              <w:bottom w:val="single" w:color="000000" w:sz="4" w:space="0"/>
              <w:right w:val="single" w:color="000000" w:sz="4" w:space="0"/>
            </w:tcBorders>
            <w:shd w:val="clear" w:color="auto" w:fill="auto"/>
            <w:vAlign w:val="center"/>
          </w:tcPr>
          <w:p w14:paraId="22318D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232" w:type="dxa"/>
            <w:gridSpan w:val="2"/>
            <w:tcBorders>
              <w:left w:val="single" w:color="000000" w:sz="4" w:space="0"/>
              <w:bottom w:val="single" w:color="000000" w:sz="4" w:space="0"/>
              <w:right w:val="single" w:color="000000" w:sz="4" w:space="0"/>
            </w:tcBorders>
            <w:shd w:val="clear" w:color="auto" w:fill="auto"/>
            <w:vAlign w:val="center"/>
          </w:tcPr>
          <w:p w14:paraId="1165B2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1.1安全生产许可证取得</w:t>
            </w:r>
          </w:p>
        </w:tc>
        <w:tc>
          <w:tcPr>
            <w:tcW w:w="4949" w:type="dxa"/>
            <w:tcBorders>
              <w:left w:val="single" w:color="000000" w:sz="4" w:space="0"/>
              <w:bottom w:val="single" w:color="000000" w:sz="4" w:space="0"/>
              <w:right w:val="single" w:color="000000" w:sz="4" w:space="0"/>
            </w:tcBorders>
            <w:shd w:val="clear" w:color="auto" w:fill="auto"/>
            <w:vAlign w:val="center"/>
          </w:tcPr>
          <w:p w14:paraId="756EAB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《安全生产许可证条例》第二条  国家对矿山企业、建筑施工企业和危险化学品、烟花爆竹、民用爆炸物品生产企业（以下统称企业）实行安全生产许可制度。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企业未取得安全生产许可证的，不得从事生产活动。</w:t>
            </w:r>
          </w:p>
        </w:tc>
        <w:tc>
          <w:tcPr>
            <w:tcW w:w="3418" w:type="dxa"/>
            <w:tcBorders>
              <w:left w:val="single" w:color="000000" w:sz="4" w:space="0"/>
              <w:bottom w:val="single" w:color="000000" w:sz="4" w:space="0"/>
              <w:right w:val="single" w:color="000000" w:sz="4" w:space="0"/>
            </w:tcBorders>
            <w:shd w:val="clear" w:color="auto" w:fill="auto"/>
            <w:vAlign w:val="center"/>
          </w:tcPr>
          <w:p w14:paraId="19824B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left w:val="single" w:color="000000" w:sz="4" w:space="0"/>
              <w:bottom w:val="single" w:color="000000" w:sz="4" w:space="0"/>
              <w:right w:val="single" w:color="000000" w:sz="4" w:space="0"/>
            </w:tcBorders>
            <w:shd w:val="clear" w:color="auto" w:fill="auto"/>
            <w:vAlign w:val="center"/>
          </w:tcPr>
          <w:p w14:paraId="3677F4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《安全生产许可证条例》第十九条  违反本条例规定，未取得安全生产许可证擅自进行生产的，责令停止生产，没收违法所得，并处10万元以上50万元以下的罚款；造成重大事故或者其他严重后果，构成犯罪的，依法追究刑事责任。</w:t>
            </w:r>
          </w:p>
        </w:tc>
        <w:tc>
          <w:tcPr>
            <w:tcW w:w="768" w:type="dxa"/>
            <w:gridSpan w:val="2"/>
            <w:tcBorders>
              <w:left w:val="single" w:color="000000" w:sz="4" w:space="0"/>
              <w:bottom w:val="single" w:color="000000" w:sz="4" w:space="0"/>
              <w:right w:val="single" w:color="000000" w:sz="4" w:space="0"/>
            </w:tcBorders>
            <w:shd w:val="clear" w:color="auto" w:fill="auto"/>
            <w:vAlign w:val="center"/>
          </w:tcPr>
          <w:p w14:paraId="1F3D2E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03BA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90"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14:paraId="5C46D9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3DA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 安全生产许可证延期</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3E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《安全生产许可证条例》第九条  安全生产许可证的有效期为3年。安全生产许可证有效期满需要延期的，企业应当于期满前3个月向原安全生产许可证颁发管理机关办理延期手续。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AF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DD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FED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7D0C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2598"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14:paraId="1CB440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27A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 安全生产许可证变更</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74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《非煤矿矿山企业安全生产许可证实施办法》(国家安全生产监督管理总局令第20号)第二十一条  非煤矿矿山企业在安全生产许可证有效期内有下列情形之一的，应当自工商营业执照变更之日起30个工作日内向原安全生产许可证颁发管理机关申请变更安全生产许可证：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（一）变更单位名称的；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（二）变更主要负责人的；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（三）变更单位地址的；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（四）变更经济类型的；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（五）变更许可范围的。</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586">
            <w:pPr>
              <w:keepNext w:val="0"/>
              <w:keepLines w:val="0"/>
              <w:pageBreakBefore w:val="0"/>
              <w:widowControl/>
              <w:suppressLineNumbers w:val="0"/>
              <w:kinsoku/>
              <w:wordWrap/>
              <w:overflowPunct/>
              <w:topLinePunct w:val="0"/>
              <w:autoSpaceDE/>
              <w:autoSpaceDN/>
              <w:bidi w:val="0"/>
              <w:adjustRightInd/>
              <w:snapToGrid/>
              <w:spacing w:line="240" w:lineRule="exact"/>
              <w:ind w:left="638" w:leftChars="304"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DE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《非煤矿矿山企业安全生产许可证实施办法》(国家安全生产监督管理总局令第20号)第四十四条  非煤矿矿山企业在安全生产许可证有效期内，出现需要变更安全生产许可证的情形，未按本实施办法第二十一条的规定申请、办理变更手续的，责令限期办理变更手续，并处1万元以上3万元以下罚款。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5CB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0DC6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3265"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14:paraId="3D634B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2AA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1.4因采矿许可证到期及被暂扣、撤销、吊销和注销等交回安全生产许可证</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F9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《非煤矿矿山企业安全生产许可证条例实施办法》(国家安全生产监督管理总局令第20号)第二十八条  非煤矿矿山企业发现在安全生产许可证有效期内采矿许可证到期失效的，应当在采矿许可证到期前15日内向原安全生产许可证颁发管理机关报告，并交回安全生产许可证正本和副本。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采矿许可证被暂扣、撤销、吊销和注销的，非煤矿矿山企业应当在暂扣、撤销、吊销和注销后5日内向原安全生产许可证颁发管理机关报告，并交回安全生产许可证正本和副本。</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DA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A2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《非煤矿矿山企业安全生产许可证条例实施办法》(国家安全生产监督管理总局令第20号)第四十三条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17A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4B14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3169" w:hRule="atLeast"/>
        </w:trPr>
        <w:tc>
          <w:tcPr>
            <w:tcW w:w="688" w:type="dxa"/>
            <w:gridSpan w:val="2"/>
            <w:vMerge w:val="continue"/>
            <w:tcBorders>
              <w:left w:val="single" w:color="000000" w:sz="4" w:space="0"/>
              <w:bottom w:val="single" w:color="000000" w:sz="4" w:space="0"/>
              <w:right w:val="single" w:color="000000" w:sz="4" w:space="0"/>
            </w:tcBorders>
            <w:shd w:val="clear" w:color="auto" w:fill="auto"/>
            <w:vAlign w:val="center"/>
          </w:tcPr>
          <w:p w14:paraId="19233B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1"/>
                <w:szCs w:val="21"/>
                <w:u w:val="none"/>
                <w:lang w:val="en-US" w:eastAsia="zh-CN" w:bidi="ar"/>
              </w:rPr>
            </w:pP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FBE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 转让、冒用安全生产许可证或者使用伪造的安全生产许可证</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40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《安全生产许可证条例》第十三条  企业不得转让、冒用安全生产许可证或者使用伪造的安全生产许可证。</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CD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86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冒用安全生产许可证或者使用伪造的安全生产许可证的，依照本条例第十九条的规定处罚。</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662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29F8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8185"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148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3C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基本图纸及与实际符合情况</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7E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未保存基本图纸或图实不符</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31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C7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《金属非金属矿山安全规程》（GB16423-2020）4.1.10地下矿山应保存下列图纸，并根据实际情况的变化及时更新：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———矿区地形地质图、水文地质图（含平面和剖面）；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———开拓系统图；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———中段平面图；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———通风系统图；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———井上、井下对排照图；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———压风、供水、排水系统图；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———通信系统图；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———供配电系统图；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———井下避灾路线图；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———相邻采区或矿山本矿山空间位置关系图。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图中应正确标记：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———已掘进巷道和计划掘进巷道的位置、名称、规格；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———采空区和已充填采空区、废弃井巷和设计开采的采位的位置、名称与尺寸；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———通风、防尘、防火、防水、排水等主要设备和设施的位置；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———风流方向，人员安全撤离的路线和安全出口；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———井下通信设备位置；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———采空区及废弃井巷的处理方式、进度、现状及地表塌陷区的位置。</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BD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D08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按设计执行。</w:t>
            </w:r>
          </w:p>
        </w:tc>
      </w:tr>
      <w:tr w14:paraId="74EF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90"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F7F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14D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采掘系统</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7B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 矿井的安全出口</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41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8B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《金属非金属矿山安全规程》（GB16423-2020）6.1.1.1矿井的安全出口应符合下列规定：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———每个矿井至少应有两个相互独立、间距不小于30ｍ、直达地面的安全出口；矿体一翼走向长度超过1000ｍ时，此翼应有安全出口；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———每个生产水平或中段至少应有两个便于行人的安全出口，并应同通往地面的安全出口相通；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———井巷的分道口应有路标，注明其所在地点及通往地面出口的方向；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———安全出口应定期检查，保证其处于良好状态。</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BA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FCE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529B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3169"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E6F66">
            <w:pPr>
              <w:jc w:val="both"/>
              <w:rPr>
                <w:rFonts w:hint="eastAsia" w:ascii="宋体" w:hAnsi="宋体" w:eastAsia="宋体" w:cs="宋体"/>
                <w:i w:val="0"/>
                <w:color w:val="000000"/>
                <w:sz w:val="21"/>
                <w:szCs w:val="21"/>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12918">
            <w:pPr>
              <w:jc w:val="both"/>
              <w:rPr>
                <w:rFonts w:hint="eastAsia" w:ascii="宋体" w:hAnsi="宋体" w:eastAsia="宋体" w:cs="宋体"/>
                <w:i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D9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 出入井管理</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F9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3E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《金属非金属矿山安全规程》（GB16423-2020）4.7.8地下矿山企业应建立健全下井人员出入矿井登记和检查制度。入井人员应随身携带符合安全要求的照明灯具和自救器。</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12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《安全生产违法行为行政处罚办法》第四十五条  生产经营单位及其主要负责人或者其他人员有下列行为之一的，给予警告，并可以对生产经营单位处1万元以上3万元以下罚款，对其主要负责人、其他有关人员处1千元以上1万元以下的罚款：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（一）违法操作规程或者安全管理规定作业的；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77A94">
            <w:pPr>
              <w:jc w:val="center"/>
              <w:rPr>
                <w:rFonts w:hint="eastAsia" w:ascii="宋体" w:hAnsi="宋体" w:eastAsia="宋体" w:cs="宋体"/>
                <w:i w:val="0"/>
                <w:color w:val="000000"/>
                <w:sz w:val="21"/>
                <w:szCs w:val="21"/>
                <w:u w:val="none"/>
              </w:rPr>
            </w:pPr>
          </w:p>
        </w:tc>
      </w:tr>
      <w:tr w14:paraId="4FFC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242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ED2E0">
            <w:pPr>
              <w:jc w:val="center"/>
              <w:rPr>
                <w:rFonts w:hint="eastAsia" w:ascii="仿宋_GB2312" w:hAnsi="等线" w:eastAsia="仿宋_GB2312" w:cs="仿宋_GB2312"/>
                <w:i w:val="0"/>
                <w:color w:val="000000"/>
                <w:sz w:val="22"/>
                <w:szCs w:val="22"/>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34F0">
            <w:pPr>
              <w:jc w:val="center"/>
              <w:rPr>
                <w:rFonts w:hint="eastAsia" w:ascii="仿宋_GB2312" w:hAnsi="等线" w:eastAsia="仿宋_GB2312" w:cs="仿宋_GB2312"/>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5F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 顶板分级管理制度或管控措施</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33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09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《金属非金属矿山安全规程》（GB16423-2020）6.3.1.12应建立采场顶板分级管理制度。对顶板不稳固的采场，应有监控手段和处理措施。</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E6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72362">
            <w:pPr>
              <w:jc w:val="center"/>
              <w:rPr>
                <w:rFonts w:hint="eastAsia" w:ascii="宋体" w:hAnsi="宋体" w:eastAsia="宋体" w:cs="宋体"/>
                <w:i w:val="0"/>
                <w:color w:val="000000"/>
                <w:sz w:val="21"/>
                <w:szCs w:val="21"/>
                <w:u w:val="none"/>
              </w:rPr>
            </w:pPr>
          </w:p>
        </w:tc>
      </w:tr>
      <w:tr w14:paraId="0C9A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2811"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B1F2">
            <w:pPr>
              <w:jc w:val="center"/>
              <w:rPr>
                <w:rFonts w:hint="eastAsia" w:ascii="仿宋_GB2312" w:hAnsi="等线" w:eastAsia="仿宋_GB2312" w:cs="仿宋_GB2312"/>
                <w:i w:val="0"/>
                <w:color w:val="000000"/>
                <w:sz w:val="22"/>
                <w:szCs w:val="22"/>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4284">
            <w:pPr>
              <w:jc w:val="center"/>
              <w:rPr>
                <w:rFonts w:hint="eastAsia" w:ascii="仿宋_GB2312" w:hAnsi="等线" w:eastAsia="仿宋_GB2312" w:cs="仿宋_GB2312"/>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87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 按设计要求对不稳固岩层采掘支护</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D5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D2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《金属非金属矿山安全规程》（GB16423-2020）6.3.1.12  人员需要进入的采场作业面的顶板和侧面应保持稳定，矿岩不稳固时应采取支护措施。因爆破或其他原因而破坏的支护应及时修复，确认安全后方准作业。</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38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20699">
            <w:pPr>
              <w:jc w:val="center"/>
              <w:rPr>
                <w:rFonts w:hint="eastAsia" w:ascii="宋体" w:hAnsi="宋体" w:eastAsia="宋体" w:cs="宋体"/>
                <w:i w:val="0"/>
                <w:color w:val="000000"/>
                <w:sz w:val="21"/>
                <w:szCs w:val="21"/>
                <w:u w:val="none"/>
              </w:rPr>
            </w:pPr>
          </w:p>
        </w:tc>
      </w:tr>
      <w:tr w14:paraId="5A14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75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72E81">
            <w:pPr>
              <w:jc w:val="center"/>
              <w:rPr>
                <w:rFonts w:hint="eastAsia" w:ascii="仿宋_GB2312" w:hAnsi="等线" w:eastAsia="仿宋_GB2312" w:cs="仿宋_GB2312"/>
                <w:i w:val="0"/>
                <w:color w:val="000000"/>
                <w:sz w:val="22"/>
                <w:szCs w:val="22"/>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8DD7">
            <w:pPr>
              <w:jc w:val="center"/>
              <w:rPr>
                <w:rFonts w:hint="eastAsia" w:ascii="仿宋_GB2312" w:hAnsi="等线" w:eastAsia="仿宋_GB2312" w:cs="仿宋_GB2312"/>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7F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 地压管理</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36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12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《金属非金属矿山安全规程》（GB16423-2020）6.3.1.14工程地质复杂、有严重地压活动的矿山，应遵守下列规定：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———设立专门机构或专职人员负责地压管理工作，做好现场监测和预测、预报工作；</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B0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26E55">
            <w:pPr>
              <w:jc w:val="center"/>
              <w:rPr>
                <w:rFonts w:hint="eastAsia" w:ascii="宋体" w:hAnsi="宋体" w:eastAsia="宋体" w:cs="宋体"/>
                <w:i w:val="0"/>
                <w:color w:val="000000"/>
                <w:sz w:val="21"/>
                <w:szCs w:val="21"/>
                <w:u w:val="none"/>
              </w:rPr>
            </w:pPr>
          </w:p>
        </w:tc>
      </w:tr>
      <w:tr w14:paraId="3929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3216"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86AC">
            <w:pPr>
              <w:jc w:val="center"/>
              <w:rPr>
                <w:rFonts w:hint="eastAsia" w:ascii="宋体" w:hAnsi="宋体" w:eastAsia="宋体" w:cs="宋体"/>
                <w:i w:val="0"/>
                <w:color w:val="000000"/>
                <w:sz w:val="21"/>
                <w:szCs w:val="21"/>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27F78">
            <w:pPr>
              <w:jc w:val="center"/>
              <w:rPr>
                <w:rFonts w:hint="eastAsia" w:ascii="宋体" w:hAnsi="宋体" w:eastAsia="宋体" w:cs="宋体"/>
                <w:i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4F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3.6生产作业区采空区处理</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BE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D1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《金属非金属矿山安全规程》（GB16423-2020）6.3.1.15采用空场法采矿的矿山，应采取充填、隔离或强制崩落围岩的措施，及时处理采空区。</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F0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F3CF5">
            <w:pPr>
              <w:jc w:val="center"/>
              <w:rPr>
                <w:rFonts w:hint="eastAsia" w:ascii="宋体" w:hAnsi="宋体" w:eastAsia="宋体" w:cs="宋体"/>
                <w:i w:val="0"/>
                <w:color w:val="000000"/>
                <w:sz w:val="21"/>
                <w:szCs w:val="21"/>
                <w:u w:val="none"/>
              </w:rPr>
            </w:pPr>
          </w:p>
        </w:tc>
      </w:tr>
      <w:tr w14:paraId="41F6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B25D">
            <w:pPr>
              <w:jc w:val="center"/>
              <w:rPr>
                <w:rFonts w:hint="eastAsia" w:ascii="宋体" w:hAnsi="宋体" w:eastAsia="宋体" w:cs="宋体"/>
                <w:i w:val="0"/>
                <w:color w:val="000000"/>
                <w:sz w:val="21"/>
                <w:szCs w:val="21"/>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CE0B3">
            <w:pPr>
              <w:jc w:val="center"/>
              <w:rPr>
                <w:rFonts w:hint="eastAsia" w:ascii="宋体" w:hAnsi="宋体" w:eastAsia="宋体" w:cs="宋体"/>
                <w:i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A9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3.7保安矿柱</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D7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32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《金属非金属矿山安全规程》（GB16423-2020）6.3.1.6应严格保持矿柱（含顶柱、底柱和间柱等）的尺寸、形状和直立度；应有专人检查和管理，确保矿柱的稳定性。</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D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34AFA">
            <w:pPr>
              <w:jc w:val="center"/>
              <w:rPr>
                <w:rFonts w:hint="eastAsia" w:ascii="宋体" w:hAnsi="宋体" w:eastAsia="宋体" w:cs="宋体"/>
                <w:i w:val="0"/>
                <w:color w:val="000000"/>
                <w:sz w:val="21"/>
                <w:szCs w:val="21"/>
                <w:u w:val="none"/>
              </w:rPr>
            </w:pPr>
          </w:p>
        </w:tc>
      </w:tr>
      <w:tr w14:paraId="6F531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576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A7C6">
            <w:pPr>
              <w:jc w:val="center"/>
              <w:rPr>
                <w:rFonts w:hint="eastAsia" w:ascii="仿宋_GB2312" w:hAnsi="等线" w:eastAsia="仿宋_GB2312" w:cs="仿宋_GB2312"/>
                <w:i w:val="0"/>
                <w:color w:val="000000"/>
                <w:sz w:val="22"/>
                <w:szCs w:val="22"/>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66A64">
            <w:pPr>
              <w:jc w:val="center"/>
              <w:rPr>
                <w:rFonts w:hint="eastAsia" w:ascii="仿宋_GB2312" w:hAnsi="等线" w:eastAsia="仿宋_GB2312" w:cs="仿宋_GB2312"/>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C5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3.8禁止使用空场法采矿（无底柱采矿法）采场内人工装运作业、横撑支柱采矿法</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1C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生产经营单位不得使用应当淘汰的危及生产安全的工艺、设备。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《国家安全监管总局关于发布金属非金属矿山禁止使用的设备及工艺目录（第一批）的通知》（安监总管一〔2013〕101号）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新建、改建、扩建的金属非金属地下矿山一律禁止使用下列设备及工艺，现有生产地下矿山在用的下列设备及工艺，按照规定时限予以强制淘汰。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18．空场法采矿（无底柱采矿法）采场内人工装运作业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19．横撑支柱采矿法</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4D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87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（七）使用应当淘汰的危及生产安全的工艺、设备的；</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279C2">
            <w:pPr>
              <w:jc w:val="center"/>
              <w:rPr>
                <w:rFonts w:hint="eastAsia" w:ascii="宋体" w:hAnsi="宋体" w:eastAsia="宋体" w:cs="宋体"/>
                <w:i w:val="0"/>
                <w:color w:val="000000"/>
                <w:sz w:val="21"/>
                <w:szCs w:val="21"/>
                <w:u w:val="none"/>
              </w:rPr>
            </w:pPr>
          </w:p>
        </w:tc>
      </w:tr>
      <w:tr w14:paraId="0502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968"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C28DD">
            <w:pPr>
              <w:jc w:val="center"/>
              <w:rPr>
                <w:rFonts w:hint="eastAsia" w:ascii="仿宋_GB2312" w:hAnsi="等线" w:eastAsia="仿宋_GB2312" w:cs="仿宋_GB2312"/>
                <w:i w:val="0"/>
                <w:color w:val="000000"/>
                <w:sz w:val="22"/>
                <w:szCs w:val="22"/>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7B70">
            <w:pPr>
              <w:jc w:val="center"/>
              <w:rPr>
                <w:rFonts w:hint="eastAsia" w:ascii="仿宋_GB2312" w:hAnsi="等线" w:eastAsia="仿宋_GB2312" w:cs="仿宋_GB2312"/>
                <w:i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45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3.9禁止使用集中铲装作业时人工装卸矿岩、未安装捕尘装置的干式凿岩作业、主要无轨运输巷道采用人力或畜力运输矿岩</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BC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生产经营单位不得使用应当淘汰的危及生产安全的工艺、设备。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《国家安全监管总局关于发布金属非金属矿山禁止使用的设备及工艺目录（第二批）的通知》（安监总管一〔2015〕13号）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集中铲装作业时人工装卸矿岩；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6．未安装捕尘装置的干式凿岩作业；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7．主要无轨运输巷道及露天采场采用人力或畜力运输矿岩</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8B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83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（七）使用应当淘汰的危及生产安全的工艺、设备的；</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FB2D6">
            <w:pPr>
              <w:jc w:val="center"/>
              <w:rPr>
                <w:rFonts w:hint="eastAsia" w:ascii="宋体" w:hAnsi="宋体" w:eastAsia="宋体" w:cs="宋体"/>
                <w:i w:val="0"/>
                <w:color w:val="000000"/>
                <w:sz w:val="21"/>
                <w:szCs w:val="21"/>
                <w:u w:val="none"/>
              </w:rPr>
            </w:pPr>
          </w:p>
        </w:tc>
      </w:tr>
      <w:tr w14:paraId="237D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374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8FB19">
            <w:pPr>
              <w:jc w:val="center"/>
              <w:rPr>
                <w:rFonts w:hint="eastAsia" w:ascii="宋体" w:hAnsi="宋体" w:eastAsia="宋体" w:cs="宋体"/>
                <w:i w:val="0"/>
                <w:color w:val="000000"/>
                <w:sz w:val="21"/>
                <w:szCs w:val="21"/>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58178">
            <w:pPr>
              <w:jc w:val="center"/>
              <w:rPr>
                <w:rFonts w:hint="eastAsia" w:ascii="宋体" w:hAnsi="宋体" w:eastAsia="宋体" w:cs="宋体"/>
                <w:i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F3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3.10发包单位与外包单位安全生产管理协议</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5D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《中华人民共和国安全生产法》第四十九条　生产经营单位不得将生产经营项目、场所、设备发包或者出租给不具备安全生产条件或者相应资质的单位或者个人。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3F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18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6A3EA">
            <w:pPr>
              <w:jc w:val="center"/>
              <w:rPr>
                <w:rFonts w:hint="eastAsia" w:ascii="宋体" w:hAnsi="宋体" w:eastAsia="宋体" w:cs="宋体"/>
                <w:i w:val="0"/>
                <w:color w:val="000000"/>
                <w:sz w:val="21"/>
                <w:szCs w:val="21"/>
                <w:u w:val="none"/>
              </w:rPr>
            </w:pPr>
          </w:p>
        </w:tc>
      </w:tr>
      <w:tr w14:paraId="48EF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1101"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0B6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E4C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提升系统</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D0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4.1过卷保护装置及防坠装置</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36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《中华人民共和国安全生产法》第三十六条  安全设备的设计、制造、安装、使用、检测、维修、改造和报废，应当符合国家标准或者行业标准。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CD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《金属非金属矿山安全规程》（GB16423-2020）6.4.4.16竖井提升系统应符合下列规定：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———过卷段应设过卷缓冲装置或者楔形罐道，使过卷容器能够平稳地在过卷段内停住；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深度大于800ｍ的竖井应设过卷缓冲装置，使过卷容器在缓冲装置内平稳停住，并不再反向下滑或反弹；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———楔形罐道的楔形部分的斜度为1％；包括较宽部分的直线段在内的长度不小于过卷段高度的2/3；摩擦式提升系统的下行容器应比上行容器提前接触楔形罐道，提前距离不小于1ｍ。</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33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（二）安全设备的安装、使用、检测、改造和报废不符合国家标准或者行业标准的；</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70286">
            <w:pPr>
              <w:jc w:val="center"/>
              <w:rPr>
                <w:rFonts w:hint="eastAsia" w:ascii="宋体" w:hAnsi="宋体" w:eastAsia="宋体" w:cs="宋体"/>
                <w:i w:val="0"/>
                <w:color w:val="000000"/>
                <w:sz w:val="21"/>
                <w:szCs w:val="21"/>
                <w:u w:val="none"/>
              </w:rPr>
            </w:pPr>
          </w:p>
        </w:tc>
      </w:tr>
      <w:tr w14:paraId="02C5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95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24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9E3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53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4.2提升系统的保护和闭锁连锁装置</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1B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《中华人民共和国安全生产法》第三十六条  安全设备的设计、制造、安装、使用、检测、改造和报废，应当符合国家标准或者行业标准。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8D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《金属非金属矿山安全规程》（GB16423-2020）6.4.4.20主要提升矿、废石的罐笼提升系统应符合下列规定：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———井口和井下各中段马头门应设自动安全门，并与提升机连锁；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———井口和井下各中段马头门应设摇台；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———采用钢丝绳罐道时，井下各中段应设稳罐装置；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———摇台和稳罐装置应与提升机闭锁。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FE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（二）安全设备的安装、使用、检测、改造和报废不符合国家标准或者行业标准的；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212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3187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7352"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BE2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25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00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4.3提升设备定期维保及检测</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99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《中华人民共和国安全生产法》第三十六条  安全设备的设计、制造、安装、使用、检测、改造和报废，应当符合国家标准或者行业标准。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28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《金属非金属矿山安全规程》（GB16423-2020）6.4.4.29竖井提升系统应按照下列要求进行检查，发现问题立即处理，并将检查和处理结果记录存档：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———提升系统的钢丝绳、悬挂装置、提升容器、防坠器等，每天由专人检查1次，每月由矿机电部门组织检查1次；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———提升机的卷筒或摩擦轮、制动装置、调绳装置、传动装置、电动机和控制设备以及各种保护装置和闭锁装置等，每天由专人检查1次，每月由矿机电部门组织检查1次；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———提升容器的防坠器、连接装置、保险链、罐门、导向槽、罐体、罐内阻车器等，每天由专人检查1次，每月由矿机电部门组织检查1次；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———天轮、导向轮、过卷缓冲装置、罐道、尾绳隔离装置、安全门、摇台、阻车器、装卸矿设施等，每月由专人检查1次；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安装或大修后的单绳罐笼防坠器应进行脱钩试验，合格后方可使用；在用防坠器每半年进行1次不脱钩试验；每年进行1次脱钩试验；防坠器的抓捕器断面减少20％或者导向套衬瓦一侧磨损超过3ｍｍ时应更换。</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40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（二）安全设备的安装、使用、检测、改造和报废不符合国家标准或者行业标准的；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C96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71DE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81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5A4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CF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E8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禁止使用非定型竖井罐笼、Φ1.2米以下（不含Φ1.2米）用于升降人员的提升绞车、KJ型矿井提升机、JKA型矿井提升机、XKT型矿井提升机、带式制动矿用提升绞车、TKD型提升机电控装置及使用继电器结构原理的提升机电控装置</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B0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生产经营单位不得使用应当淘汰的危及生产安全的工艺、设备。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《国家安全监管总局关于发布金属非金属矿山禁止使用的设备及工艺目录（第一批）的通知》（安监总管一〔2013〕101号）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新建、改建、扩建的金属非金属地下矿山一律禁止使用下列设备及工艺，现有生产地下矿山在用的下列设备及工艺，按照规定时限予以强制淘汰。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1．非定型竖井罐笼（自发布之日起一年后禁止使用）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2．Φ1.2米以下（不含Φ1.2米）用于升降人员的提升绞车（自发布之日起一年后禁止使用）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3．KJ型矿井提升机（自发布之日起一年后禁止使用）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4．JKA型矿井提升机（自发布之日起一年后禁止使用）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5．XKT型矿井提升机（自发布之日起一年后禁止使用）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6．JTK型矿用提升绞车（自发布之日起一年半后禁止用于主提升）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7．带式制动矿用提升绞车（自发布之日起立即禁止用于主提升）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国家安全监管总局关于发布金属非金属矿山禁止使用的设备及工艺目录（第二批）的通知（安监总管一〔2015〕13号）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9．TKD型提升机电控装置及使用继电器结构原理的提升机电控装置（金属非金属地下矿山自发布之日起一年后禁止使用）。</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41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61FB">
            <w:pPr>
              <w:keepNext w:val="0"/>
              <w:keepLines w:val="0"/>
              <w:pageBreakBefore w:val="0"/>
              <w:widowControl/>
              <w:suppressLineNumbers w:val="0"/>
              <w:kinsoku/>
              <w:wordWrap/>
              <w:overflowPunct/>
              <w:topLinePunct w:val="0"/>
              <w:autoSpaceDE/>
              <w:autoSpaceDN/>
              <w:bidi w:val="0"/>
              <w:adjustRightInd/>
              <w:snapToGrid/>
              <w:spacing w:line="240" w:lineRule="exact"/>
              <w:ind w:left="-420" w:leftChars="-20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（七）使用应当淘汰的危及生产安全的工艺、设备的；</w:t>
            </w:r>
          </w:p>
          <w:p w14:paraId="58D047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EA5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73A0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3205"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5C8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7D1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通风系统</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32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 机械通风系统</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6D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生产经营单位应当建立健全生产安全事故隐患排查治理制度，采取技术、管理措施，及时发现并消除事故隐患。事故隐患排查治理情况应当如实记录，并向从业人员通报。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CE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6.6.2.1地下矿山应采用机械通风。设有在线监测系统的矿山应根据监测结果及时调整通风系统；未设置在线监测系统的矿山每年应对通风系统进行1次检测，并根据检测结果及时调整通风系统。矿山应及时更新通风系统图。通风系统图应标明通风设备、风量、风流方向、通风构筑物、与通风系统隔离的区域等。</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7F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8C7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14:paraId="25E0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DF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B44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F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 主通风机及运行</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B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《中华人民共和国安全生产法》第三十三条  安全设备的设计、制造、安装、使用、检测、改造和报废，应当符合国家标准或者行业标准。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88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6.6.3.1正常生产情况下主通风机应连续运转，满足井下生产所需风量。当主通风机发生故障或需要停机检查时，应立即向调度室和矿山企业主要负责人报告，并采取必要措施。</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E7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（二）安全设备的安装、使用、检测、改造和报废不符合国家标准或者行业标准的；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5A1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14:paraId="4134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9EE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4C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7D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 局部通风设备</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33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《中华人民共和国安全生产法》第三十三条  安全设备的设计、制造、安装、使用、检测、改造和报废，应当符合国家标准或者行业标准。 </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33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《金属非金属矿山安全规程》（GB16423-2020）6.4.4.1掘进工作面和通风不良的采场，应安装局部通风设备。局扇应有完善的保护装置。</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66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（二）安全设备的安装、使用、检测、改造和报废不符合国家标准或者行业标准的；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035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14:paraId="74C8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9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43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2E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1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 主通风机房的监控仪表设置</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95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《中华人民共和国安全生产法》第三十六条　安全设备的设计、制造、安装、使用、检测、维修、改造和报废，应当符合国家标准或者行业标准。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9A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6.6.3.4主通风机房应设有测量风压、风量、电流、电压和轴承温度等的仪表。每班都应对通风机运转情况进行检查，并有运转记录。采用自动控制的主通风机，每两周应进行1次自控系统的检查。</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25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（二）安全设备的安装、使用、检测、改造和报废不符合国家标准或者行业标准的；</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DA7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14:paraId="01F1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533"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194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46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87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 便携式气体检测报警仪和自救器配备</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FB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《中华人民共和国安全生产法》第三十六条　安全设备的设计、制造、安装、使用、检测、维修、改造和报废，应当符合国家标准或者行业标准。</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C5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《金属非金属地下矿山监测监控系统建设规范》（AQ2031-2011）5.1  地下矿山应配置足够的便携式气体检测报警仪。便携式气体检测报警仪应能测量一氧化碳、氧气、二氧化氮浓度，并具有报警参数设置和声光报警功能。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《金属非金属地下矿山紧急避险系统建设规范》（AQ2033-2011）4.4  应为入井人员配备额定防护时间不少于30min的自救器，并按入井总人数的10%配备备用自救器。</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C4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（二）安全设备的安装、使用、检测、改造和报废不符合国家标准或者行业标准的；</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DF1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1BCE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92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78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0E8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E5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 禁止使用ZH15隔绝式化学氧自救器和一氧化碳过滤式自救器</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B1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生产经营单位不得使用应当淘汰的危及生产安全的工艺、设备。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《国家安全监管总局关于发布金属非金属矿山禁止使用的设备及工艺目录（第一批）的通知》（安监总管一〔2013〕101号）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新建、改建、扩建的金属非金属地下矿山一律禁止使用下列设备及工艺，现有生产地下矿山在用的下列设备及工艺，按照规定时限予以强制淘汰。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16．ZH15隔绝式化学氧自救器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17．一氧化碳过滤式自救器</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60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C8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（七）使用应当淘汰的危及生产安全的工艺、设备的；</w:t>
            </w:r>
          </w:p>
          <w:p w14:paraId="2B129C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963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45A5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94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D7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28C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6F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 禁止使用非矿用局部通风机</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71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生产经营单位不得使用应当淘汰的危及生产安全的工艺、设备。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《国家安全监管总局关于发布金属非金属矿山禁止使用的设备及工艺目录（第一批）的通知》（安监总管一〔2013〕101号）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新建、改建、扩建的金属非金属地下矿山一律禁止使用下列设备及工艺，现有生产地下矿山在用的下列设备及工艺，按照规定时限予以强制淘汰。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13．非矿用局部通风机</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2A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08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（七）使用应当淘汰的危及生产安全的工艺、设备的；</w:t>
            </w:r>
          </w:p>
          <w:p w14:paraId="6515C0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81F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5B70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7089"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93A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54F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防灭火系统</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6B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 动火作业管理</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DC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国家矿山安全监察局关于印发《金属非金属矿山重大事故隐患判定标准》的通知（矿安〔2022〕88号）（二十九）井下或者井口动火作业未按国家规定落实审批制度或者安全措施。</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59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第6.9.1.19矿山应建立动火制度，在井下和井口建筑物内进行焊接等明火作业，应制定防火措施，经矿山企业主要负责人批准后方可动火。在井筒内进行焊接时应派专人监护；在作业部位的下方应设置收集焊渣的设施；焊接完毕应严格检查清理。</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FE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（一）违反操作规程或者安全管理规定作业的；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3EF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2A83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81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AE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EC1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7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6.2禁止使用油断路器、非阻燃电缆（含强、弱电）、非阻燃风筒、非阻燃输送带、主要井巷木支护、火雷管、导火索</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5F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生产经营单位不得使用应当淘汰的危及生产安全的工艺、设备。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《国家安全监管总局关于发布金属非金属矿山禁止使用的设备及工艺目录（第一批）的通知》（安监总管一〔2013〕101号）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新建、改建、扩建的金属非金属地下矿山一律禁止使用下列设备及工艺，现有生产地下矿山在用的下列设备及工艺，按照规定时限予以强制淘汰。……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9．油断路器（自发布之日起立即禁止使用）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10．非阻燃电缆（含强、弱电）（自发布之日起一年后禁止使用）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11．非阻燃风筒（自发布之日起半年后禁止使用）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12．非阻燃输送带（自发布之日起一年后禁止使用）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14．主要井巷木支护（新掘、维修井巷自发布之日起立即禁止使用）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15．火雷管、导火索（自发布之日起立即禁止使用）</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7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E8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（七）使用应当淘汰的危及生产安全的工艺、设备的；</w:t>
            </w:r>
          </w:p>
          <w:p w14:paraId="055C5B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798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6D75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5292"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35D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E3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防排水系统</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08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探放水作业管理及水文地质类型为中等及复杂的矿井没有设立专门防治水机构、配备探放水作业队伍或配齐专用探放水设备</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B0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75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《金属非金属矿山安全规程》（GB16423-2020）6.8.3.5对接近水体的地带或与水体有联系的可疑地段，应坚持“有疑必探，先探后掘”的原则，编制探水设计。</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A2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FCD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22C0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4801"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259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A0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供配电系统</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D4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双回路供电</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ED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1E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 5.6.1.4采矿场采用双回路供电时，每回路供电能力应均能供全负荷；采用三回路供电时，每个回路的供电能力不应小于全部负荷的50％。</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DA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773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7C98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336"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1B7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5C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地表错动区域管理</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C6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相邻矿山开采错动线重叠，未按照设计要求采取相应措施</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8B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国家矿山安全监察局关于印发《金属非金属矿山重大事故隐患判定标准》的通知 (矿安〔2022〕88号):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（十四）相邻矿山开采岩体移动范围存在交叉重叠等相互影响时，未按设计留设保安矿（岩）柱或者采取其他措施。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A7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《金属非金属矿山安全规程》（GB16423-2020）6.3.1.2地下开采时，应圈定岩体移动范围或岩体移动监测范围；地表主要建构筑物、主要井筒应布置在地表岩体移动范围之外，或者留保安矿柱消除其影响。</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4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6F8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3C08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7384"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45A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15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相邻矿山管理</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01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相邻矿山井巷互联互通</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03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国家矿山安全监察局关于印发《金属非金属矿山重大事故隐患判定标准》的通知 (矿安〔2022〕88号):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（三）不同矿权主体的相邻矿山井巷相互贯通，或者同一矿权主体相邻独立生产系统的井巷擅自贯通。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F3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0F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25F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p>
        </w:tc>
      </w:tr>
      <w:tr w14:paraId="2876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Height w:val="452" w:hRule="atLeast"/>
        </w:trPr>
        <w:tc>
          <w:tcPr>
            <w:tcW w:w="154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C0236D">
            <w:pPr>
              <w:jc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金属非金属露天矿山</w:t>
            </w:r>
          </w:p>
        </w:tc>
      </w:tr>
      <w:tr w14:paraId="443A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297"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7DC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0C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开采方式情况</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90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分台阶开采</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C2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14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《金属非金属矿山安全规程》（GB16423-2020）5.2.1.1露天开采应遵循自上而下的开采顺序，分台阶开采。</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18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783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14:paraId="2B4D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8172"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EF7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9D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采掘作业管理情况</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BD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禁止使用扩壶爆破、掏底崩落、掏挖开采、不分层的“一面墙”开采、爆破方式对大块矿岩进行二次破碎、无稳压装置的中深孔凿岩设备、集中铲装作业时人工装卸矿岩、未安装捕尘装置的干式凿岩作业</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0B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《国家安全监管总局关于发布金属非金属矿山禁止使用的设备及工艺目录（第二批）的通知》（安监总管一〔2015〕13号）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1．扩壶爆破；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2．掏底崩落、掏挖开采、不分层的“一面墙”开采；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3．使用爆破方式对大块矿岩进行二次破碎；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无稳压装置的中深孔凿岩设备；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集中铲装作业时人工装卸矿岩；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6．未安装捕尘装置的干式凿岩作业；</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15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37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EA8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1932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716"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3C1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7E5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运输系统</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E0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 带式输送机运输</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75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《中华人民共和国安全生产法》第三十六条　安全设备的设计、制造、安装、使用、检测、维修、改造和报废，应当符合国家标准或者行业标准。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79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《金属非金属矿山安全规程》（GB16423-2020）6.4.3.5带式输送机应有下列安全保护装置：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———装料点和卸料点设空仓、满仓等保护和报警装置，并与输送机联锁；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———输送带清扫装置以及防大块冲击、防输送带跑偏等的保护装置；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———紧急停车装置；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———制动装置。</w:t>
            </w:r>
            <w:r>
              <w:rPr>
                <w:rFonts w:hint="eastAsia" w:ascii="宋体" w:hAnsi="宋体" w:eastAsia="宋体" w:cs="宋体"/>
                <w:i w:val="0"/>
                <w:color w:val="000000"/>
                <w:kern w:val="0"/>
                <w:sz w:val="21"/>
                <w:szCs w:val="21"/>
                <w:u w:val="none"/>
                <w:lang w:val="en-US" w:eastAsia="zh-CN" w:bidi="ar"/>
              </w:rPr>
              <w:br w:type="textWrapping"/>
            </w:r>
          </w:p>
          <w:p w14:paraId="6BA2C4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6.4.3.6  长度超过400ｍ的带式输送机应设下列保护装置：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———防输送带撕裂、断带等保护装置；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———防止过速、过载、打滑等的保护装置；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———线路上的信号、电气联锁和紧急停车装置。</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2E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（二）安全设备的安装、使用、检测、改造和报废不符合国家标准或者行业标准的；</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5C3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13F5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7076"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EDE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FF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32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3.2主要无轨运输巷道及露天采场禁止采用人力或畜力运输矿岩</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3B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《中华人民共和国安全生产法》第三十八条　国家对严重危及生产安全的工艺、设备实行淘汰制度，具体目录由国务院应急管理部门会同国务院有关部门制定并公布。法律、行政法规对目录的制定另有规定的，适用其规定。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生产经营单位不得使用应当淘汰的危及生产安全的工艺、设备。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《国家安全监管总局关于发布金属非金属矿山禁止使用的设备及工艺目录（第二批）的通知》（安监总管一〔2015〕13号）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新建、改建、扩建的矿山从本目录发布之日起，一律禁止使用下列设备及工艺。现有生产矿山在用下列设备及工艺的，按照本目录规定的时限予以强制淘汰。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7．主要无轨运输巷道及露天采场采用人力或畜力运输矿岩；</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BC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CD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（七）使用应当淘汰的危及生产安全的工艺、设备的；</w:t>
            </w:r>
          </w:p>
          <w:p w14:paraId="51D2CE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E96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r>
      <w:tr w14:paraId="55B6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724" w:hRule="atLeast"/>
        </w:trPr>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5B9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63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边坡现场管理情况</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71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地下开采改为露天开采形成的采空区</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A7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C6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属非金属矿山安全规程》（GB16423-2020）5.1.3地下开采转为露天开采时，应确定全部地下工程和矿柱的位置并绘制在矿山平、剖面对照图上；开采前应处理对露天开采安全有威胁的地下工程和采空区，不能处理的，应采取安全措施并在开采过程中处理。</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C9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9B7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71E6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756" w:hRule="atLeast"/>
        </w:trPr>
        <w:tc>
          <w:tcPr>
            <w:tcW w:w="153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5833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黑体" w:hAnsi="黑体" w:eastAsia="黑体" w:cs="黑体"/>
                <w:i w:val="0"/>
                <w:color w:val="000000"/>
                <w:kern w:val="0"/>
                <w:sz w:val="24"/>
                <w:szCs w:val="24"/>
                <w:u w:val="none"/>
                <w:lang w:val="en-US" w:eastAsia="zh-CN" w:bidi="ar"/>
              </w:rPr>
            </w:pPr>
          </w:p>
          <w:p w14:paraId="6E42DB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尾矿库</w:t>
            </w:r>
          </w:p>
          <w:p w14:paraId="0EE749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p>
        </w:tc>
      </w:tr>
      <w:tr w14:paraId="78AC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7337"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A40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E47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坝体管理</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E2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1.1坝面维护</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7A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14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《尾矿库安全技术规程》(GB 39496—2020）6.3.11坝外坡面维护工作应按设计要求进行，尾矿坝下游坡面上不得有积水坑。坝体出现冲沟、裂 缝、塌坑等现象时,应及时处理。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CB0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E7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3B5C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505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D53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82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DF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1.2坝肩截水沟</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E4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2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《尾矿库安全技术规程》(GB 39496—2020)《尾矿库安全技术规程》5.3.20尾矿堆积坝平均堆积外坡比不得陡于1 ： 3。尾矿坝最终下游坡面应设置维护设施，维护设施 应满足下列要求：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—设置排水系统，下游坡与两岸山坡结合处应设置坝肩截水沟;尾矿堆积坝的每级马道内侧或上 游式尾矿筑坝的每级子坝下游坡脚处均应设置纵向排水沟，并应在坡面上设置人字沟或竖向 排水沟；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9.3.6检查坝面维护设施时，应检查坝肩截水沟和坝坡排水沟断面尺寸，衬砌变形、破损、断裂和磨蚀， 沟内淤堵,沿线山坡稳定性等;应检査坝坡土石覆盖等护坡实施情况。</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C67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7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734A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711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BD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50A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11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1.3堆积坝坡比</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85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FD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《尾矿库安全技术规程》(GB 39496—2020) 5.3.20尾矿堆积坝平均堆积外坡比不得陡于1 ： 3。</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4F1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4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42B9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801"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219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AC6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45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1.4子坝堆筑上升速度</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08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国家矿山安全监察局关于印发《金属非金属矿山重大事故隐患判定标准》的通知(矿安〔2022〕88号)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（五）尾矿堆积坝上升速率大于设计堆积上升速率。</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26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《尾矿库安全技术规程》(GB 39496—2020)6.9.2尾矿库存在下列重大生产安全事故隐患之一时，应立即停产，生产经营单位应制定并实施重大事故隐患治理方案，消除事故隐患：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——尾矿堆积坝上升速率大于设计堆积上升速率</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2BE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13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4218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921"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74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956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防排洪情况</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F0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排洪设施运行</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C4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B0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《尾矿库安全技术规程》(GB 39496—2020) 6.4.5尾矿库内应设置清晰醒目的水位观测标尺。汛期应加强对排洪设施检查，确保排洪设施畅通。</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4B1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9E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6CBF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81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1F5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87B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安全监测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8F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3.1人工安全监测设施</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A2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78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《尾矿设施设计规范》（GB50863-2013）（GB50863-2013）3.4.1 三等及三等以上尾矿库应设置人工监测与自动监测相结合的安全监测设施。</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AED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AA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00CF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674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84F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B5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9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3.2在线监测系统安装</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D6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《尾矿库安全监督管理规定》(原国家安全监管总局令第38号)第八条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一等、二等、三等尾矿库应当安装在线监测系统。</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A3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《尾矿库安全技术规程》(GB 39496—2020)9.6.3监测设施维护安全检查应检查监测设施是否定期检查和维护，监测设施的可靠性和完整性，人工监测设施与在线监测设施是否定期比对和校正。</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A53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《尾矿库安全监督管理规定》(原国家安全监管总局令第38号)第三十九条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83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18"/>
                <w:szCs w:val="18"/>
                <w:u w:val="none"/>
                <w:lang w:val="en-US" w:eastAsia="zh-CN" w:bidi="ar"/>
              </w:rPr>
            </w:pPr>
          </w:p>
        </w:tc>
      </w:tr>
      <w:tr w14:paraId="249D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505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8CF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7E1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放矿管理</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5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4.1多种矿石性质不同的尾砂混合排放</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8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国家矿山安全监察局关于印发《金属非金属矿山重大事故隐患判定标准》的通知(矿安〔2022〕88号)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（十一）多种矿石性质不同的尾砂混合排放时，未按设计进行排放。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《尾矿库安全监督管理规定》(原国家安全监管总局令第38号)第十八条对生产运行的尾矿库，未经技术论证和安全生产监督管理部门的批准，任何单位和个人不得对下列事项进行变更：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(三)尾矿物化特性；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52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《尾矿库安全技术规程》(GB 39496—2020)6.9.2尾矿库存在下列重大生产安全事故隐患之一时，应立即停产，生产经营单位应制定并实施重大事故隐患治理方案，消除事故隐患：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——多种矿石性质不同的尾砂混合排放时，未按设计要求进行排放</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C91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69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r w14:paraId="7484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4" w:type="dxa"/>
          <w:trHeight w:val="505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1AD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4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DC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等线" w:eastAsia="仿宋_GB2312" w:cs="仿宋_GB2312"/>
                <w:i w:val="0"/>
                <w:color w:val="000000"/>
                <w:kern w:val="0"/>
                <w:sz w:val="22"/>
                <w:szCs w:val="22"/>
                <w:u w:val="none"/>
                <w:lang w:val="en-US" w:eastAsia="zh-CN" w:bidi="ar"/>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46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4.2冰下放矿作业</w:t>
            </w:r>
          </w:p>
        </w:tc>
        <w:tc>
          <w:tcPr>
            <w:tcW w:w="4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BF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《中华人民共和国安全生产法》第四十一条　生产经营单位应当建立安全风险分级管控制度，按照安全风险分级采取相应的管控措施。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国家矿山安全监察局关于印发《金属非金属矿山重大事故隐患判定标准》的通知(矿安〔2022〕88号)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（十二）冬季未按设计要求的冰下放矿方式进行放矿作业。</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5F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《尾矿库安全技术规程》(GB 39496—2020)6.9.2尾矿库存在下列重大生产安全事故隐患之一时，应立即停产，生产经营单位应制定并实施重大事故隐患治理方案，消除事故隐患：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——冬季未按照设计要求采用冰下放矿作业；</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F9A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04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p>
        </w:tc>
      </w:tr>
    </w:tbl>
    <w:p w14:paraId="25BA0AF6">
      <w:pPr>
        <w:jc w:val="both"/>
        <w:rPr>
          <w:rFonts w:hint="eastAsia" w:ascii="方正小标宋简体" w:hAnsi="方正小标宋简体" w:eastAsia="方正小标宋简体" w:cs="方正小标宋简体"/>
          <w:b w:val="0"/>
          <w:sz w:val="44"/>
          <w:szCs w:val="44"/>
          <w:lang w:val="en-US" w:eastAsia="zh-CN"/>
        </w:rPr>
      </w:pPr>
    </w:p>
    <w:p w14:paraId="2A1DDC6E"/>
    <w:p w14:paraId="70F6BA79">
      <w:pPr>
        <w:pStyle w:val="7"/>
      </w:pPr>
    </w:p>
    <w:p w14:paraId="625518C3">
      <w:pPr>
        <w:pStyle w:val="7"/>
      </w:pPr>
    </w:p>
    <w:p w14:paraId="2CB92505">
      <w:pPr>
        <w:pStyle w:val="7"/>
      </w:pPr>
    </w:p>
    <w:p w14:paraId="5C1971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自治区安全生产执法检查重点事项指导目录（工贸行业）</w:t>
      </w:r>
    </w:p>
    <w:p w14:paraId="2DDE658E">
      <w:pPr>
        <w:pStyle w:val="11"/>
        <w:rPr>
          <w:rFonts w:hint="eastAsia"/>
          <w:lang w:val="en-US" w:eastAsia="zh-CN"/>
        </w:rPr>
      </w:pPr>
    </w:p>
    <w:tbl>
      <w:tblPr>
        <w:tblStyle w:val="8"/>
        <w:tblW w:w="14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976"/>
        <w:gridCol w:w="3948"/>
        <w:gridCol w:w="3224"/>
        <w:gridCol w:w="3315"/>
        <w:gridCol w:w="819"/>
      </w:tblGrid>
      <w:tr w14:paraId="7AC8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blHeader/>
          <w:jc w:val="center"/>
        </w:trPr>
        <w:tc>
          <w:tcPr>
            <w:tcW w:w="862" w:type="dxa"/>
            <w:vAlign w:val="center"/>
          </w:tcPr>
          <w:p w14:paraId="3A55CBB1">
            <w:pPr>
              <w:widowControl/>
              <w:adjustRightInd w:val="0"/>
              <w:snapToGrid w:val="0"/>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序号</w:t>
            </w:r>
          </w:p>
        </w:tc>
        <w:tc>
          <w:tcPr>
            <w:tcW w:w="1976" w:type="dxa"/>
            <w:vAlign w:val="center"/>
          </w:tcPr>
          <w:p w14:paraId="00E47A50">
            <w:pPr>
              <w:widowControl/>
              <w:adjustRightInd w:val="0"/>
              <w:snapToGrid w:val="0"/>
              <w:jc w:val="center"/>
              <w:rPr>
                <w:rFonts w:hint="eastAsia" w:ascii="黑体" w:hAnsi="黑体" w:eastAsia="黑体" w:cs="黑体"/>
                <w:b/>
                <w:color w:val="auto"/>
                <w:kern w:val="0"/>
                <w:sz w:val="24"/>
                <w:szCs w:val="24"/>
                <w:lang w:val="en-US" w:eastAsia="zh-CN"/>
              </w:rPr>
            </w:pPr>
            <w:r>
              <w:rPr>
                <w:rFonts w:hint="eastAsia" w:ascii="黑体" w:hAnsi="黑体" w:eastAsia="黑体" w:cs="黑体"/>
                <w:b/>
                <w:color w:val="auto"/>
                <w:kern w:val="0"/>
                <w:sz w:val="24"/>
                <w:szCs w:val="24"/>
                <w:lang w:val="en-US" w:eastAsia="zh-CN"/>
              </w:rPr>
              <w:t>执法检查重点事项内容</w:t>
            </w:r>
          </w:p>
        </w:tc>
        <w:tc>
          <w:tcPr>
            <w:tcW w:w="3948" w:type="dxa"/>
            <w:vAlign w:val="center"/>
          </w:tcPr>
          <w:p w14:paraId="0801CD59">
            <w:pPr>
              <w:widowControl/>
              <w:adjustRightInd w:val="0"/>
              <w:snapToGrid w:val="0"/>
              <w:jc w:val="center"/>
              <w:rPr>
                <w:rFonts w:hint="eastAsia" w:ascii="黑体" w:hAnsi="黑体" w:eastAsia="黑体" w:cs="黑体"/>
                <w:b/>
                <w:color w:val="auto"/>
                <w:kern w:val="0"/>
                <w:sz w:val="24"/>
                <w:szCs w:val="24"/>
              </w:rPr>
            </w:pPr>
            <w:r>
              <w:rPr>
                <w:rFonts w:hint="eastAsia" w:ascii="黑体" w:hAnsi="黑体" w:eastAsia="黑体" w:cs="黑体"/>
                <w:b/>
                <w:color w:val="auto"/>
                <w:kern w:val="0"/>
                <w:sz w:val="24"/>
                <w:szCs w:val="24"/>
                <w:lang w:val="en-US" w:eastAsia="zh-CN"/>
              </w:rPr>
              <w:t>执法检查依据</w:t>
            </w:r>
          </w:p>
        </w:tc>
        <w:tc>
          <w:tcPr>
            <w:tcW w:w="3224" w:type="dxa"/>
            <w:vAlign w:val="center"/>
          </w:tcPr>
          <w:p w14:paraId="61DF0167">
            <w:pPr>
              <w:widowControl/>
              <w:adjustRightInd w:val="0"/>
              <w:snapToGrid w:val="0"/>
              <w:jc w:val="center"/>
              <w:rPr>
                <w:rFonts w:hint="eastAsia" w:ascii="黑体" w:hAnsi="黑体" w:eastAsia="黑体" w:cs="黑体"/>
                <w:b/>
                <w:color w:val="auto"/>
                <w:kern w:val="0"/>
                <w:sz w:val="24"/>
                <w:szCs w:val="24"/>
                <w:lang w:val="en-US" w:eastAsia="zh-CN"/>
              </w:rPr>
            </w:pPr>
            <w:r>
              <w:rPr>
                <w:rFonts w:hint="eastAsia" w:ascii="黑体" w:hAnsi="黑体" w:eastAsia="黑体" w:cs="黑体"/>
                <w:b/>
                <w:color w:val="auto"/>
                <w:kern w:val="0"/>
                <w:sz w:val="24"/>
                <w:szCs w:val="24"/>
                <w:lang w:val="en-US" w:eastAsia="zh-CN"/>
              </w:rPr>
              <w:t>有关规范性文件及标准要求</w:t>
            </w:r>
          </w:p>
        </w:tc>
        <w:tc>
          <w:tcPr>
            <w:tcW w:w="3315" w:type="dxa"/>
            <w:vAlign w:val="center"/>
          </w:tcPr>
          <w:p w14:paraId="32B2583D">
            <w:pPr>
              <w:widowControl/>
              <w:adjustRightInd w:val="0"/>
              <w:snapToGrid w:val="0"/>
              <w:jc w:val="center"/>
              <w:rPr>
                <w:rFonts w:hint="eastAsia" w:ascii="黑体" w:hAnsi="黑体" w:eastAsia="黑体" w:cs="黑体"/>
                <w:b/>
                <w:color w:val="auto"/>
                <w:kern w:val="0"/>
                <w:sz w:val="24"/>
                <w:szCs w:val="24"/>
                <w:lang w:eastAsia="zh-CN"/>
              </w:rPr>
            </w:pPr>
            <w:r>
              <w:rPr>
                <w:rFonts w:hint="eastAsia" w:ascii="黑体" w:hAnsi="黑体" w:eastAsia="黑体" w:cs="黑体"/>
                <w:b/>
                <w:color w:val="auto"/>
                <w:kern w:val="0"/>
                <w:sz w:val="24"/>
                <w:szCs w:val="24"/>
                <w:lang w:val="en-US" w:eastAsia="zh-CN"/>
              </w:rPr>
              <w:t>处罚依据</w:t>
            </w:r>
          </w:p>
        </w:tc>
        <w:tc>
          <w:tcPr>
            <w:tcW w:w="819" w:type="dxa"/>
            <w:vAlign w:val="center"/>
          </w:tcPr>
          <w:p w14:paraId="4529282B">
            <w:pPr>
              <w:widowControl/>
              <w:adjustRightInd w:val="0"/>
              <w:snapToGrid w:val="0"/>
              <w:jc w:val="center"/>
              <w:rPr>
                <w:rFonts w:hint="eastAsia" w:ascii="黑体" w:hAnsi="黑体" w:eastAsia="黑体" w:cs="黑体"/>
                <w:b/>
                <w:color w:val="auto"/>
                <w:kern w:val="0"/>
                <w:sz w:val="24"/>
                <w:szCs w:val="24"/>
              </w:rPr>
            </w:pPr>
            <w:r>
              <w:rPr>
                <w:rFonts w:hint="eastAsia" w:ascii="黑体" w:hAnsi="黑体" w:eastAsia="黑体" w:cs="黑体"/>
                <w:b/>
                <w:color w:val="auto"/>
                <w:kern w:val="0"/>
                <w:sz w:val="24"/>
                <w:szCs w:val="24"/>
              </w:rPr>
              <w:t>备注</w:t>
            </w:r>
          </w:p>
        </w:tc>
      </w:tr>
      <w:tr w14:paraId="593C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7676C9F7">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1</w:t>
            </w:r>
          </w:p>
        </w:tc>
        <w:tc>
          <w:tcPr>
            <w:tcW w:w="1976" w:type="dxa"/>
            <w:vAlign w:val="center"/>
          </w:tcPr>
          <w:p w14:paraId="773AD5D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企业应与承包单位、承租单位签订专门的安全生产管理协议或者未在承包合同、租赁合同中明确各自的安全生产管理职责；并对承包单位、承租单位的安全生产工作统一协调、管理，并定期进行安全检查</w:t>
            </w:r>
          </w:p>
        </w:tc>
        <w:tc>
          <w:tcPr>
            <w:tcW w:w="3948" w:type="dxa"/>
            <w:vAlign w:val="center"/>
          </w:tcPr>
          <w:p w14:paraId="0F3D19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1.《中华人民共和国安全生产法》第四十九条 生产经营单位不得将生产经营项目、场所、设备发包或者出租给不具备安全生产条件或者相应资质的单位或者个人。  </w:t>
            </w:r>
          </w:p>
          <w:p w14:paraId="02BD90B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506ADA2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360B8F9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第三条：工贸企业有下列情形之一的，应当判定为重大事故隐患：</w:t>
            </w:r>
          </w:p>
          <w:p w14:paraId="19E5BDD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（一）未对承包单位、承租单位的安全生产工作统一协调、管理，或者未定期进行安全检查的。</w:t>
            </w:r>
          </w:p>
          <w:p w14:paraId="52F7C8E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3.《冶金企业和有色金属企业安全生产规定》（安监总局令第91号）第二十条 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p w14:paraId="69B41BE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企业应当对承包单位的安全生产进行统一协调、管理，对从事检修工程的承包单位检修方案中的安全措施和应急处置措施进行审核，监督承包单位落实。</w:t>
            </w:r>
          </w:p>
        </w:tc>
        <w:tc>
          <w:tcPr>
            <w:tcW w:w="3224" w:type="dxa"/>
            <w:vAlign w:val="center"/>
          </w:tcPr>
          <w:p w14:paraId="5399659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144D9A3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《中华人民共和国安全生产法》第一百零三条 </w:t>
            </w:r>
          </w:p>
          <w:p w14:paraId="77D6AE3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14:paraId="1D12A78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819" w:type="dxa"/>
            <w:vAlign w:val="center"/>
          </w:tcPr>
          <w:p w14:paraId="38340B16">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r>
      <w:tr w14:paraId="12F1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2B878AAB">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1976" w:type="dxa"/>
            <w:vAlign w:val="center"/>
          </w:tcPr>
          <w:p w14:paraId="037BCE3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从事特种作业人员未按国家有关规定经专门的安全作业培训，取得相应资格便开展特殊作业的</w:t>
            </w:r>
          </w:p>
        </w:tc>
        <w:tc>
          <w:tcPr>
            <w:tcW w:w="3948" w:type="dxa"/>
            <w:vAlign w:val="center"/>
          </w:tcPr>
          <w:p w14:paraId="0FB2624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1.《中华人民共和国安全生产法》第三十条 生产经营单位的特种作业人员必须按照国家有关规定经专门的安全作业培训，取得相应资格，方可上岗作业。</w:t>
            </w:r>
          </w:p>
          <w:p w14:paraId="7FCDD7C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6953DC1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第三条：工贸企业有下列情形之一的，应当判定为重大事故隐患：</w:t>
            </w:r>
          </w:p>
          <w:p w14:paraId="226AA1C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（二）特种作业人员未按照规定经专门的安全作业培训并取得相应资格，上岗作业的。</w:t>
            </w:r>
          </w:p>
          <w:p w14:paraId="686E618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3.《冶金企业和有色金属企业安全生产规定》（安监总局令第91号）《特种作业人员安全技术培训考核管理规定》第五条 特种作业人员必须经专门的安全技术培训并考核合格，取得《中华人民共和国特种作业操作证》后，方可上岗作业。没有取得特种作业相应资格的，不得上岗从事特种作业。</w:t>
            </w:r>
          </w:p>
        </w:tc>
        <w:tc>
          <w:tcPr>
            <w:tcW w:w="3224" w:type="dxa"/>
            <w:vAlign w:val="center"/>
          </w:tcPr>
          <w:p w14:paraId="79B85B1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5D8BEDB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特种作业人员未按照规定经专门的安全作业培训并取得相应资格，上岗作业的。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p>
        </w:tc>
        <w:tc>
          <w:tcPr>
            <w:tcW w:w="819" w:type="dxa"/>
            <w:vAlign w:val="center"/>
          </w:tcPr>
          <w:p w14:paraId="5D100E06">
            <w:pPr>
              <w:rPr>
                <w:rFonts w:hint="eastAsia" w:ascii="宋体" w:hAnsi="宋体" w:eastAsia="宋体" w:cs="宋体"/>
                <w:b/>
                <w:color w:val="auto"/>
                <w:kern w:val="0"/>
                <w:sz w:val="21"/>
                <w:szCs w:val="21"/>
                <w:lang w:val="en-US" w:eastAsia="zh-CN" w:bidi="ar-SA"/>
              </w:rPr>
            </w:pPr>
          </w:p>
        </w:tc>
      </w:tr>
      <w:tr w14:paraId="656E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14CC3024">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1976" w:type="dxa"/>
            <w:vAlign w:val="center"/>
          </w:tcPr>
          <w:p w14:paraId="225225B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★金属冶炼企业主要负责人、安全生产管理人员应该按照规定考核合格</w:t>
            </w:r>
          </w:p>
        </w:tc>
        <w:tc>
          <w:tcPr>
            <w:tcW w:w="3948" w:type="dxa"/>
            <w:vAlign w:val="center"/>
          </w:tcPr>
          <w:p w14:paraId="1A882E0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1.《中华人民共和国安全生产法》第二十七条 危险物品的生产、经营、储存、装卸单位及矿山、金属冶炼、建筑施工、运输单位的主要负责人和安全生产管理人员，应当由主管对负有安全生产监督管理职责的部门对其安全生产知识和管理能力考核合格。</w:t>
            </w:r>
          </w:p>
          <w:p w14:paraId="6403390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2.《冶金企业和有色金属企业安全生产规定》第十一条　企业主要负责人、安全生产管理人员应当接受安全生产教育和培训，具备与本企业生产经营活动相适应的安全生产知识和管理能力。其中，存在金属冶炼工艺的企业的主要负责人、安全生产管理人员自任职之日起6个月内，必须接受负有冶金有色安全生产监管职责的部门对其进行安全生产知识和管理能力考核，并考核合格。2..《工贸企业重大事故隐患判定标准》（应急管理部令第10号）</w:t>
            </w:r>
          </w:p>
          <w:p w14:paraId="729059D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第三条 工贸企业有下列情形之一的，应当判定为重大隐患（三）金属冶炼企业主要负责人、安全生产管理人员未按照规定考核合格。</w:t>
            </w:r>
          </w:p>
          <w:p w14:paraId="34581EC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3.《冶金企业和有色金属企业安全生产规定》（安监总局令第91号）第十一条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tc>
        <w:tc>
          <w:tcPr>
            <w:tcW w:w="3224" w:type="dxa"/>
            <w:vAlign w:val="center"/>
          </w:tcPr>
          <w:p w14:paraId="3BA99F6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7C10F2D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《中华人民共和国安全生产法》第九十七条 生产经营单位有下列行为之一的，责令限期整改，处十万元以下的罚款；逾期未改正的，责令停产停业整顿，并处十万元以上二十万元以下的罚款，对其直接负责的主管人员和其他直接责任人员处二万元以上五万元以下的罚款：</w:t>
            </w:r>
          </w:p>
          <w:p w14:paraId="32EDF7C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14:paraId="5C9CC45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 危险物品的生产、经营、储存、装卸单位及矿山、金属冶炼、建筑施工、运输单位的主要负责人和安全生产管理人员，未按照规定经考核合格的。</w:t>
            </w:r>
          </w:p>
          <w:p w14:paraId="7A6CA64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819" w:type="dxa"/>
            <w:vAlign w:val="center"/>
          </w:tcPr>
          <w:p w14:paraId="4FACA0EA">
            <w:pPr>
              <w:widowControl/>
              <w:adjustRightInd w:val="0"/>
              <w:snapToGrid w:val="0"/>
              <w:jc w:val="center"/>
              <w:rPr>
                <w:rFonts w:hint="eastAsia" w:ascii="宋体" w:hAnsi="宋体" w:eastAsia="宋体" w:cs="宋体"/>
                <w:b/>
                <w:color w:val="FF0000"/>
                <w:kern w:val="0"/>
                <w:sz w:val="21"/>
                <w:szCs w:val="21"/>
                <w:lang w:val="en-US" w:eastAsia="zh-CN" w:bidi="ar-SA"/>
              </w:rPr>
            </w:pPr>
          </w:p>
        </w:tc>
      </w:tr>
      <w:tr w14:paraId="46E1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14608DE6">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4</w:t>
            </w:r>
          </w:p>
        </w:tc>
        <w:tc>
          <w:tcPr>
            <w:tcW w:w="1976" w:type="dxa"/>
            <w:vAlign w:val="center"/>
          </w:tcPr>
          <w:p w14:paraId="160DBB3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★冶金企业、有色企业会议室、活动室、休息室、操作室、交接班室、更衣室（含澡堂）等6类人员聚集场所,以及钢铁水罐冷（热）修工位不应设置在铁水、钢水、液渣吊运跨的地坪区域内；</w:t>
            </w:r>
          </w:p>
        </w:tc>
        <w:tc>
          <w:tcPr>
            <w:tcW w:w="3948" w:type="dxa"/>
            <w:vAlign w:val="top"/>
          </w:tcPr>
          <w:p w14:paraId="5449826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6C1942D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22E0678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《冶金企业和有色金属企业安全生产规定》第二十七条： 企业的操作室、会议室、活动室、休息室、更衣室等场所不得设置在高温熔融金属吊运的影响范围内。</w:t>
            </w:r>
          </w:p>
          <w:p w14:paraId="5B81CEA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《工贸行业重大事故隐患判定标准》（应急管理部令第10号）</w:t>
            </w:r>
          </w:p>
          <w:p w14:paraId="6B732D5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第四条：冶金企业有下列情形之一的，应当判定为重大事故隐患：</w:t>
            </w:r>
          </w:p>
          <w:p w14:paraId="3A5F1E9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（一）会议室、活动室、休息室、操作室、交接班室、更衣室（含澡堂）等6类人员聚集场所,以及钢铁水罐冷（热）修工位设置在铁水、钢水、液渣吊运跨的地坪区域内的。</w:t>
            </w:r>
          </w:p>
          <w:p w14:paraId="632530E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第五条 有色企业有下列情形之一的，应当判定为重大事故隐患:</w:t>
            </w:r>
          </w:p>
          <w:p w14:paraId="570246D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（一）会议室、活动室、休息室、操作室、交接班室、更衣室（含澡堂）等6类人员聚集场所设置在熔融金属吊运跨的地坪区域内的；</w:t>
            </w:r>
          </w:p>
          <w:p w14:paraId="4DFBD08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224" w:type="dxa"/>
            <w:vAlign w:val="center"/>
          </w:tcPr>
          <w:p w14:paraId="5FC64D6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1.《高温熔融金属吊运安全规程》（AQ7011-2018）</w:t>
            </w:r>
          </w:p>
          <w:p w14:paraId="6435250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  高温熔融金属和熔渣吊运行走区域禁止设置操作室、会议室、交接班室、活动室、休息室、更衣室、澡堂等人员集聚场所；危险区域附近的上述建筑物的门、窗应背对吊运区域。</w:t>
            </w:r>
          </w:p>
          <w:p w14:paraId="7842D1F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5.17  熔融金属罐冷热修区不应设在吊运路线上，应设置通风降温设施，地面应有安全通道。</w:t>
            </w:r>
          </w:p>
          <w:p w14:paraId="31FE005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2.《有色金属工程设计防火规范》（GB 50630-2010）</w:t>
            </w:r>
          </w:p>
          <w:p w14:paraId="5D98494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4.5.6  冶炼生产厂房内具有熔融体作业区的防火设计应符合下列规定：</w:t>
            </w:r>
          </w:p>
          <w:p w14:paraId="264816A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1）.作业范围内（含地下、上空）严禁设置车间生活间。</w:t>
            </w:r>
          </w:p>
          <w:p w14:paraId="531C342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6.2.2  受炽热烘烤、熔体喷溅、明火作用的区域，不应设置控制（操作、值班）室。当必须设置时，其构件应采用不燃烧体，并应对门、窗和结构构件采取防火保护措施；当具有爆炸危险时，尚应设置有效地防爆设施。</w:t>
            </w:r>
          </w:p>
          <w:p w14:paraId="561A883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2.《铜及铜合金熔铸安全设计规范》（GB 30187-2013）</w:t>
            </w:r>
          </w:p>
          <w:p w14:paraId="0837CF0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  起吊高温铜液的起重机，其行走路线应尽量短，并禁止通过操作室、人行通道等有人区域。</w:t>
            </w:r>
          </w:p>
        </w:tc>
        <w:tc>
          <w:tcPr>
            <w:tcW w:w="3315" w:type="dxa"/>
            <w:vAlign w:val="top"/>
          </w:tcPr>
          <w:p w14:paraId="0D2FAFD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99E3C6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w:t>
            </w:r>
            <w:r>
              <w:rPr>
                <w:rFonts w:hint="default" w:ascii="宋体" w:hAnsi="宋体" w:eastAsia="宋体" w:cs="宋体"/>
                <w:i w:val="0"/>
                <w:iCs w:val="0"/>
                <w:color w:val="000000"/>
                <w:kern w:val="0"/>
                <w:sz w:val="21"/>
                <w:szCs w:val="21"/>
                <w:u w:val="none"/>
                <w:lang w:val="en-US" w:eastAsia="zh-CN" w:bidi="ar"/>
              </w:rPr>
              <w:t>第四十六条</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14:paraId="29391921">
            <w:pPr>
              <w:widowControl/>
              <w:adjustRightInd w:val="0"/>
              <w:snapToGrid w:val="0"/>
              <w:jc w:val="left"/>
              <w:rPr>
                <w:rFonts w:hint="eastAsia" w:ascii="宋体" w:hAnsi="宋体" w:eastAsia="宋体" w:cs="宋体"/>
                <w:b/>
                <w:color w:val="auto"/>
                <w:kern w:val="0"/>
                <w:sz w:val="28"/>
                <w:szCs w:val="28"/>
                <w:lang w:val="en-US" w:eastAsia="zh-CN" w:bidi="ar-SA"/>
              </w:rPr>
            </w:pPr>
          </w:p>
        </w:tc>
      </w:tr>
      <w:tr w14:paraId="1E01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1920FFA3">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7774CECB">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1751EF82">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61DCE12D">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2EBE7E9A">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1A55273C">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w:t>
            </w:r>
          </w:p>
        </w:tc>
        <w:tc>
          <w:tcPr>
            <w:tcW w:w="1976" w:type="dxa"/>
            <w:vAlign w:val="center"/>
          </w:tcPr>
          <w:p w14:paraId="51D84FC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19AAA70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7BBF067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3A43B6B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0B8C888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有色企业生产期间冶炼、精炼和铸造生产区域的事故坑、炉下渣坑，以及熔融金属泄漏和喷溅影响范围内的炉前平台、炉基区域、厂房内吊运和地面运输通道等6类区域，机械企业生产期间铸造用熔炼炉、精炼炉、保温炉的炉底、炉坑和 事故坑，以及熔融金属泄漏、喷溅影响范围内的炉前平台、炉基区 域、造型地坑、浇注作业坑和熔融金属转运通道等8类区域严禁存在积水。</w:t>
            </w:r>
          </w:p>
        </w:tc>
        <w:tc>
          <w:tcPr>
            <w:tcW w:w="3948" w:type="dxa"/>
            <w:vAlign w:val="center"/>
          </w:tcPr>
          <w:p w14:paraId="4334ED0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4BEBE55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36F0479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2.《冶金企业和有色金属企业安全生产规定》第二十八条  企业在进行高温熔融金属冶炼、保温、运输、吊运过程中，应当采取防止泄漏、喷溅、爆炸伤人的安全措施，其影响区域不得有非生产性积水。</w:t>
            </w:r>
          </w:p>
          <w:p w14:paraId="26C6389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第二十九条 ：企业对电炉、电解车间应当采取防雨措施和有效的排水设施，防止雨水进入槽下地坪，确保电炉、电解槽下没有积水。                               3.《工贸行业重大事故隐患判定标准》（应急管理部令第10号）</w:t>
            </w:r>
          </w:p>
          <w:p w14:paraId="1EFF7AB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第四条冶金企业有下列情形之一的，应当判定为重大事故隐患</w:t>
            </w:r>
          </w:p>
          <w:p w14:paraId="725ADD5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（二）生产期间冶炼、精炼和铸造生产区域的事故坑、炉下渣坑，以及熔融金属泄漏和喷溅影响范围内的炉前平台、炉基区域、厂房内吊运和地面运输通道等6类区域存在积水的；</w:t>
            </w:r>
          </w:p>
          <w:p w14:paraId="126A559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第五条 有色企业有下列情形之一的，应当判定为重大事故隐患:</w:t>
            </w:r>
          </w:p>
          <w:p w14:paraId="5DECD07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（二）生产期间冶炼、精炼、铸造生产区域的事故坑、炉下渣坑，以及熔融金属泄漏、喷溅影响范围内的炉前平台、炉基区域、厂房内吊运和地面运输通道等6类区域存在非生产性积水的；</w:t>
            </w:r>
          </w:p>
          <w:p w14:paraId="16668C0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第七条 机械企业有下列情形之一的，应当判定为重大事故隐患：</w:t>
            </w:r>
          </w:p>
          <w:p w14:paraId="502E1B5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（三）生产期间铸造用熔炼炉、精炼炉、保温炉的炉底、炉坑和 事故坑，以及熔融金属泄漏、喷溅影响范围内的炉前平台、炉基区 域、造型地坑、浇注作业坑和熔融金属转运通道等8类区域存在积水的</w:t>
            </w:r>
          </w:p>
        </w:tc>
        <w:tc>
          <w:tcPr>
            <w:tcW w:w="3224" w:type="dxa"/>
            <w:vAlign w:val="center"/>
          </w:tcPr>
          <w:p w14:paraId="3337904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1.《炼钢安全规程》（AQ2001-2018）</w:t>
            </w:r>
          </w:p>
          <w:p w14:paraId="0128AA1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6.2.7铁水预处理、转炉、AOD炉、电炉、精炼炉的炉下区域，应采取防止积水的措施；炉下漏钢坑应按防水要求设计施工，其内表应砌相应防护材料保护，且干燥后方可使用；炉下钢水罐车、渣罐车运行区域，地面应保持干燥；炉下热泼渣区，周围应设隔热防护结构，其他坪应防止积水；炉渣冲击与挖掘机铲渣地点，应在耐热混凝土基础上铺砌厚铸铁板或采取其他措施保护。</w:t>
            </w:r>
          </w:p>
          <w:p w14:paraId="3D0EA54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6.2.8不允许渗水的坑、槽、沟，应按防水要求设计施工。</w:t>
            </w:r>
          </w:p>
          <w:p w14:paraId="0683B9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7.3.4混铁炉与倒罐站作业区地坪及受铁坑内，不应有水。凡受铁水辐射热及喷溅影响的建、构筑物，均应采取防护措施。</w:t>
            </w:r>
          </w:p>
          <w:p w14:paraId="25B5D07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9.1.3炉基周围应保持清洁干燥，不应积水和堆积废料。炉基水槽应保持畅通。</w:t>
            </w:r>
          </w:p>
          <w:p w14:paraId="4292223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2.《有色金属工程设计防火规范》（GB 50630-2010）</w:t>
            </w:r>
          </w:p>
          <w:p w14:paraId="7E4BF8E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4.5.6  冶炼生产厂房内具有熔融体作业区的防火设计应符合下列规定：2.应采取防止雨雪飘淋室内的措施，严禁地面积水；不应在场地内设置水沟和给、排水管道，当必需设置时，应有避免水沟中积水和渗漏可靠构造措施。</w:t>
            </w:r>
          </w:p>
          <w:p w14:paraId="62AF0EC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3.《铜及铜合金熔铸安全设计规范》（GB 30187-2013）</w:t>
            </w:r>
          </w:p>
          <w:p w14:paraId="1F2D6B5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8.10.8  具有熔融铜液（熔渣）的作业、吊运及浇铸场所，不宜设置地沟，不应敷设上、下管道；屋面防水等级不应低于二级，并应有放置雨水渗漏的可靠措施。生产确需设置地沟或地坑时，应有严密的防水设施。</w:t>
            </w:r>
          </w:p>
          <w:p w14:paraId="299B52B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4.《高温熔融金属吊运安全规程》（AQ 7011-2018）：5.10存放、运输高温熔融金属和熔渣的场所，应设有防雨设施，不应设有积水的沟、坑等。如生产确需设置地面沟或坑等时，必须有严密的防水措施：易积水的沟、槽、坑，应有排水措施，不得积水。5.11熔融金属治炼（熔炼）炉的炉下及周围、熔融金属罐、渣罐和浇包吊运区域、熔融金属桶车和渣罐车运行区域，地面不得有积水，不应堆放潮湿物品和其他易燃、易爆物品。《冶金企业和有色金属企业安全生产规定》第二十八条 企业在进行高温熔融金属冶炼、保温、运输、吊运过程中，应当采取防止泄漏、喷溅、爆炸伤人的安全措施，其影响区域不得有非生产性积水。</w:t>
            </w:r>
          </w:p>
        </w:tc>
        <w:tc>
          <w:tcPr>
            <w:tcW w:w="3315" w:type="dxa"/>
            <w:vAlign w:val="center"/>
          </w:tcPr>
          <w:p w14:paraId="2FC6C30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93E493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w:t>
            </w:r>
            <w:r>
              <w:rPr>
                <w:rFonts w:hint="default" w:ascii="宋体" w:hAnsi="宋体" w:eastAsia="宋体" w:cs="宋体"/>
                <w:i w:val="0"/>
                <w:iCs w:val="0"/>
                <w:color w:val="000000"/>
                <w:kern w:val="0"/>
                <w:sz w:val="21"/>
                <w:szCs w:val="21"/>
                <w:u w:val="none"/>
                <w:lang w:val="en-US" w:eastAsia="zh-CN" w:bidi="ar"/>
              </w:rPr>
              <w:t>第四十六条</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14:paraId="22657B6C">
            <w:pPr>
              <w:widowControl/>
              <w:adjustRightInd w:val="0"/>
              <w:snapToGrid w:val="0"/>
              <w:jc w:val="center"/>
              <w:rPr>
                <w:rFonts w:hint="eastAsia" w:ascii="宋体" w:hAnsi="宋体" w:cs="宋体"/>
                <w:b/>
                <w:color w:val="auto"/>
                <w:kern w:val="0"/>
                <w:sz w:val="28"/>
                <w:szCs w:val="28"/>
              </w:rPr>
            </w:pPr>
          </w:p>
        </w:tc>
      </w:tr>
      <w:tr w14:paraId="2F54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2113C3A7">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6FBAE276">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2F311725">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28839EBC">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6</w:t>
            </w:r>
          </w:p>
        </w:tc>
        <w:tc>
          <w:tcPr>
            <w:tcW w:w="1976" w:type="dxa"/>
            <w:vAlign w:val="center"/>
          </w:tcPr>
          <w:p w14:paraId="24B9050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3D77E48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12E934E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5CA53DF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581C5C7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0082E0E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4163CAE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★冶金企业炼钢连铸流程应设置事故钢水罐、中间罐漏钢坑（槽）、中间罐溢流坑（槽）、漏钢回转溜槽，模铸流程应设置事故钢水罐（坑、槽）</w:t>
            </w:r>
          </w:p>
        </w:tc>
        <w:tc>
          <w:tcPr>
            <w:tcW w:w="3948" w:type="dxa"/>
            <w:vAlign w:val="center"/>
          </w:tcPr>
          <w:p w14:paraId="46CB44D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05E32D7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11DFF00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2.《冶金企业和有色金属企业安全生产规定》第二十九条 ： 企业对电炉、铸造熔炼炉、保温炉、倾翻炉、铸机、流液槽、熔盐电解槽等设备，应当设置熔融金属紧急排放和储存的设施，并在设备周围设置拦挡围堰，防止熔融金属外流。                            </w:t>
            </w:r>
          </w:p>
          <w:p w14:paraId="73C6DAC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3.《工贸行业重大事故隐患判定标准》（应急管理部令第10号）</w:t>
            </w:r>
          </w:p>
          <w:p w14:paraId="06AA373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第四条冶金企业有下列情形之一的，应当判定为重大事故隐患:</w:t>
            </w:r>
          </w:p>
          <w:p w14:paraId="4361CD5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(三）炼钢连铸流程应设置事故钢水罐、中间罐漏钢坑（槽）、中间罐溢流坑（槽）、漏钢回转溜槽，或者模铸流程未设置事故钢水罐（坑、槽）的；</w:t>
            </w:r>
          </w:p>
        </w:tc>
        <w:tc>
          <w:tcPr>
            <w:tcW w:w="3224" w:type="dxa"/>
            <w:vAlign w:val="center"/>
          </w:tcPr>
          <w:p w14:paraId="7C1C7A0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1.《炼钢安全规程》（AQ2001-2018）</w:t>
            </w:r>
          </w:p>
          <w:p w14:paraId="587E9E1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12.3.3  连铸浇注区，应设事故钢水罐、溢流槽、中间溢流罐、钢水罐漏钢回转溜槽、中间罐漏钢坑及钢水罐滑板事故关闭系统。应保持以上应急设施干燥，不得存放其它物品，以保证流通或容量。</w:t>
            </w:r>
          </w:p>
          <w:p w14:paraId="3F6DBBA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2.《高温熔融金属吊运安全规程》（AQ7011-2018）</w:t>
            </w:r>
          </w:p>
          <w:p w14:paraId="34F90B4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  吊运高温熔融金属和熔渣的区域应设置事故罐，事故罐放置应在专用位置或专用支架上，并设置明显安全警示标识。</w:t>
            </w:r>
          </w:p>
        </w:tc>
        <w:tc>
          <w:tcPr>
            <w:tcW w:w="3315" w:type="dxa"/>
            <w:vAlign w:val="center"/>
          </w:tcPr>
          <w:p w14:paraId="7A02B4C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CBC451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w:t>
            </w:r>
            <w:r>
              <w:rPr>
                <w:rFonts w:hint="default" w:ascii="宋体" w:hAnsi="宋体" w:eastAsia="宋体" w:cs="宋体"/>
                <w:i w:val="0"/>
                <w:iCs w:val="0"/>
                <w:color w:val="000000"/>
                <w:kern w:val="0"/>
                <w:sz w:val="21"/>
                <w:szCs w:val="21"/>
                <w:u w:val="none"/>
                <w:lang w:val="en-US" w:eastAsia="zh-CN" w:bidi="ar"/>
              </w:rPr>
              <w:t>第四十六条</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14:paraId="52ACFA9A">
            <w:pPr>
              <w:widowControl/>
              <w:adjustRightInd w:val="0"/>
              <w:snapToGrid w:val="0"/>
              <w:jc w:val="center"/>
              <w:rPr>
                <w:rFonts w:hint="eastAsia" w:ascii="宋体" w:hAnsi="宋体" w:cs="宋体"/>
                <w:b/>
                <w:color w:val="auto"/>
                <w:kern w:val="0"/>
                <w:sz w:val="28"/>
                <w:szCs w:val="28"/>
              </w:rPr>
            </w:pPr>
          </w:p>
        </w:tc>
      </w:tr>
      <w:tr w14:paraId="0800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45AE2475">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179DE333">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485178CC">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6C58D48E">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012CDBD0">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05F329D9">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7</w:t>
            </w:r>
          </w:p>
        </w:tc>
        <w:tc>
          <w:tcPr>
            <w:tcW w:w="1976" w:type="dxa"/>
            <w:vAlign w:val="center"/>
          </w:tcPr>
          <w:p w14:paraId="376F655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3E1DAD5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579D026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781721F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52E23CB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32C02A5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15FC940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21A07FF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04831F3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7F44107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490010D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转炉、电弧炉、AOD炉、LF炉、RH炉、VOD炉等炼钢炉的水冷元件应设置出水温度、进出水流量差等监测报警装置，监测报警装置应与炉体倾动、氧（副）枪自动提升、电极自动断电和升起装置联锁；机械企业铸造用熔炼炉、精炼炉、压铸机、氧枪的冷却水系统应设置出水温度、进出水流量差监测报警装置，或者监测报警装置应与熔融金属加热、输送控制系统联锁</w:t>
            </w:r>
          </w:p>
        </w:tc>
        <w:tc>
          <w:tcPr>
            <w:tcW w:w="3948" w:type="dxa"/>
            <w:vAlign w:val="center"/>
          </w:tcPr>
          <w:p w14:paraId="3BFF642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1FF4320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28FAB4B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6F72F22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第四条 冶金企业有下列情形之一的，应当判定为重大事故隐患:</w:t>
            </w:r>
          </w:p>
          <w:p w14:paraId="6FA72B5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（四）转炉、电弧炉、AOD炉、LF炉、RH炉、VOD炉等炼钢炉的水冷元件未设置出水温度、进出水流量差等监测报警装置，或者监测报警装置未与炉体倾动、氧（副）枪自动提升、电极自动断电和升起装置联锁的；</w:t>
            </w:r>
          </w:p>
          <w:p w14:paraId="1AC52F1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第七条 机械企业有下列情形之一的，应当判定为重大事故隐患：</w:t>
            </w:r>
          </w:p>
          <w:p w14:paraId="703F4A4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铸造用熔炼炉、精炼炉、压铸机、氧枪的冷却水系统未设置出水温度、进出水流量差监测报警装置，或者监测报警装置未与熔融金属加热、输送控制系统联锁的。</w:t>
            </w:r>
          </w:p>
        </w:tc>
        <w:tc>
          <w:tcPr>
            <w:tcW w:w="3224" w:type="dxa"/>
            <w:vAlign w:val="center"/>
          </w:tcPr>
          <w:p w14:paraId="75F1558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1.《炼钢安全规程》（AQ2001-2018）</w:t>
            </w:r>
          </w:p>
          <w:p w14:paraId="5094E86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 转炉氧枪升降装置，应配备钢绳张力测定、钢绳断裂防坠、事故驱动等安全装置；各枪位停靠点，应与转炉倾动、氧气开闭、冷却水流量和温度等联锁；当氧气压力小于规定值、冷却水流量低于规定值、出水温度超过规定值、进出水流量差大于规定值时，氧枪应自动升起，停止吹氧。转炉氧枪供水，应设置电动或气动快速切断阀。转炉副枪升降装置，应配备钢绳张力测定、钢绳断裂防坠、事故驱动等安全装置；各枪位停靠点，应与转炉倾动、冷却水流量和温度等联锁；当冷却水流量低于规定值、出水温度超过规定值、进出水流量差大于规定值时，副枪应自动升起，停止测量。转炉副枪供水，应设置电动或气动快速切断阀。……</w:t>
            </w:r>
          </w:p>
          <w:p w14:paraId="3F8F656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9.2.6 转炉吹氧期间发生以下情况，应及时提枪停吹：氧枪冷却水流量、氧压低于规定值，出水温度高于规定值，氧枪漏水，水冷炉口、烟罩和加料溜槽口等水冷件漏水，停电。11.1.4 受钢液高温影响的水冷元件，应采取必要的安全措施，确保在断电期间保护设备免遭损坏； 可能因冷却水泄漏酿成爆炸事故的水冷元件，如VOD、CAS-OB、IR-UT、RH-KTB中的水冷氧枪, 应配备进出水流量差报警装置；报警信号发出后，氧枪应自动提升并停止供氧，停止精炼作业。   </w:t>
            </w:r>
          </w:p>
          <w:p w14:paraId="1B11D87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10.1.8 水冷炉壁与炉盖的水冷板、Consteel炉连接小车水套、竖井水冷件等，应配置出水温度与进出水流量差检测、报警装置。出水温度超过规定值、进出水流量差报警时，应自动断电并升起电极停止冶炼，操作人员应迅速查明原因，排除故障，然后恢复供电。</w:t>
            </w:r>
          </w:p>
          <w:p w14:paraId="2BD61F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11.1.4 受钢液高温影响的水冷元件，应采取必要的安全措施，确保在断电期间保护设备免遭损坏；可能因冷却水泄漏酿成爆炸事故的水冷元件，如VOD、CAS-OB、IR-UT、RH-KTB中的水冷氧枪，应配备进出水流量差报警装置；报警信号发出后，氧枪应自动提升并停止供氧，停止精炼作业。</w:t>
            </w:r>
          </w:p>
          <w:p w14:paraId="2116E68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2.《冲天炉与冲天炉加料机安全要求》（GB 21501-2008）</w:t>
            </w:r>
          </w:p>
          <w:p w14:paraId="023FE6E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5.4.7  水冷炉的炉壳应严密，冷却水不应向炉内渗漏”；</w:t>
            </w:r>
          </w:p>
          <w:p w14:paraId="5C03FF5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3.《电热装置的安全 第3部分：对感应和导电加热装置以及感应熔炼装置的特殊要求》（GB 5959.3-2008）</w:t>
            </w:r>
          </w:p>
          <w:p w14:paraId="379CF8D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  如果加热感应器的冷却效果不足而对工作人员造成危险或对设备的主要部件有损害时，应发出报警信号并自动切断加热电源。</w:t>
            </w:r>
          </w:p>
        </w:tc>
        <w:tc>
          <w:tcPr>
            <w:tcW w:w="3315" w:type="dxa"/>
            <w:vAlign w:val="center"/>
          </w:tcPr>
          <w:p w14:paraId="7DD5FF2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052081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819" w:type="dxa"/>
            <w:vAlign w:val="center"/>
          </w:tcPr>
          <w:p w14:paraId="7AD7C2E1">
            <w:pPr>
              <w:widowControl/>
              <w:adjustRightInd w:val="0"/>
              <w:snapToGrid w:val="0"/>
              <w:jc w:val="center"/>
              <w:rPr>
                <w:rFonts w:hint="eastAsia" w:ascii="宋体" w:hAnsi="宋体" w:cs="宋体"/>
                <w:b/>
                <w:color w:val="auto"/>
                <w:kern w:val="0"/>
                <w:sz w:val="28"/>
                <w:szCs w:val="28"/>
              </w:rPr>
            </w:pPr>
          </w:p>
        </w:tc>
      </w:tr>
      <w:tr w14:paraId="2AD8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6DEF9BC8">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8</w:t>
            </w:r>
          </w:p>
        </w:tc>
        <w:tc>
          <w:tcPr>
            <w:tcW w:w="1976" w:type="dxa"/>
            <w:vAlign w:val="center"/>
          </w:tcPr>
          <w:p w14:paraId="25F3180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冶金企业高炉生产期间炉顶工作压力设定值不应超过设计文件规定的最高工作压力，炉顶工作压力监测装置应与炉顶放散阀联锁，炉顶放散阀的联锁放散压力设定值不应超过设备设计压力值</w:t>
            </w:r>
          </w:p>
          <w:p w14:paraId="055F426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948" w:type="dxa"/>
            <w:vAlign w:val="center"/>
          </w:tcPr>
          <w:p w14:paraId="39320DA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4159D98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662A255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66F4484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第四条 冶金企业有下列情形之一的，应当判定为重大事故隐患:</w:t>
            </w:r>
          </w:p>
          <w:p w14:paraId="1A17111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（五）高炉生产期间炉顶工作压力设定值不应超过设计文件规定的最高工作压力，炉顶工作压力监测装置应与炉顶放散阀联锁，炉顶放散阀的联锁放散压力设定值不应超过设备设计压力值的；</w:t>
            </w:r>
          </w:p>
        </w:tc>
        <w:tc>
          <w:tcPr>
            <w:tcW w:w="3224" w:type="dxa"/>
            <w:vAlign w:val="center"/>
          </w:tcPr>
          <w:p w14:paraId="5E21E3B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《炼铁安全规程》AQ2002-2018</w:t>
            </w:r>
          </w:p>
          <w:p w14:paraId="2ABD9FF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8.1.1 炉顶工作压力不应超过设计值。</w:t>
            </w:r>
          </w:p>
          <w:p w14:paraId="3B1AE35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8.3.8 炉顶系统主要设备安全联锁。</w:t>
            </w:r>
          </w:p>
          <w:p w14:paraId="34658CD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《高炉炼铁安全生产操作技术要求》YB∕T 4591-2017</w:t>
            </w:r>
          </w:p>
          <w:p w14:paraId="0FC944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 3：炉顶放散阀应选择自动操作模式,炉顶操作的最高峰值压力不应超过设计文件规定的最高工作压 力。当炉顶压力超过设计文件规定的最高工作压力时，应及时开启炉顶放散阀泄放炉顶压力。 3《高炉炼铁工程设计规范》.GB50427-2015</w:t>
            </w:r>
          </w:p>
          <w:p w14:paraId="3656BA9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7.0.11正常操作时，炉顶放散阀应选择自动模式，在炉顶压力超过设备压力时控制，系统应自动开启放散阀泄，压当恢复到正常压力水平时在关闭该放散。炉顶煤气放散阀还应设置机械超压开启功能。</w:t>
            </w:r>
          </w:p>
        </w:tc>
        <w:tc>
          <w:tcPr>
            <w:tcW w:w="3315" w:type="dxa"/>
            <w:vAlign w:val="center"/>
          </w:tcPr>
          <w:p w14:paraId="7909CC5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2A0FB9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819" w:type="dxa"/>
            <w:vAlign w:val="center"/>
          </w:tcPr>
          <w:p w14:paraId="4E814B90">
            <w:pPr>
              <w:widowControl/>
              <w:adjustRightInd w:val="0"/>
              <w:snapToGrid w:val="0"/>
              <w:jc w:val="center"/>
              <w:rPr>
                <w:rFonts w:hint="eastAsia" w:ascii="宋体" w:hAnsi="宋体" w:cs="宋体"/>
                <w:b/>
                <w:color w:val="auto"/>
                <w:kern w:val="0"/>
                <w:sz w:val="28"/>
                <w:szCs w:val="28"/>
              </w:rPr>
            </w:pPr>
          </w:p>
        </w:tc>
      </w:tr>
      <w:tr w14:paraId="4D2A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4616FA74">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9</w:t>
            </w:r>
          </w:p>
        </w:tc>
        <w:tc>
          <w:tcPr>
            <w:tcW w:w="1976" w:type="dxa"/>
            <w:vAlign w:val="center"/>
          </w:tcPr>
          <w:p w14:paraId="2C2E9B9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14F2718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76117C1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10B2E93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0901900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5C3FC0C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煤气生产、回收净化、加压混合、储存、使用设施附近的会议室、活动室、休息室、操作室、交接班室、更衣室等6类人员聚集场所，以及可能发生煤气泄漏、积聚的场所和部位应设置固定式一氧化碳浓度监测报警装置，监测数据应接入24小时有人值守场所</w:t>
            </w:r>
          </w:p>
        </w:tc>
        <w:tc>
          <w:tcPr>
            <w:tcW w:w="3948" w:type="dxa"/>
            <w:vAlign w:val="center"/>
          </w:tcPr>
          <w:p w14:paraId="56DC4F2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1.《中华人民共和国安全生产法》第三十六条：安全设备的设计、制造、安装、使用、检测、维修、改造和报废，应当符合国家标准或者行业标准。</w:t>
            </w:r>
          </w:p>
          <w:p w14:paraId="64DD6D3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生产经营单位必须对安全设备进行经常性维护、保养，并定期检测，保证正常运转。维护、保养、检测应当作好记录，并由有关人员签字。</w:t>
            </w:r>
          </w:p>
          <w:p w14:paraId="500CD66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第四十一条：生产经营单位应当建立健全并落实生产安全事故隐患排查治理制度，采取技术、管理措施，及时发现并消除事故隐患。</w:t>
            </w:r>
          </w:p>
          <w:p w14:paraId="151614E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2.《冶金企业和有色金属企业安全生产规定》第三十二条  生产、储存、使用煤气的企业应当严格执行《工业企业煤气安全规程》（GB6222），在可能发生煤气泄漏、聚集的场所，设置固定式煤气检测报警仪和安全警示标志。                             3.《工贸行业重大事故隐患判定标准》（应急管理部令第10号）</w:t>
            </w:r>
          </w:p>
          <w:p w14:paraId="3FC9548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第四条 冶金企业有下列情形之一的，应当判定为重大事故隐患:</w:t>
            </w:r>
          </w:p>
          <w:p w14:paraId="743101A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14:paraId="36CB056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224" w:type="dxa"/>
            <w:vAlign w:val="center"/>
          </w:tcPr>
          <w:p w14:paraId="2D25836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1.《工业企业煤气安全规程》（GB 6222-2005）</w:t>
            </w:r>
          </w:p>
          <w:p w14:paraId="51F5666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4.10 煤气危险区(如地下室、加压站、热风炉及各种煤气发生设施附近)的一氧化碳浓度应定期测定，在关键部位应设置一氧化碳监测装置。作业环境一氧化碳最高允许浓度为30mg/m3（24ppm）。</w:t>
            </w:r>
          </w:p>
          <w:p w14:paraId="4F076CF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8.2.4站房内应设有一氧化碳监测装置，并把检测信号传送到管理室内。</w:t>
            </w:r>
          </w:p>
          <w:p w14:paraId="3572A15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9.2.2.3活塞上部应备有一氧化碳检测报警装置及空气呼吸器。</w:t>
            </w:r>
          </w:p>
          <w:p w14:paraId="2CAB51E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076C34C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60E075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14:paraId="59BA9E3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（二）安全设备的安装、使用、检测、改造和报废不符合国家标准或者行业标准的；</w:t>
            </w:r>
          </w:p>
          <w:p w14:paraId="101AE02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（三）未对安全设备进行经常性维护、保养和定期检测的；</w:t>
            </w:r>
          </w:p>
          <w:p w14:paraId="1A88B9D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4BDC34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3.《冶金企业和有色金属企业安全生产规定》</w:t>
            </w:r>
            <w:r>
              <w:rPr>
                <w:rFonts w:hint="default" w:ascii="宋体" w:hAnsi="宋体" w:eastAsia="宋体" w:cs="宋体"/>
                <w:i w:val="0"/>
                <w:iCs w:val="0"/>
                <w:color w:val="000000"/>
                <w:kern w:val="0"/>
                <w:sz w:val="21"/>
                <w:szCs w:val="21"/>
                <w:u w:val="none"/>
                <w:lang w:val="en-US" w:eastAsia="zh-CN" w:bidi="ar"/>
              </w:rPr>
              <w:t>第四十六条</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企业违反本规定第二十四条至第三十七条的规定，构成生产安全事故隐患的，责令立即消除或者限期消除事</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故隐患；企业拒不执行的，责令停产停业整顿，并处十万元以上五十万元以下的罚款，对其直接负责的主管人员和其他直接责任人员处二万元以上五万元以下的罚款。</w:t>
            </w:r>
          </w:p>
        </w:tc>
        <w:tc>
          <w:tcPr>
            <w:tcW w:w="819" w:type="dxa"/>
            <w:vAlign w:val="center"/>
          </w:tcPr>
          <w:p w14:paraId="7487A68A">
            <w:pPr>
              <w:widowControl/>
              <w:adjustRightInd w:val="0"/>
              <w:snapToGrid w:val="0"/>
              <w:jc w:val="center"/>
              <w:rPr>
                <w:rFonts w:hint="eastAsia" w:ascii="宋体" w:hAnsi="宋体" w:cs="宋体"/>
                <w:b/>
                <w:color w:val="auto"/>
                <w:kern w:val="0"/>
                <w:sz w:val="21"/>
                <w:szCs w:val="21"/>
              </w:rPr>
            </w:pPr>
          </w:p>
        </w:tc>
      </w:tr>
      <w:tr w14:paraId="6623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7EC9452F">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10</w:t>
            </w:r>
          </w:p>
        </w:tc>
        <w:tc>
          <w:tcPr>
            <w:tcW w:w="1976" w:type="dxa"/>
            <w:vAlign w:val="center"/>
          </w:tcPr>
          <w:p w14:paraId="2453A80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★冶金企业加热炉、煤气柜、除尘器、加压机、烘烤器等设施，以及进入车间前的煤气管道应安装隔断装置</w:t>
            </w:r>
          </w:p>
        </w:tc>
        <w:tc>
          <w:tcPr>
            <w:tcW w:w="3948" w:type="dxa"/>
            <w:vAlign w:val="center"/>
          </w:tcPr>
          <w:p w14:paraId="500EA56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63BA6BA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2249446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2BEFB76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第四条 冶金企业有下列情形之一的，应当判定为重大事故隐患:</w:t>
            </w:r>
          </w:p>
          <w:p w14:paraId="2A10524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（七）加热炉、煤气柜、除尘器、加压机、烘烤器等设施，以及进入车间前的煤气管道未安装隔断装置的；</w:t>
            </w:r>
          </w:p>
        </w:tc>
        <w:tc>
          <w:tcPr>
            <w:tcW w:w="3224" w:type="dxa"/>
            <w:vAlign w:val="center"/>
          </w:tcPr>
          <w:p w14:paraId="3E6BC5A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1.《炼铁安全规程》（AQ 2002-2018）:12.1.6 热风炉煤气总管应有符合 GB6222 要求的可靠隔断装置。煤气支管应有煤气自动切断阀。</w:t>
            </w:r>
          </w:p>
          <w:p w14:paraId="0B59BAB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2.《炼钢安全规程》（AQ 2001-2018）13.4.1 煤气进入车间前的管道，应装设可靠的隔断装置。</w:t>
            </w:r>
          </w:p>
          <w:p w14:paraId="36BFDDB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3.《钢铁企业煤气储存和输配系统设计规范》（GB 51128-2015） 8.4.1第6款：剩余煤气放散装置应设置隔断装置，调压设施，自动点火设施，燃烧设施，防回火设施和灭火设施等。        8.4.2：煤气管道的隔断装置设计符合下列规定：1、经常检修的部位应设隔断装置；3、蝶阀、闸阀和球阀等单独使用时，不应作为隔断装置，用于U型水封，盲板阀或盲板等其中之一组合使用作为隔断装置。</w:t>
            </w:r>
          </w:p>
          <w:p w14:paraId="288FA9A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4.《工业企业煤气安全规程》（GB 6222-2005）</w:t>
            </w:r>
          </w:p>
          <w:p w14:paraId="4B01889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6.2.1.10煤气分配主管上支管引接处（热发生炉煤气管除外），必须设置可靠的隔断装置。</w:t>
            </w:r>
          </w:p>
          <w:p w14:paraId="4533D20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6.2.1.11　车间冷煤气管的进口设有隔断装置、流量传感元件、压力表接头、取样嘴和放散管等装置时，其操作位置应设在车间外附近的平台上。</w:t>
            </w:r>
          </w:p>
          <w:p w14:paraId="4B39909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7.1.1当燃烧装置采用强制送风的燃烧嘴时，煤气支管上应装止回装置或自动隔断阀。</w:t>
            </w:r>
          </w:p>
          <w:p w14:paraId="1A9AF07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7.2.1一般规定：凡经常检修的部位应设可靠的隔断装置。</w:t>
            </w:r>
          </w:p>
          <w:p w14:paraId="06222AC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7.5.2为防止煤气串人蒸汽或氮气管内，只有在通蒸汽或氮气时，才能把蒸汽或氮气管与煤气管道连通，停用时应断开或堵盲板。</w:t>
            </w:r>
          </w:p>
          <w:p w14:paraId="755DD04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10.2.1煤气设施停煤气检修时，应可靠地切断煤气来源并将内部煤气吹净。长期检修或停用的煤气设施，应打开上、下人孔、放散管等，保持设施内部的自然通风。</w:t>
            </w:r>
          </w:p>
          <w:p w14:paraId="659FCA4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644D365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6233B0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819" w:type="dxa"/>
            <w:vAlign w:val="center"/>
          </w:tcPr>
          <w:p w14:paraId="49A50521">
            <w:pPr>
              <w:widowControl/>
              <w:adjustRightInd w:val="0"/>
              <w:snapToGrid w:val="0"/>
              <w:jc w:val="center"/>
              <w:rPr>
                <w:rFonts w:hint="eastAsia" w:ascii="宋体" w:hAnsi="宋体" w:cs="宋体"/>
                <w:b/>
                <w:color w:val="auto"/>
                <w:kern w:val="0"/>
                <w:sz w:val="28"/>
                <w:szCs w:val="28"/>
              </w:rPr>
            </w:pPr>
          </w:p>
        </w:tc>
      </w:tr>
      <w:tr w14:paraId="4E06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1857A278">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11</w:t>
            </w:r>
          </w:p>
        </w:tc>
        <w:tc>
          <w:tcPr>
            <w:tcW w:w="1976" w:type="dxa"/>
            <w:vAlign w:val="center"/>
          </w:tcPr>
          <w:p w14:paraId="1C64428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正压煤气输配管线水封式排水器的最高封堵煤气压力不应小于30kPa，同一煤气管道隔断装置的两侧不允许共用一个排水器，不同煤气管道排水器上部的排水管不应连通，不同介质的煤气管道不允许共用一个排水器。</w:t>
            </w:r>
          </w:p>
        </w:tc>
        <w:tc>
          <w:tcPr>
            <w:tcW w:w="3948" w:type="dxa"/>
            <w:vAlign w:val="center"/>
          </w:tcPr>
          <w:p w14:paraId="5A6928F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13B0362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638D3C1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6F4AE1C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第四条 冶金企业有下列情形之一的，应当判定为重大事故隐患:</w:t>
            </w:r>
          </w:p>
          <w:p w14:paraId="459F232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tc>
        <w:tc>
          <w:tcPr>
            <w:tcW w:w="3224" w:type="dxa"/>
            <w:vAlign w:val="center"/>
          </w:tcPr>
          <w:p w14:paraId="2931E52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1.《煤气排水器安全技术规程》(AQ 7012-2018)4.1.2 水封式排水器除了满足4.1.1的要求，还应满足以下要求：水封的有效高度应取煤气计算压力加500mmH2O与煤气计算压力1.2倍的较大值，并不得小于3m；</w:t>
            </w:r>
          </w:p>
          <w:p w14:paraId="428FE39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2《工业企业煤气安全规程》(GB 6222-2005)7.4.3两条或两条以上的煤气管道及同一煤气管道隔断装置的两侧，宜单独设置排水器。</w:t>
            </w:r>
          </w:p>
          <w:p w14:paraId="211F3EE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3.《钢铁企业煤气储存和输配系统设计规范》(GB 51128-2015)8.4.3煤气计算压力小于或等于0.05MPa的煤气管道应采用水封式自动排水器，排水器宜为防泄漏型，煤气管道排水器的布置应符合下列规定：同一煤气管道隔断装置两侧的排水器应分别设置；两个或多个排水器上部的排水管不应连通；不同介质的煤气管道不得共用一个排水器。</w:t>
            </w:r>
          </w:p>
        </w:tc>
        <w:tc>
          <w:tcPr>
            <w:tcW w:w="3315" w:type="dxa"/>
            <w:vAlign w:val="center"/>
          </w:tcPr>
          <w:p w14:paraId="6BE923F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F9F655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819" w:type="dxa"/>
            <w:vAlign w:val="center"/>
          </w:tcPr>
          <w:p w14:paraId="199BF362">
            <w:pPr>
              <w:widowControl/>
              <w:adjustRightInd w:val="0"/>
              <w:snapToGrid w:val="0"/>
              <w:jc w:val="center"/>
              <w:rPr>
                <w:rFonts w:hint="eastAsia" w:ascii="宋体" w:hAnsi="宋体" w:cs="宋体"/>
                <w:b/>
                <w:color w:val="auto"/>
                <w:kern w:val="0"/>
                <w:sz w:val="21"/>
                <w:szCs w:val="21"/>
              </w:rPr>
            </w:pPr>
          </w:p>
        </w:tc>
      </w:tr>
      <w:tr w14:paraId="6778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128B2381">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12D3709B">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2F287939">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084A2DF0">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5A0BEBEB">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50F847DD">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047ADA20">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12</w:t>
            </w:r>
          </w:p>
        </w:tc>
        <w:tc>
          <w:tcPr>
            <w:tcW w:w="1976" w:type="dxa"/>
            <w:vAlign w:val="center"/>
          </w:tcPr>
          <w:p w14:paraId="3DEC723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302A2FA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2B4E6BB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32E4E05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31A61DD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00A6C73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698FF49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★有色企业熔融金属铸造环节应设置紧急排放和应急储存设施（倾动式熔炼炉、倾动式保温炉、倾动式熔保一体炉、带保温炉的固定式熔炼炉除外）</w:t>
            </w:r>
          </w:p>
        </w:tc>
        <w:tc>
          <w:tcPr>
            <w:tcW w:w="3948" w:type="dxa"/>
            <w:vAlign w:val="center"/>
          </w:tcPr>
          <w:p w14:paraId="2A47AED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004322B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2CA0C29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《冶金企业和有色金属企业安全生产规定》第二十九条  企业对电炉、电解车间应当采取防雨措施和有效的排水设施，防止雨水进入槽下地坪，确保电炉、电解槽下没有积水。企业对电炉、铸造熔炼炉、保温炉、倾翻炉、铸机、流液槽、熔盐电解槽等设备，应当设置熔融金属紧急排放和储存的设施，并在设备周围设置拦挡围堰，防止熔融金属外流。</w:t>
            </w:r>
          </w:p>
          <w:p w14:paraId="54577C4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3.《工贸行业重大事故隐患判定标准》（应急管理部令第10号）</w:t>
            </w:r>
          </w:p>
          <w:p w14:paraId="76A64F2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第五条 有色企业有下列情形之一的，应当判定为重大事故隐患:</w:t>
            </w:r>
          </w:p>
          <w:p w14:paraId="124691B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（三）熔融金属铸造环节未设置紧急排放和应急储存设施的（倾动式熔炼炉、倾动式保温炉、倾动式熔保一体炉、带保温炉的固定式熔炼炉除外）</w:t>
            </w:r>
          </w:p>
          <w:p w14:paraId="1829DAC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224" w:type="dxa"/>
            <w:vAlign w:val="center"/>
          </w:tcPr>
          <w:p w14:paraId="6B8A515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1.《高温熔融金属吊运安全规程》（AQ7011-2018）5.9：吊运高温熔融金属和熔渣的区域应设置事故罐，事故罐放置应在专用位置或专用支架上，并设置明显安全警示标识。</w:t>
            </w:r>
          </w:p>
        </w:tc>
        <w:tc>
          <w:tcPr>
            <w:tcW w:w="3315" w:type="dxa"/>
            <w:vAlign w:val="center"/>
          </w:tcPr>
          <w:p w14:paraId="4AE44DC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B4ABCC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w:t>
            </w:r>
            <w:r>
              <w:rPr>
                <w:rFonts w:hint="default" w:ascii="宋体" w:hAnsi="宋体" w:eastAsia="宋体" w:cs="宋体"/>
                <w:i w:val="0"/>
                <w:iCs w:val="0"/>
                <w:color w:val="000000"/>
                <w:kern w:val="0"/>
                <w:sz w:val="21"/>
                <w:szCs w:val="21"/>
                <w:u w:val="none"/>
                <w:lang w:val="en-US" w:eastAsia="zh-CN" w:bidi="ar"/>
              </w:rPr>
              <w:t>第四十六条</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14:paraId="01524572">
            <w:pPr>
              <w:widowControl/>
              <w:adjustRightInd w:val="0"/>
              <w:snapToGrid w:val="0"/>
              <w:jc w:val="center"/>
              <w:rPr>
                <w:rFonts w:hint="eastAsia" w:ascii="宋体" w:hAnsi="宋体" w:cs="宋体"/>
                <w:b/>
                <w:color w:val="auto"/>
                <w:kern w:val="0"/>
                <w:sz w:val="21"/>
                <w:szCs w:val="21"/>
              </w:rPr>
            </w:pPr>
          </w:p>
        </w:tc>
      </w:tr>
      <w:tr w14:paraId="468C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07A632C4">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13</w:t>
            </w:r>
          </w:p>
        </w:tc>
        <w:tc>
          <w:tcPr>
            <w:tcW w:w="1976" w:type="dxa"/>
            <w:vAlign w:val="center"/>
          </w:tcPr>
          <w:p w14:paraId="0EE9138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2F52B5A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6E64099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71F6C2D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1F553B8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693BEF5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4D73724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6C3E915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★有色企业采用水冷冷却的冶炼炉窑、铸造机（铝加工深井铸造工艺的结晶器除外）、加热炉应设置应急水源的；</w:t>
            </w:r>
          </w:p>
        </w:tc>
        <w:tc>
          <w:tcPr>
            <w:tcW w:w="3948" w:type="dxa"/>
            <w:vAlign w:val="center"/>
          </w:tcPr>
          <w:p w14:paraId="37A5FE9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69C33F1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5E2A6DC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34F855C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第五条 有色企业有下列情形之一的，应当判定为重大事故隐患:</w:t>
            </w:r>
          </w:p>
          <w:p w14:paraId="2A04BF8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（四）采用水冷冷却的冶炼炉窑、铸造机（铝加工深井铸造工艺的结晶器除外）、加热炉应设置应急水源的；</w:t>
            </w:r>
          </w:p>
        </w:tc>
        <w:tc>
          <w:tcPr>
            <w:tcW w:w="3224" w:type="dxa"/>
            <w:vAlign w:val="center"/>
          </w:tcPr>
          <w:p w14:paraId="4A04D77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1.金属冶炼企业禁止使用的设备及工艺目录（第一批）》（安监总管四〔2017〕142号）13.深井浇铸结晶器的循环水系统未设置应急水源或循环水水泵未设置应急电源。</w:t>
            </w:r>
          </w:p>
          <w:p w14:paraId="7025F79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2.《铸造机械安全要求》（GB 20905-2007）</w:t>
            </w:r>
          </w:p>
          <w:p w14:paraId="5963894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10.4  工作中不允许因停电而造成水冷和其他系统中断的机器，应另设维持水冷和其他系统正常工作的附属装置。</w:t>
            </w:r>
          </w:p>
          <w:p w14:paraId="154D380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3.《铜及铜合金熔铸安全设计规范》（GB 30187-2013）</w:t>
            </w:r>
          </w:p>
          <w:p w14:paraId="264245C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6.2.2 有芯感应炉应设置应急电源，有芯感应炉和无芯感应炉应设置应急水；铸造机的结晶器应设置应急水；</w:t>
            </w:r>
          </w:p>
          <w:p w14:paraId="6BEF638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3.《铜冶炼厂工艺设计规范》（GB 50616-2010）</w:t>
            </w:r>
          </w:p>
          <w:p w14:paraId="3C45E6F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6.2.12  闪速炉冷却水必须连续供水，不得中断，水压应稳定。</w:t>
            </w:r>
          </w:p>
          <w:p w14:paraId="2C05757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6.3.12.3  顶吹浸没熔炼安全措施必须符合下列规定：炉体冷却元件供水不得中断，水压应稳定，冷却水应使用硬度低的净化水。</w:t>
            </w:r>
          </w:p>
          <w:p w14:paraId="192F09A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6.7.11  三菱熔炼炉冷却水必须连续供水，不得中断，水压应稳定，冷却水应为净化水。</w:t>
            </w:r>
          </w:p>
          <w:p w14:paraId="5CB8367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6.8.10  瓦纽科夫熔炼炉冷却水必须连续供水，不得中断，水压应稳定，冷却水应为净化水。GB50735-2011《铁合金工艺及设备设计规范》5.1.2：电炉冷却水系统应有30分钟的事故供水能力及供水量，不用小于正常用水量的1/3。</w:t>
            </w:r>
          </w:p>
          <w:p w14:paraId="64739E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4.《有色金属工程设计防火规范》（GB 50630-2010）4.5.5第6款：冶炼炉及其配套设施的密闭冷却水系统应设置温度、压力、流量的检测以及事故报警信号和联锁控制装置，并宜独立设置循环水系统和应急供水装置。5.《生产过程安全卫生要求总则》（GBT12801-2008）5.3.2：对工艺、作业和施工过程的控制、检测系统的要求：a）对事故后果严重的生产过程，应按冗余原则，设计备用装置或备用系统，并能保证在出现危险时能自动转换到备用装置或备用系统。</w:t>
            </w:r>
          </w:p>
          <w:p w14:paraId="26AFD69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5829C1C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220A91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819" w:type="dxa"/>
            <w:vAlign w:val="center"/>
          </w:tcPr>
          <w:p w14:paraId="487D91B8">
            <w:pPr>
              <w:widowControl/>
              <w:adjustRightInd w:val="0"/>
              <w:snapToGrid w:val="0"/>
              <w:jc w:val="center"/>
              <w:rPr>
                <w:rFonts w:hint="eastAsia" w:ascii="宋体" w:hAnsi="宋体" w:cs="宋体"/>
                <w:b/>
                <w:color w:val="auto"/>
                <w:kern w:val="0"/>
                <w:sz w:val="21"/>
                <w:szCs w:val="21"/>
              </w:rPr>
            </w:pPr>
          </w:p>
        </w:tc>
      </w:tr>
      <w:tr w14:paraId="0B1E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38026888">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377A8785">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3F52C847">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49FFA790">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4EA97881">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632ABE88">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3283032D">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0B0C010F">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2C6A2471">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722D146A">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p>
          <w:p w14:paraId="3491EBEC">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14</w:t>
            </w:r>
          </w:p>
        </w:tc>
        <w:tc>
          <w:tcPr>
            <w:tcW w:w="1976" w:type="dxa"/>
            <w:vAlign w:val="center"/>
          </w:tcPr>
          <w:p w14:paraId="5274E47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6886E74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5B83D1D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65475D0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47C41F2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09F05E5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★有色企业熔融金属冶炼炉窑的闭路循环水冷元件应设置出水温度、进出水流量差监测报警装置，开路水冷元件应设置进水流量、压力监测报警装置，应监测开路水冷元件出水温度</w:t>
            </w:r>
          </w:p>
        </w:tc>
        <w:tc>
          <w:tcPr>
            <w:tcW w:w="3948" w:type="dxa"/>
            <w:vAlign w:val="center"/>
          </w:tcPr>
          <w:p w14:paraId="1EDE0A5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7F7D2B9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619421B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27D251B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第五条 有色企业有下列情形之一的，应当判定为重大事故隐患:</w:t>
            </w:r>
          </w:p>
          <w:p w14:paraId="6C4F208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（五）熔融金属冶炼炉窑的闭路循环水冷元件未设置出水温度、进出水流量差监测报警装置，或者开路水冷元件未设置进水流量、压力监测报警装置，或者未监测开路水冷元件出水温度的；</w:t>
            </w:r>
          </w:p>
        </w:tc>
        <w:tc>
          <w:tcPr>
            <w:tcW w:w="3224" w:type="dxa"/>
            <w:vAlign w:val="center"/>
          </w:tcPr>
          <w:p w14:paraId="4CDA0A0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金属冶炼企业禁止使用的设备及工艺目录（第一批）》（安监总管四〔2017〕142号）14.有色金属冶炼炉、熔炼炉及炉渣处理烟化炉冷却水系统未设置温度、流量、压力检测报警装置。2.《铁合金工艺及设备设计规范》（GB50735-2011）3.1.11：供水压力应保持在0.3MPa~0.5MPa，进水总管应设有温度、压力测量装置。回水各支管课设温度流量检测，并应在每根回水管的回水槽处设置标记。</w:t>
            </w:r>
          </w:p>
          <w:p w14:paraId="43A05F2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 《有色金属工程设计防火规范》（GB 50630-2010）4.5.5第6款：冶炼炉及其配套设施的密闭冷却水系统应设置温度、压力、流量的检测以及事故报警信号和联锁控制装置。 </w:t>
            </w:r>
          </w:p>
          <w:p w14:paraId="3996A01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4.《有色金属治炼厂自控设计规范》 ）GB 50891-2013）5 重有色金属火法冶炼：5.4.7 冷却水系统检测与控制应包括下列内容:1 冷却水总管、反应塔区冷却水、沉淀池区冷却水、上升烟道区冷却水流量检测。2 冷却水总管温度、压力检测。3 冷却水套出口温度检测。8 电解铝8.2.3 铝链铸造检测与控制应包括循环水压力、流量检测。8.2.4 阳极组装检测与控制应包括下列内容:1 循环水、天然气压力、流量检测。8.3.1 罐式炉锻烧检测与控制应包括下列内容4：冷却水出水温度、进水流量检测；5：连续混捏生阳极制造检测与控制应包括下列内容:压缩空气、冷却水压力、流量检测。8.3.5敞开环式阳极焙烧炉检测与控制应包括下列内容:炭块清理、编组机组的冷却水管路压力、流量检测。9.4 镁电解及镁精炼检测与控制应包括下列内容:2 头槽冷却循环水出水温度检测。4 头槽冷却循环水进水压力检测。6 头槽冷却循环水出水流量检测。</w:t>
            </w:r>
          </w:p>
        </w:tc>
        <w:tc>
          <w:tcPr>
            <w:tcW w:w="3315" w:type="dxa"/>
            <w:vAlign w:val="center"/>
          </w:tcPr>
          <w:p w14:paraId="7867A4B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CE3E0E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819" w:type="dxa"/>
            <w:vAlign w:val="center"/>
          </w:tcPr>
          <w:p w14:paraId="711D99B7">
            <w:pPr>
              <w:widowControl/>
              <w:adjustRightInd w:val="0"/>
              <w:snapToGrid w:val="0"/>
              <w:jc w:val="center"/>
              <w:rPr>
                <w:rFonts w:hint="eastAsia" w:ascii="宋体" w:hAnsi="宋体" w:cs="宋体"/>
                <w:b/>
                <w:color w:val="auto"/>
                <w:kern w:val="0"/>
                <w:sz w:val="21"/>
                <w:szCs w:val="21"/>
              </w:rPr>
            </w:pPr>
          </w:p>
        </w:tc>
      </w:tr>
      <w:tr w14:paraId="0768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3A41E6D8">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15</w:t>
            </w:r>
          </w:p>
        </w:tc>
        <w:tc>
          <w:tcPr>
            <w:tcW w:w="1976" w:type="dxa"/>
            <w:vAlign w:val="center"/>
          </w:tcPr>
          <w:p w14:paraId="46188C8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色企业可能发生一氧化碳、砷化氢、氯气、硫化氢等4种有毒气体泄漏、积聚的场所和部位应设置固定式气体浓度监测报警装置，监测数据应接入24小时有人值守场所，对可能有砷化氢气体的场所和部位应采取同等效果的检测措施；</w:t>
            </w:r>
          </w:p>
        </w:tc>
        <w:tc>
          <w:tcPr>
            <w:tcW w:w="3948" w:type="dxa"/>
            <w:vAlign w:val="center"/>
          </w:tcPr>
          <w:p w14:paraId="735CEF9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3F9FD06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288E117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《冶金企业和有色金属企业安全生产规定》</w:t>
            </w:r>
          </w:p>
          <w:p w14:paraId="7FF8005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第三十二条： 生产、储存、使用煤气的企业应当严格执行《工业企业煤气安全规程》（GB6222），在可能发生煤气泄漏、聚集的场所，设置固定式煤气检测报警仪和安全警示标志。</w:t>
            </w:r>
          </w:p>
          <w:p w14:paraId="551B85D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第三十七条：企业对生产过程中存在二氧化硫、氯气、砷化氢、氟化氢等有毒有害气体的工作场所，应当采取防止人员中毒的措施。</w:t>
            </w:r>
          </w:p>
          <w:p w14:paraId="5742A99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3.《工贸行业重大事故隐患判定标准》（应急管理部令第10号）</w:t>
            </w:r>
          </w:p>
          <w:p w14:paraId="51E7E4D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第五条 有色企业有下列情形之一的，应当判定为重大事故隐患:</w:t>
            </w:r>
          </w:p>
          <w:p w14:paraId="71777BE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tc>
        <w:tc>
          <w:tcPr>
            <w:tcW w:w="3224" w:type="dxa"/>
            <w:vAlign w:val="center"/>
          </w:tcPr>
          <w:p w14:paraId="5788AF9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关于使用危险化学品单位安全监管有关问题的复函》(安监总厅管三函〔2012〕97号)：三、关于使用危险化学品的单位设置安全设施、设备有关适用标准：使用危险化学品的单位在作业场所设置相应监测、监控、防静电等安全设施、设备时，应当执行《建筑设计防火规范》（GB 50016）、《石油化工企业设计防火规范》（GB 50160）、《石油化工可燃气体和有毒气体检测报警设计规范》（GB 50493）等有关标准。</w:t>
            </w:r>
          </w:p>
          <w:p w14:paraId="6CA2BF5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关于造纸等工贸企业配套危险化学品生产储存装置安全监管有关问题的复函》安监总厅管四〔2013〕180号：鉴于工贸企业内部配套建设的危险化学品生产装置和储存设施具有高危性，应从规划、设计、建设、使用等环节，严格按照国家有关危险化学品的法律法规、标准规范要求，做好危险化学品安全生产工作；对于涉及重点监管危险化学品、重点监管危险化工工艺和危险化学品重大危险源的生产装置，要完善自动化控制设施，建立健全监控体系，防止事故发生。</w:t>
            </w:r>
          </w:p>
          <w:p w14:paraId="73461F7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3.《工业企业设计卫生标准》（GBZ1-2010）:                           6.1.5.2:在生产中可能突然逸出大量有害物质或易造成急性中毒或易燃易爆的化学物质的室内作业场所，应设置事故通风装置及与事故排风系统相连锁的泄漏报警装置。6.1.6.1:检测报警点应根据 GBZ/T233的要求，设在存在、生产或使用有毒气体的工作地点，包括可能释放高毒、剧毒气体的作业场所，可能大量释放或容易聚集的其他有毒气体的工作地点也应设置检测报警点。</w:t>
            </w:r>
          </w:p>
          <w:p w14:paraId="2B45534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6.1.6.2:应设置有毒气体检测报警仪的工作地点，宜采用固定式，当不具备设置固定式的条件时，应配置便携式检测报警仪。6.1.6.3:毒物报警值应根据有毒气体毒性和现场实际情况至少设警报值和高报值。预报值为MAC或PC-STEL的1/2，无PC-STEL的化学物质，警报值可设在相应超限倍数值的1/2；警报值为MAC或PC-STEL值，无PC-STEL的化学物质，警报值可设在相应的超限倍数值；高报值应综合考虑有毒气体毒性、作业人员情况、事故后果、工艺设备等各种因素后设定。</w:t>
            </w:r>
          </w:p>
          <w:p w14:paraId="6E6F911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4.《石油化工可燃气体和有毒气体检测报警设计标准》 （GBT50493-2019）3.0.1：在生产或使用可燃气体及有毒气体的生产设施及储运设施的区域内，泄漏气体中可燃气体浓度可能达到报警设定值时，应设置可燃气体探测器；泄漏气体中有毒气体浓度可能达到报警设定值时，应设置有毒气体探测器；3.0.3 可燃气体和有毒气体检测报警信号应送至有人值守的现场控制室、中心控制室等进行显示报警；可燃气体二级报警信号、可燃气体及有毒气体检测报警系统报警控制单元的故障信号应送至消防控制室。                                                     </w:t>
            </w:r>
          </w:p>
        </w:tc>
        <w:tc>
          <w:tcPr>
            <w:tcW w:w="3315" w:type="dxa"/>
            <w:vAlign w:val="center"/>
          </w:tcPr>
          <w:p w14:paraId="54679C7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671A56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w:t>
            </w:r>
            <w:r>
              <w:rPr>
                <w:rFonts w:hint="default" w:ascii="宋体" w:hAnsi="宋体" w:eastAsia="宋体" w:cs="宋体"/>
                <w:i w:val="0"/>
                <w:iCs w:val="0"/>
                <w:color w:val="000000"/>
                <w:kern w:val="0"/>
                <w:sz w:val="21"/>
                <w:szCs w:val="21"/>
                <w:u w:val="none"/>
                <w:lang w:val="en-US" w:eastAsia="zh-CN" w:bidi="ar"/>
              </w:rPr>
              <w:t>第四十六条</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14:paraId="613DD787">
            <w:pPr>
              <w:widowControl/>
              <w:adjustRightInd w:val="0"/>
              <w:snapToGrid w:val="0"/>
              <w:jc w:val="center"/>
              <w:rPr>
                <w:rFonts w:hint="eastAsia" w:ascii="宋体" w:hAnsi="宋体" w:cs="宋体"/>
                <w:b/>
                <w:color w:val="auto"/>
                <w:kern w:val="0"/>
                <w:sz w:val="21"/>
                <w:szCs w:val="21"/>
              </w:rPr>
            </w:pPr>
          </w:p>
        </w:tc>
      </w:tr>
      <w:tr w14:paraId="4148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652CE980">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16</w:t>
            </w:r>
          </w:p>
        </w:tc>
        <w:tc>
          <w:tcPr>
            <w:tcW w:w="1976" w:type="dxa"/>
            <w:vAlign w:val="center"/>
          </w:tcPr>
          <w:p w14:paraId="04F7C48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色企业使用煤气（天然气）并强制送风的燃烧装置的或机械企业使用煤气(天然气)的燃烧装置的燃气总管应设置压力监测报警装置，监测报警装置应与紧急自动切断装置联锁；且机械企业燃烧装置应设置火焰监测和熄火保护系统</w:t>
            </w:r>
          </w:p>
          <w:p w14:paraId="0CD462B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948" w:type="dxa"/>
            <w:vAlign w:val="center"/>
          </w:tcPr>
          <w:p w14:paraId="6B18764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7261B1D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4D51EAD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5A39C23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第五条 有色企业有下列情形之一的，应当判定为重大事故隐患:</w:t>
            </w:r>
          </w:p>
          <w:p w14:paraId="3224C6D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（十二）使用煤气（天然气）并强制送风的燃烧装置的燃气总管未设置压力监测报警装置，或者监测报警装置未与紧急自动切断装置联锁的；</w:t>
            </w:r>
          </w:p>
          <w:p w14:paraId="60B3CA9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第七条 机械企业有下列情形之一的，应当判定为重大事故隐患：</w:t>
            </w:r>
          </w:p>
          <w:p w14:paraId="6F7384D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（五）使用煤气(天然气)的燃烧装置的燃气总管未设置管道压力监测报警装置，或者监测报警装置未与紧急自动切断装置联锁，或者燃烧装置未设置火焰监测和熄火保护系统的。</w:t>
            </w:r>
          </w:p>
        </w:tc>
        <w:tc>
          <w:tcPr>
            <w:tcW w:w="3224" w:type="dxa"/>
            <w:vAlign w:val="center"/>
          </w:tcPr>
          <w:p w14:paraId="612D02A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1.《工业企业煤气安全规程》（GB 6222-2005）</w:t>
            </w:r>
          </w:p>
          <w:p w14:paraId="22635ED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7.1.1  当燃烧装置采用强制送风的燃烧嘴时，煤气支管上应装止回装置或自动隔断阀。</w:t>
            </w:r>
          </w:p>
          <w:p w14:paraId="01F5360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2.《城镇燃气设计规范》（GB 50028-2006）</w:t>
            </w:r>
          </w:p>
          <w:p w14:paraId="02D4A7B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10.6.6.1  工业企业生产用气设备燃烧装置的安全设施应符合下列要求：燃气管道上应安装低压和超压报警以及紧急自动切断阀。</w:t>
            </w:r>
          </w:p>
          <w:p w14:paraId="785F92D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427431A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0B823061">
            <w:pPr>
              <w:widowControl/>
              <w:adjustRightInd w:val="0"/>
              <w:snapToGrid w:val="0"/>
              <w:jc w:val="center"/>
              <w:rPr>
                <w:rFonts w:hint="eastAsia" w:ascii="宋体" w:hAnsi="宋体" w:cs="宋体"/>
                <w:b/>
                <w:color w:val="auto"/>
                <w:kern w:val="0"/>
                <w:sz w:val="28"/>
                <w:szCs w:val="28"/>
              </w:rPr>
            </w:pPr>
          </w:p>
        </w:tc>
      </w:tr>
      <w:tr w14:paraId="79D8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13E43A09">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17</w:t>
            </w:r>
          </w:p>
        </w:tc>
        <w:tc>
          <w:tcPr>
            <w:tcW w:w="1976" w:type="dxa"/>
            <w:vAlign w:val="center"/>
          </w:tcPr>
          <w:p w14:paraId="23F1E89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色企业正压煤气输配管线水封式排水器的最高封堵煤气压力不应小于30kPa，同一煤气管道隔断装置的两侧不允许共用一个排水器，不同煤气管道排水器上部的排水管不应连通，不同介质的煤气管道不允许共用一个排水器。</w:t>
            </w:r>
          </w:p>
        </w:tc>
        <w:tc>
          <w:tcPr>
            <w:tcW w:w="3948" w:type="dxa"/>
            <w:vAlign w:val="center"/>
          </w:tcPr>
          <w:p w14:paraId="24623C4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5F7A465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10A1EE2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7B92A38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第五条 有色企业有下列情形之一的，应当判定为重大事故隐患:               （十三）正压煤气输配管线水封式排水器的最高封堵煤气压力小于30kPa，或者同一煤气管道隔断装置的两侧共用一个排水器，或者不同煤气管道排水器上部的排水管连通，或者不同介质的煤气管道共用一个排水器的</w:t>
            </w:r>
          </w:p>
        </w:tc>
        <w:tc>
          <w:tcPr>
            <w:tcW w:w="3224" w:type="dxa"/>
            <w:vAlign w:val="center"/>
          </w:tcPr>
          <w:p w14:paraId="08EA49C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1.《煤气排水器安全技术规程》（AQ 7012-2018)4.1.2 水封式排水器除了满足4.1.1的要求，还应满足以下要求：水封的有效高度应取煤气计算压力加500mmH2O与煤气计算压力1.2倍的较大值，并不得小于3m；</w:t>
            </w:r>
          </w:p>
          <w:p w14:paraId="5FEF4FA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2.《工业企业煤气安全规程》(GB 6222-2005)7.4.3两条或两条以上的煤气管道及同一煤气管道隔断装置的两侧，宜单独设置排水器。</w:t>
            </w:r>
          </w:p>
        </w:tc>
        <w:tc>
          <w:tcPr>
            <w:tcW w:w="3315" w:type="dxa"/>
            <w:vAlign w:val="center"/>
          </w:tcPr>
          <w:p w14:paraId="15C7E31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156B6204">
            <w:pPr>
              <w:widowControl/>
              <w:adjustRightInd w:val="0"/>
              <w:snapToGrid w:val="0"/>
              <w:jc w:val="center"/>
              <w:rPr>
                <w:rFonts w:hint="eastAsia" w:ascii="宋体" w:hAnsi="宋体" w:cs="宋体"/>
                <w:b/>
                <w:color w:val="auto"/>
                <w:kern w:val="0"/>
                <w:sz w:val="28"/>
                <w:szCs w:val="28"/>
              </w:rPr>
            </w:pPr>
          </w:p>
        </w:tc>
      </w:tr>
      <w:tr w14:paraId="15DC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024D0F49">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18</w:t>
            </w:r>
          </w:p>
        </w:tc>
        <w:tc>
          <w:tcPr>
            <w:tcW w:w="1976" w:type="dxa"/>
            <w:vAlign w:val="center"/>
          </w:tcPr>
          <w:p w14:paraId="7A663A1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★建材企业煤磨袋式收尘器、煤粉仓应设置温度和固定式一氧化碳浓度监测报警装置，并设置气体灭火装置的；</w:t>
            </w:r>
          </w:p>
        </w:tc>
        <w:tc>
          <w:tcPr>
            <w:tcW w:w="3948" w:type="dxa"/>
            <w:vAlign w:val="center"/>
          </w:tcPr>
          <w:p w14:paraId="6CAAAD9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3A51C35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1119096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27487F7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第六条 建材企业有下列情形之一的，应当判定为重大事故隐患:                  （一）煤磨袋式收尘器、煤粉仓未设置温度和固定式一氧化碳浓度监测报警装置，或者未设置气体灭火装置的；</w:t>
            </w:r>
          </w:p>
        </w:tc>
        <w:tc>
          <w:tcPr>
            <w:tcW w:w="3224" w:type="dxa"/>
            <w:vAlign w:val="center"/>
          </w:tcPr>
          <w:p w14:paraId="75F8BD5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《新型干法水泥生产安全规程》（AQ7014-2018）7.1.2.3 煤磨进出口应设温度监测装置，在煤粉仓、除尘器上也应设温度和一氧化碳超限监测及报警装置，并配备气体自动灭火装置。                 </w:t>
            </w:r>
          </w:p>
        </w:tc>
        <w:tc>
          <w:tcPr>
            <w:tcW w:w="3315" w:type="dxa"/>
            <w:vAlign w:val="center"/>
          </w:tcPr>
          <w:p w14:paraId="09EB7EB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22AE7A8D">
            <w:pPr>
              <w:widowControl/>
              <w:adjustRightInd w:val="0"/>
              <w:snapToGrid w:val="0"/>
              <w:jc w:val="center"/>
              <w:rPr>
                <w:rFonts w:hint="eastAsia" w:ascii="宋体" w:hAnsi="宋体" w:cs="宋体"/>
                <w:b/>
                <w:color w:val="auto"/>
                <w:kern w:val="0"/>
                <w:sz w:val="21"/>
                <w:szCs w:val="21"/>
              </w:rPr>
            </w:pPr>
          </w:p>
        </w:tc>
      </w:tr>
      <w:tr w14:paraId="278A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594B2BE3">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19</w:t>
            </w:r>
          </w:p>
        </w:tc>
        <w:tc>
          <w:tcPr>
            <w:tcW w:w="1976" w:type="dxa"/>
            <w:vAlign w:val="center"/>
          </w:tcPr>
          <w:p w14:paraId="413999F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★建材企业采用预混燃烧方式的燃气窑炉（热发生炉煤气窑炉除外）的燃气总管应设置管道压力监测报警装置，监测报警装置应与紧急自动切断装置联锁</w:t>
            </w:r>
          </w:p>
        </w:tc>
        <w:tc>
          <w:tcPr>
            <w:tcW w:w="3948" w:type="dxa"/>
            <w:vAlign w:val="center"/>
          </w:tcPr>
          <w:p w14:paraId="5FE0BDA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38FF4AE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17FE88E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5BD470A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第六条 建材企业有下列情形之一的，应当判定为重大事故隐患:               （五）采用预混燃烧方式的燃气窑炉（热发生炉煤气窑炉除外）的燃气总管未设置管道压力监测报警装置，或者监测报警装置未与紧急自动切断装置联锁的；  </w:t>
            </w:r>
          </w:p>
        </w:tc>
        <w:tc>
          <w:tcPr>
            <w:tcW w:w="3224" w:type="dxa"/>
            <w:vAlign w:val="center"/>
          </w:tcPr>
          <w:p w14:paraId="5F6E7C3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GB50028-2020《城镇燃气设计规范》10.6.6 工业企业生产用气设备燃烧装置的安全设施应符合下列要求：</w:t>
            </w:r>
          </w:p>
          <w:p w14:paraId="17161A7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 燃气管道上应安装低压和超压报警以及紧急自动切断阀；</w:t>
            </w:r>
          </w:p>
          <w:p w14:paraId="3F0A669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 烟道和封闭式炉膛，均应设置泄爆装置，泄爆装置的泄压口应设在安全处；</w:t>
            </w:r>
          </w:p>
          <w:p w14:paraId="3D33A17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 鼓风机和空气管道应设静电接地装置。接地电阻不应大于100Ω；</w:t>
            </w:r>
          </w:p>
          <w:p w14:paraId="1E8B5CA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 用气设备的燃气总阀门与燃烧器阀门之间，应设置放散管。                </w:t>
            </w:r>
          </w:p>
        </w:tc>
        <w:tc>
          <w:tcPr>
            <w:tcW w:w="3315" w:type="dxa"/>
            <w:vAlign w:val="center"/>
          </w:tcPr>
          <w:p w14:paraId="111F6F3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5869085B">
            <w:pPr>
              <w:widowControl/>
              <w:adjustRightInd w:val="0"/>
              <w:snapToGrid w:val="0"/>
              <w:jc w:val="center"/>
              <w:rPr>
                <w:rFonts w:hint="eastAsia" w:ascii="宋体" w:hAnsi="宋体" w:cs="宋体"/>
                <w:b/>
                <w:color w:val="auto"/>
                <w:kern w:val="0"/>
                <w:sz w:val="28"/>
                <w:szCs w:val="28"/>
              </w:rPr>
            </w:pPr>
          </w:p>
        </w:tc>
      </w:tr>
      <w:tr w14:paraId="1BCE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4706866A">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20</w:t>
            </w:r>
          </w:p>
        </w:tc>
        <w:tc>
          <w:tcPr>
            <w:tcW w:w="1976" w:type="dxa"/>
            <w:vAlign w:val="center"/>
          </w:tcPr>
          <w:p w14:paraId="20FA1E4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★建材企业制氢站、氮氢保护气体配气间、燃气配气间等3类场所应设置固定式可燃气体浓度监测报警装置</w:t>
            </w:r>
          </w:p>
          <w:p w14:paraId="73C4D60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p w14:paraId="0374F94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948" w:type="dxa"/>
            <w:vAlign w:val="center"/>
          </w:tcPr>
          <w:p w14:paraId="76E3789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19C2E58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31BC635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2.工贸行业重大事故隐患判定标准》（应急管理部令第10号）</w:t>
            </w:r>
          </w:p>
          <w:p w14:paraId="186ED17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第六条 建材企业有下列情形之一的，应当判定为重大事故隐患:              （六）制氢站、氮氢保护气体配气间、燃气配气间等3类场所未设置固定式可燃气体浓度监测报警装置的； </w:t>
            </w:r>
          </w:p>
        </w:tc>
        <w:tc>
          <w:tcPr>
            <w:tcW w:w="3224" w:type="dxa"/>
            <w:vAlign w:val="center"/>
          </w:tcPr>
          <w:p w14:paraId="57F4066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1《玻璃工厂工业卫生与安全技术规程》（GB15081-1994 ）3.5.9有爆炸性危险气体的场所宜安装可燃气体的监测、报警装置；                     </w:t>
            </w:r>
          </w:p>
          <w:p w14:paraId="136BBA5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2.《氢气站设计规范》（GB50177）8.0.6有爆炸危险房间内，应设氢气检漏报警装置，并应与相应的事故排风机连锁；       </w:t>
            </w:r>
          </w:p>
        </w:tc>
        <w:tc>
          <w:tcPr>
            <w:tcW w:w="3315" w:type="dxa"/>
            <w:vAlign w:val="center"/>
          </w:tcPr>
          <w:p w14:paraId="79250FC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43AFB283">
            <w:pPr>
              <w:widowControl/>
              <w:adjustRightInd w:val="0"/>
              <w:snapToGrid w:val="0"/>
              <w:jc w:val="center"/>
              <w:rPr>
                <w:rFonts w:hint="eastAsia" w:ascii="宋体" w:hAnsi="宋体" w:cs="宋体"/>
                <w:b/>
                <w:color w:val="auto"/>
                <w:kern w:val="0"/>
                <w:sz w:val="28"/>
                <w:szCs w:val="28"/>
              </w:rPr>
            </w:pPr>
          </w:p>
        </w:tc>
      </w:tr>
      <w:tr w14:paraId="6883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37F7034F">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21</w:t>
            </w:r>
          </w:p>
        </w:tc>
        <w:tc>
          <w:tcPr>
            <w:tcW w:w="1976" w:type="dxa"/>
            <w:vAlign w:val="center"/>
          </w:tcPr>
          <w:p w14:paraId="2582F1B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★机械企业会议室、活动室、休息室、更衣室、交接班室等5类人员聚集场所严禁设置在熔融金属吊运跨或者浇注跨的地坪区域内的</w:t>
            </w:r>
          </w:p>
        </w:tc>
        <w:tc>
          <w:tcPr>
            <w:tcW w:w="3948" w:type="dxa"/>
            <w:vAlign w:val="center"/>
          </w:tcPr>
          <w:p w14:paraId="3BF6DF8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5E8D1F1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533A443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2.《工贸企业重大事故隐患判定标准》（应急管理部令第10号）。第七条 机械企业有下列情形之一 的，应当判定为重大事故隐患：</w:t>
            </w:r>
          </w:p>
          <w:p w14:paraId="295B334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（一）会议室、活动室、休息室、更衣室、交接班室等5类人员聚集场所设置在熔融金属吊运跨或者浇注跨的地坪区域内的。</w:t>
            </w:r>
          </w:p>
        </w:tc>
        <w:tc>
          <w:tcPr>
            <w:tcW w:w="3224" w:type="dxa"/>
            <w:vAlign w:val="center"/>
          </w:tcPr>
          <w:p w14:paraId="0102717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1.《高温熔融金属吊运安全规程》AQ7011-2018  </w:t>
            </w:r>
          </w:p>
          <w:p w14:paraId="3B4FF85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5.7：高温熔融金属和熔渣吊运行走区域禁止设置操作室、会议室、交接班室、活动室、休息室、更衣室、澡堂等人员集聚场所；危险区域附近的上述建筑物的门、窗应背对吊运区域</w:t>
            </w:r>
          </w:p>
          <w:p w14:paraId="70B285E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4FD8ACF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358CAF61">
            <w:pPr>
              <w:widowControl/>
              <w:adjustRightInd w:val="0"/>
              <w:snapToGrid w:val="0"/>
              <w:jc w:val="center"/>
              <w:rPr>
                <w:rFonts w:hint="eastAsia" w:ascii="宋体" w:hAnsi="宋体" w:cs="宋体"/>
                <w:b/>
                <w:color w:val="auto"/>
                <w:kern w:val="0"/>
                <w:sz w:val="28"/>
                <w:szCs w:val="28"/>
              </w:rPr>
            </w:pPr>
          </w:p>
        </w:tc>
      </w:tr>
      <w:tr w14:paraId="636D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697DBC4C">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22</w:t>
            </w:r>
          </w:p>
        </w:tc>
        <w:tc>
          <w:tcPr>
            <w:tcW w:w="1976" w:type="dxa"/>
            <w:vAlign w:val="center"/>
          </w:tcPr>
          <w:p w14:paraId="18F5463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★机械企业铸造用熔炼炉、精炼炉、保温炉应设置紧急排放和应急储存设施</w:t>
            </w:r>
          </w:p>
        </w:tc>
        <w:tc>
          <w:tcPr>
            <w:tcW w:w="3948" w:type="dxa"/>
            <w:vAlign w:val="center"/>
          </w:tcPr>
          <w:p w14:paraId="661B6F9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17E21F7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120FF28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2.《冶金企业和有色金属企业安全生产规定》（安监总局令第91号）</w:t>
            </w:r>
          </w:p>
          <w:p w14:paraId="16485593">
            <w:pPr>
              <w:keepNext w:val="0"/>
              <w:keepLines w:val="0"/>
              <w:widowControl/>
              <w:suppressLineNumbers w:val="0"/>
              <w:ind w:firstLine="210" w:firstLineChars="1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第二十九条 企业对电炉、铸造熔炼炉、保温炉、倾翻炉、铸机、流液槽、熔盐电解槽等设备，应当设置熔融金属紧急排放和储存的设施，并在设备周围设置拦挡围堰，防止熔融金属外流</w:t>
            </w:r>
          </w:p>
          <w:p w14:paraId="041ED2C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3.《工贸企业重大事故隐患判定标准》（应急管理部令第10号）。</w:t>
            </w:r>
          </w:p>
          <w:p w14:paraId="187F641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第七条 机械企业有下列情形之一的，应当判定为重大事故隐患：</w:t>
            </w:r>
          </w:p>
          <w:p w14:paraId="1823FF6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（二）铸造用熔炼炉、精炼炉、保温炉未设置紧急排放和应急储存设施的。</w:t>
            </w:r>
          </w:p>
        </w:tc>
        <w:tc>
          <w:tcPr>
            <w:tcW w:w="3224" w:type="dxa"/>
            <w:vAlign w:val="center"/>
          </w:tcPr>
          <w:p w14:paraId="69C696F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1.《高温熔融金属吊运安全规程》（AQ 7011-2018）：5.10存放、运输高温熔融金属和熔渣的场所，应设有防雨设施，不应设有积水的沟、坑等。如生产确需设置地面沟或坑等时，必须有严密的防水措施：易积水的沟、槽、坑，应有排水措施，不得积水。5.11熔融金属治炼（熔炼）炉的炉下及周围、熔融金属罐、渣罐和浇包吊运区域、熔融金属桶车和渣罐车运行区域，地面不得有积水，不应堆放潮湿物品和其他易燃、易爆物品。</w:t>
            </w:r>
          </w:p>
        </w:tc>
        <w:tc>
          <w:tcPr>
            <w:tcW w:w="3315" w:type="dxa"/>
            <w:vAlign w:val="center"/>
          </w:tcPr>
          <w:p w14:paraId="26FE665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934784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2.《冶金企业和有色金属企业安全生产规定》</w:t>
            </w:r>
            <w:r>
              <w:rPr>
                <w:rFonts w:hint="default" w:ascii="宋体" w:hAnsi="宋体" w:eastAsia="宋体" w:cs="宋体"/>
                <w:i w:val="0"/>
                <w:iCs w:val="0"/>
                <w:color w:val="000000"/>
                <w:kern w:val="0"/>
                <w:sz w:val="21"/>
                <w:szCs w:val="21"/>
                <w:u w:val="none"/>
                <w:lang w:val="en-US" w:eastAsia="zh-CN" w:bidi="ar"/>
              </w:rPr>
              <w:t>第四十六条</w:t>
            </w:r>
            <w:r>
              <w:rPr>
                <w:rFonts w:hint="eastAsia" w:ascii="宋体" w:hAnsi="宋体" w:eastAsia="宋体" w:cs="宋体"/>
                <w:i w:val="0"/>
                <w:iCs w:val="0"/>
                <w:color w:val="000000"/>
                <w:kern w:val="0"/>
                <w:sz w:val="21"/>
                <w:szCs w:val="21"/>
                <w:u w:val="non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14:paraId="14BBD167">
            <w:pPr>
              <w:widowControl/>
              <w:adjustRightInd w:val="0"/>
              <w:snapToGrid w:val="0"/>
              <w:jc w:val="center"/>
              <w:rPr>
                <w:rFonts w:hint="eastAsia" w:ascii="宋体" w:hAnsi="宋体" w:cs="宋体"/>
                <w:b/>
                <w:color w:val="auto"/>
                <w:kern w:val="0"/>
                <w:sz w:val="28"/>
                <w:szCs w:val="28"/>
              </w:rPr>
            </w:pPr>
          </w:p>
        </w:tc>
      </w:tr>
      <w:tr w14:paraId="6040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1D4088B5">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23</w:t>
            </w:r>
          </w:p>
        </w:tc>
        <w:tc>
          <w:tcPr>
            <w:tcW w:w="1976" w:type="dxa"/>
            <w:vAlign w:val="center"/>
          </w:tcPr>
          <w:p w14:paraId="0EA2A55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★机械企业使用非水性漆的调漆间、喷漆室应设置固定式可燃气体浓度监测报警装置或者通风设</w:t>
            </w:r>
          </w:p>
        </w:tc>
        <w:tc>
          <w:tcPr>
            <w:tcW w:w="3948" w:type="dxa"/>
            <w:vAlign w:val="center"/>
          </w:tcPr>
          <w:p w14:paraId="5A74D03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1839A89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696E019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2.《工贸企业重大事故隐患判定标准》（应急管理部令第10号）。</w:t>
            </w:r>
          </w:p>
          <w:p w14:paraId="79F9E87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第七条 机械企业有下列情形之一的，应当判定为重大事故隐患：</w:t>
            </w:r>
          </w:p>
          <w:p w14:paraId="04CF764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（七）使用非水性漆的调漆间、喷漆室未设置固定式可燃气体浓度监测报警装置或者通风设施的。</w:t>
            </w:r>
          </w:p>
        </w:tc>
        <w:tc>
          <w:tcPr>
            <w:tcW w:w="3224" w:type="dxa"/>
            <w:vAlign w:val="center"/>
          </w:tcPr>
          <w:p w14:paraId="63F5683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1.《涂装作业安全规程涂漆工艺安全及其通风净化》（GB 6514-2008）</w:t>
            </w:r>
          </w:p>
          <w:p w14:paraId="7562496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5.1.4.2.2  调漆室应为不燃烧、不发火的地面；室内通风换气次数15次/h～25次/h；照明及各类电气设备应为防爆型；调漆室应安装可燃气体浓度报警装置及配置消防器材。</w:t>
            </w:r>
          </w:p>
          <w:p w14:paraId="64CE490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5C0F8E1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68700C9A">
            <w:pPr>
              <w:widowControl/>
              <w:adjustRightInd w:val="0"/>
              <w:snapToGrid w:val="0"/>
              <w:jc w:val="center"/>
              <w:rPr>
                <w:rFonts w:hint="eastAsia" w:ascii="宋体" w:hAnsi="宋体" w:cs="宋体"/>
                <w:b/>
                <w:color w:val="auto"/>
                <w:kern w:val="0"/>
                <w:sz w:val="21"/>
                <w:szCs w:val="21"/>
              </w:rPr>
            </w:pPr>
          </w:p>
        </w:tc>
      </w:tr>
      <w:tr w14:paraId="3751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6821EA0B">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24</w:t>
            </w:r>
          </w:p>
        </w:tc>
        <w:tc>
          <w:tcPr>
            <w:tcW w:w="1976" w:type="dxa"/>
            <w:vAlign w:val="center"/>
          </w:tcPr>
          <w:p w14:paraId="46BF25C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★轻工企业使用非水性漆的调漆间、喷漆室应设置固定式可燃气体浓度监测报警装置与通风设施。</w:t>
            </w:r>
          </w:p>
        </w:tc>
        <w:tc>
          <w:tcPr>
            <w:tcW w:w="3948" w:type="dxa"/>
            <w:vAlign w:val="center"/>
          </w:tcPr>
          <w:p w14:paraId="196749A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258250A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320C598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2.《工贸企业重大事故隐患判定标准》（应急管理部令第10号）。</w:t>
            </w:r>
          </w:p>
          <w:p w14:paraId="7B8AD30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第八条 轻工行业有下列情形之一的，应当判定为重大事故隐患：</w:t>
            </w:r>
          </w:p>
          <w:p w14:paraId="6C9BF1A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（六）使用非水性漆的调漆间、喷漆室未设置固定式可燃气体浓度监测报警装置或者通风设施的。</w:t>
            </w:r>
          </w:p>
        </w:tc>
        <w:tc>
          <w:tcPr>
            <w:tcW w:w="3224" w:type="dxa"/>
            <w:vAlign w:val="center"/>
          </w:tcPr>
          <w:p w14:paraId="7CAD438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1.《涂装作业安全规程涂漆工艺安全及其通风净化》（GB 6514-2008）</w:t>
            </w:r>
          </w:p>
          <w:p w14:paraId="1D80B13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5.1.4.2.2  调漆室应为不燃烧、不发火的地面；室内通风换气次数15次/h～25次/h；照明及各类电气设备应为防爆型；调漆室应安装可燃气体浓度报警装置及配置消防器材。</w:t>
            </w:r>
          </w:p>
          <w:p w14:paraId="35F77EE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208C757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4BBA569E">
            <w:pPr>
              <w:widowControl/>
              <w:adjustRightInd w:val="0"/>
              <w:snapToGrid w:val="0"/>
              <w:jc w:val="center"/>
              <w:rPr>
                <w:rFonts w:hint="eastAsia" w:ascii="宋体" w:hAnsi="宋体" w:cs="宋体"/>
                <w:b/>
                <w:color w:val="auto"/>
                <w:kern w:val="0"/>
                <w:sz w:val="21"/>
                <w:szCs w:val="21"/>
              </w:rPr>
            </w:pPr>
          </w:p>
        </w:tc>
      </w:tr>
      <w:tr w14:paraId="43A4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5C4E0E42">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25</w:t>
            </w:r>
          </w:p>
        </w:tc>
        <w:tc>
          <w:tcPr>
            <w:tcW w:w="1976" w:type="dxa"/>
            <w:vAlign w:val="center"/>
          </w:tcPr>
          <w:p w14:paraId="03F6020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★粉尘爆炸危险场所不应设置在非框架结构的多层建(构)筑物内，粉尘爆炸危险场所内不允许设有员工宿舍、会议室、办公室、休息室等人员聚集场所；</w:t>
            </w:r>
          </w:p>
        </w:tc>
        <w:tc>
          <w:tcPr>
            <w:tcW w:w="3948" w:type="dxa"/>
            <w:vAlign w:val="center"/>
          </w:tcPr>
          <w:p w14:paraId="08A9FFE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3014E8B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4C08230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2.《工贸企业重大事故隐患判定标准》（应急管理部令第 10 号）第十一条  存在粉尘爆炸危险的工贸企业</w:t>
            </w:r>
          </w:p>
          <w:p w14:paraId="2D569E2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（一）粉尘爆炸危险场所设置在非框架结构的多层建(构)筑物内，或者粉尘爆炸危险场所内设有员工宿舍、会议室、办公室、休息室等人员聚集场所的。</w:t>
            </w:r>
          </w:p>
          <w:p w14:paraId="12ACE44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224" w:type="dxa"/>
            <w:vAlign w:val="center"/>
          </w:tcPr>
          <w:p w14:paraId="79EEE1C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1.《粉尘防爆安全规程》（GB 15577-2018）</w:t>
            </w:r>
          </w:p>
          <w:p w14:paraId="639B62B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 存在粉尘爆炸危险的工艺设备或存在粉尘爆炸危险场所的建(构)筑物，不应设置在公共场所和居民区内，其防火间距应符合GB 50016的相关规定。存在粉尘爆炸危险场所的建筑物宜为框架结构的单层建筑，其屋顶宜用轻型结构。如为多层建应采用框架结构。</w:t>
            </w:r>
          </w:p>
          <w:p w14:paraId="3D53116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5.7粉尘爆炸危险场所应严格控制区域内作业人员数量，不得设有休息室、会议室等人员密集场所。</w:t>
            </w:r>
          </w:p>
          <w:p w14:paraId="58E5571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7C7EFE2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79CCA793">
            <w:pPr>
              <w:widowControl/>
              <w:adjustRightInd w:val="0"/>
              <w:snapToGrid w:val="0"/>
              <w:jc w:val="center"/>
              <w:rPr>
                <w:rFonts w:hint="eastAsia" w:ascii="宋体" w:hAnsi="宋体" w:cs="宋体"/>
                <w:b/>
                <w:color w:val="auto"/>
                <w:kern w:val="0"/>
                <w:sz w:val="28"/>
                <w:szCs w:val="28"/>
              </w:rPr>
            </w:pPr>
          </w:p>
        </w:tc>
      </w:tr>
      <w:tr w14:paraId="5E2B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4E8DE502">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26</w:t>
            </w:r>
          </w:p>
        </w:tc>
        <w:tc>
          <w:tcPr>
            <w:tcW w:w="1976" w:type="dxa"/>
            <w:vAlign w:val="center"/>
          </w:tcPr>
          <w:p w14:paraId="5515D3B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★不同类别的可燃性粉尘、可燃性粉尘与可燃气体等易加剧爆炸危险的介质不允许共用一套除尘系统，不同建（构）筑物、不同防火分区不允许共用一套除尘系统、除尘系统不运行互联互通。</w:t>
            </w:r>
          </w:p>
          <w:p w14:paraId="4CBE94C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948" w:type="dxa"/>
            <w:vAlign w:val="center"/>
          </w:tcPr>
          <w:p w14:paraId="08C7C93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3A80688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5502A36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《工贸企业重大事故隐患判定标准》（应急管理部令第 10 号）第十一条  存在粉尘爆炸危险的工贸企业</w:t>
            </w:r>
          </w:p>
          <w:p w14:paraId="7AF7706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（二）不同类别的可燃性粉尘、可燃性粉尘与可燃气体等易加剧爆炸危险的介质共用一套除尘系统，或者不同建（构）筑物、不同防火分区共用一套除尘系统、除尘系统互联互通的。</w:t>
            </w:r>
          </w:p>
        </w:tc>
        <w:tc>
          <w:tcPr>
            <w:tcW w:w="3224" w:type="dxa"/>
            <w:vAlign w:val="center"/>
          </w:tcPr>
          <w:p w14:paraId="5C44A43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《粉尘防爆安全规程》（GB 15577-2018）</w:t>
            </w:r>
          </w:p>
          <w:p w14:paraId="5177AD7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8.1.1不同类别的可燃性粉尘不应合用同一除尘系统。</w:t>
            </w:r>
          </w:p>
          <w:p w14:paraId="0B95E14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8.1.2粉尘爆炸危险场所除尘系统不应与带有可燃气体、高温气体、或其它工业气体的风管及设备连通。</w:t>
            </w:r>
          </w:p>
          <w:p w14:paraId="08A86A4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8.1.3应按工艺分片(分区域)设置相对独立的除尘系统。</w:t>
            </w:r>
          </w:p>
          <w:p w14:paraId="5352C08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8.1.4不同防火分区的除尘系统不应连通。</w:t>
            </w:r>
          </w:p>
          <w:p w14:paraId="5891729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60743F8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67E2305F">
            <w:pPr>
              <w:widowControl/>
              <w:adjustRightInd w:val="0"/>
              <w:snapToGrid w:val="0"/>
              <w:jc w:val="center"/>
              <w:rPr>
                <w:rFonts w:hint="eastAsia" w:ascii="宋体" w:hAnsi="宋体" w:cs="宋体"/>
                <w:b/>
                <w:color w:val="auto"/>
                <w:kern w:val="0"/>
                <w:sz w:val="28"/>
                <w:szCs w:val="28"/>
              </w:rPr>
            </w:pPr>
          </w:p>
        </w:tc>
      </w:tr>
      <w:tr w14:paraId="354B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673C27A8">
            <w:pPr>
              <w:keepNext w:val="0"/>
              <w:keepLines w:val="0"/>
              <w:widowControl/>
              <w:suppressLineNumbers w:val="0"/>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27</w:t>
            </w:r>
          </w:p>
        </w:tc>
        <w:tc>
          <w:tcPr>
            <w:tcW w:w="1976" w:type="dxa"/>
            <w:vAlign w:val="center"/>
          </w:tcPr>
          <w:p w14:paraId="5168684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★干式除尘系统应规范采用泄爆、隔爆、惰化、抑爆、抗爆等一种或多种控爆措施</w:t>
            </w:r>
          </w:p>
        </w:tc>
        <w:tc>
          <w:tcPr>
            <w:tcW w:w="3948" w:type="dxa"/>
            <w:vAlign w:val="center"/>
          </w:tcPr>
          <w:p w14:paraId="2F53B31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25F9C92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5678BD1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《工贸企业重大事故隐患判定标准》（应急管理部令第 10 号）第十一条  存在粉尘爆炸危险的工贸企业</w:t>
            </w:r>
          </w:p>
          <w:p w14:paraId="1E6CAC5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（三）干式除尘系统未采取泄爆、惰化、抑爆等任一种爆炸防控措施的。</w:t>
            </w:r>
          </w:p>
          <w:p w14:paraId="3D5C6F4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224" w:type="dxa"/>
            <w:vAlign w:val="center"/>
          </w:tcPr>
          <w:p w14:paraId="56036A1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1《粉尘防爆安全规程》（GB 15577-2018）</w:t>
            </w:r>
          </w:p>
          <w:p w14:paraId="26F343E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7.1.3  存在粉尘爆炸危险的工艺设备，应采用泄爆、抑爆和隔爆、抗爆中的一种或多种控爆方式，但不能单独采取隔爆。</w:t>
            </w:r>
          </w:p>
          <w:p w14:paraId="25A020E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2.《铝镁制品机械加工粉尘防爆安全技术规范》 （AQ 4273-2016）9.1.2干式除尘系统应按照粉尘爆炸特性采取预防和控制粉尘爆炸的措施，选用降低爆炸危险的以下一种或多种防爆装置：泄爆装置、惰化装置、隔爆装置、抑爆装置。</w:t>
            </w:r>
          </w:p>
          <w:p w14:paraId="337FFEA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3.《粉尘爆炸危险场所用除尘系统安全技术规范》 （AQ 4273-2016）4.2干式除尘系统应按照粉尘爆炸特性采取预防和控制粉尘爆炸的措施，选用降低爆炸危险的以下一种或多种防爆装置：泄爆装置、惰化装置、隔爆装置、抑爆装制。</w:t>
            </w:r>
          </w:p>
        </w:tc>
        <w:tc>
          <w:tcPr>
            <w:tcW w:w="3315" w:type="dxa"/>
            <w:vAlign w:val="center"/>
          </w:tcPr>
          <w:p w14:paraId="6824F1E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1AAF1D50">
            <w:pPr>
              <w:widowControl/>
              <w:adjustRightInd w:val="0"/>
              <w:snapToGrid w:val="0"/>
              <w:jc w:val="center"/>
              <w:rPr>
                <w:rFonts w:hint="eastAsia" w:ascii="宋体" w:hAnsi="宋体" w:cs="宋体"/>
                <w:b/>
                <w:color w:val="auto"/>
                <w:kern w:val="0"/>
                <w:sz w:val="28"/>
                <w:szCs w:val="28"/>
              </w:rPr>
            </w:pPr>
          </w:p>
        </w:tc>
      </w:tr>
      <w:tr w14:paraId="2077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66057AB4">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28</w:t>
            </w:r>
          </w:p>
        </w:tc>
        <w:tc>
          <w:tcPr>
            <w:tcW w:w="1976" w:type="dxa"/>
            <w:vAlign w:val="center"/>
          </w:tcPr>
          <w:p w14:paraId="3114624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★禁止采用粉尘沉降室除尘，禁止采用干式巷道式构筑物作为除尘风道</w:t>
            </w:r>
          </w:p>
        </w:tc>
        <w:tc>
          <w:tcPr>
            <w:tcW w:w="3948" w:type="dxa"/>
            <w:vAlign w:val="center"/>
          </w:tcPr>
          <w:p w14:paraId="30D7947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05B4037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1987F76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2.《工贸企业重大事故隐患判定标准》（应急管理部令第 10 号）第十一条  存在粉尘爆炸危险的工贸企业（五）除尘系统采用重力沉降室除尘，或者采用干式巷道式构筑物作为除尘风道的。</w:t>
            </w:r>
          </w:p>
        </w:tc>
        <w:tc>
          <w:tcPr>
            <w:tcW w:w="3224" w:type="dxa"/>
            <w:vAlign w:val="center"/>
          </w:tcPr>
          <w:p w14:paraId="1937217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1.《粉尘防爆安全规程》（GB 15577-2018）</w:t>
            </w:r>
          </w:p>
          <w:p w14:paraId="3DE0B2D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8.3.2  禁止采用干式巷道式构筑物作为除尘风道。</w:t>
            </w:r>
          </w:p>
          <w:p w14:paraId="1CCFEAD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8.4.2  禁止采用重力沉降室除尘。</w:t>
            </w:r>
          </w:p>
          <w:p w14:paraId="4EC4B14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2AB52FE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2F085973">
            <w:pPr>
              <w:widowControl/>
              <w:adjustRightInd w:val="0"/>
              <w:snapToGrid w:val="0"/>
              <w:jc w:val="center"/>
              <w:rPr>
                <w:rFonts w:hint="eastAsia" w:ascii="宋体" w:hAnsi="宋体" w:cs="宋体"/>
                <w:b/>
                <w:color w:val="00B050"/>
                <w:kern w:val="0"/>
                <w:sz w:val="28"/>
                <w:szCs w:val="28"/>
              </w:rPr>
            </w:pPr>
          </w:p>
        </w:tc>
      </w:tr>
      <w:tr w14:paraId="108D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09" w:hRule="atLeast"/>
          <w:jc w:val="center"/>
        </w:trPr>
        <w:tc>
          <w:tcPr>
            <w:tcW w:w="862" w:type="dxa"/>
            <w:vAlign w:val="center"/>
          </w:tcPr>
          <w:p w14:paraId="06D18CDE">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29</w:t>
            </w:r>
          </w:p>
        </w:tc>
        <w:tc>
          <w:tcPr>
            <w:tcW w:w="1976" w:type="dxa"/>
            <w:vAlign w:val="center"/>
          </w:tcPr>
          <w:p w14:paraId="5EEC4A8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★粉尘爆炸危险场所的20区应使用防爆电气设备设施</w:t>
            </w:r>
          </w:p>
        </w:tc>
        <w:tc>
          <w:tcPr>
            <w:tcW w:w="3948" w:type="dxa"/>
            <w:vAlign w:val="center"/>
          </w:tcPr>
          <w:p w14:paraId="677C2E9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5C72C78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0D7C49F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2.《工贸企业重大事故隐患判定标准》（应急管理部令第 10 号）第十一条  存在粉尘爆炸危险的工贸企业（七）除尘器、收尘仓等划分为20区的粉尘爆炸危险场所电气设备不符合防爆要求的。</w:t>
            </w:r>
          </w:p>
        </w:tc>
        <w:tc>
          <w:tcPr>
            <w:tcW w:w="3224" w:type="dxa"/>
            <w:vAlign w:val="center"/>
          </w:tcPr>
          <w:p w14:paraId="01C39A3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1.《粉尘防爆安全规程》（GB 15577-2018）</w:t>
            </w:r>
          </w:p>
          <w:p w14:paraId="2A74246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6.3.3  粉尘爆炸危险场所用电气设备应符合GB 12476.1、GB/T 3836.15的相关规定；应防止由电气设备或线路产生的过热及火花，防止可燃性粉尘进入产生电火花或高温部件的外壳内。</w:t>
            </w:r>
          </w:p>
          <w:p w14:paraId="59F55E2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6.3.3  粉尘爆炸危险场所电气设计、安装应按GB 50058的有关规定执行。</w:t>
            </w:r>
          </w:p>
          <w:p w14:paraId="7650DDB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5CB042A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353C6B55">
            <w:pPr>
              <w:widowControl/>
              <w:adjustRightInd w:val="0"/>
              <w:snapToGrid w:val="0"/>
              <w:jc w:val="center"/>
              <w:rPr>
                <w:rFonts w:hint="eastAsia" w:ascii="宋体" w:hAnsi="宋体" w:cs="宋体"/>
                <w:b/>
                <w:color w:val="auto"/>
                <w:kern w:val="0"/>
                <w:sz w:val="28"/>
                <w:szCs w:val="28"/>
              </w:rPr>
            </w:pPr>
          </w:p>
        </w:tc>
      </w:tr>
      <w:tr w14:paraId="5573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6746576C">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30</w:t>
            </w:r>
          </w:p>
        </w:tc>
        <w:tc>
          <w:tcPr>
            <w:tcW w:w="1976" w:type="dxa"/>
            <w:vAlign w:val="center"/>
          </w:tcPr>
          <w:p w14:paraId="34A5D34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★粉碎、研磨、造粒等易产生机械点燃源的工艺设备前，应设置铁、石等杂物去除装置，木制品加工企业与砂光机连接的风管应设置火花探测消除装置的；</w:t>
            </w:r>
          </w:p>
        </w:tc>
        <w:tc>
          <w:tcPr>
            <w:tcW w:w="3948" w:type="dxa"/>
            <w:vAlign w:val="center"/>
          </w:tcPr>
          <w:p w14:paraId="2E91D42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0F698C8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5D2756AD">
            <w:pPr>
              <w:keepNext w:val="0"/>
              <w:keepLines w:val="0"/>
              <w:widowControl/>
              <w:suppressLineNumbers w:val="0"/>
              <w:ind w:firstLine="210" w:firstLineChars="1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2.《工贸企业重大事故隐患判定标准》（应急管理部令第 10 号）第十一条  存在粉尘爆炸危险的工贸企业（八）粉碎、研磨、造粒等易产生机械点燃源的工艺设备前，未设置铁、石等杂物去除装置，或者木制品加工企业与砂光机连接的风管未设置火花探测消除装置的。</w:t>
            </w:r>
          </w:p>
        </w:tc>
        <w:tc>
          <w:tcPr>
            <w:tcW w:w="3224" w:type="dxa"/>
            <w:vAlign w:val="center"/>
          </w:tcPr>
          <w:p w14:paraId="7F74DA7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1.《粉尘防爆安全规程》（GB 15577-2018）</w:t>
            </w:r>
          </w:p>
          <w:p w14:paraId="6B30372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6.4.5  粉尘输送管道中存在火花等点火源时，如与木质板材加工用砂光机连接的除尘风管、纺织梳棉（麻）设备除尘风管等，应设置火花探测与消除火花的装置。</w:t>
            </w:r>
          </w:p>
          <w:p w14:paraId="66D0B62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5D6F7F4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48E01B86">
            <w:pPr>
              <w:widowControl/>
              <w:adjustRightInd w:val="0"/>
              <w:snapToGrid w:val="0"/>
              <w:jc w:val="center"/>
              <w:rPr>
                <w:rFonts w:hint="eastAsia" w:ascii="宋体" w:hAnsi="宋体" w:cs="宋体"/>
                <w:b/>
                <w:color w:val="auto"/>
                <w:kern w:val="0"/>
                <w:sz w:val="28"/>
                <w:szCs w:val="28"/>
                <w:highlight w:val="none"/>
              </w:rPr>
            </w:pPr>
          </w:p>
        </w:tc>
      </w:tr>
      <w:tr w14:paraId="3EF3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2113F90A">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751FC8D8">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0FB5AF19">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14:paraId="7B3F2F93">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31</w:t>
            </w:r>
          </w:p>
        </w:tc>
        <w:tc>
          <w:tcPr>
            <w:tcW w:w="1976" w:type="dxa"/>
            <w:vAlign w:val="center"/>
          </w:tcPr>
          <w:p w14:paraId="7519EB8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★是否落实粉尘清理制度，造成作业现场积尘严重的</w:t>
            </w:r>
          </w:p>
        </w:tc>
        <w:tc>
          <w:tcPr>
            <w:tcW w:w="3948" w:type="dxa"/>
            <w:vAlign w:val="center"/>
          </w:tcPr>
          <w:p w14:paraId="16E4F00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6AFFF29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5FDEF0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2.《工贸企业重大事故隐患判定标准》（应急管理部令第 10 号）第十一条  存在粉尘爆炸危险的工贸企业（十）未落实粉尘清理制度，造成作业现场积尘严重的。</w:t>
            </w:r>
          </w:p>
        </w:tc>
        <w:tc>
          <w:tcPr>
            <w:tcW w:w="3224" w:type="dxa"/>
            <w:vAlign w:val="center"/>
          </w:tcPr>
          <w:p w14:paraId="43B90F8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1.《粉尘防爆安全规程》（GB 15577-2018）</w:t>
            </w:r>
          </w:p>
          <w:p w14:paraId="557BE40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  企业对粉尘爆炸危险场所应制定包括清扫范围、清扫方式、清扫周期等内容的粉尘清洁制度。</w:t>
            </w:r>
          </w:p>
          <w:p w14:paraId="1FAC5E5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  所有可能沉积粉尘的区域(包括粉料贮存间)及设备设施的所有部位应进行及时全面规范清扫。</w:t>
            </w:r>
          </w:p>
          <w:p w14:paraId="13B8007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  应根据粉尘特性采用不产生扬尘的清扫方法，不应使用压缩空气进行吹扫，宜采用负压吸尘方式清洁。</w:t>
            </w:r>
          </w:p>
          <w:p w14:paraId="6591CE5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1B24160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14:paraId="36765455">
            <w:pPr>
              <w:widowControl/>
              <w:adjustRightInd w:val="0"/>
              <w:snapToGrid w:val="0"/>
              <w:jc w:val="center"/>
              <w:rPr>
                <w:rFonts w:hint="eastAsia" w:ascii="宋体" w:hAnsi="宋体" w:cs="宋体"/>
                <w:b/>
                <w:color w:val="auto"/>
                <w:kern w:val="0"/>
                <w:sz w:val="28"/>
                <w:szCs w:val="28"/>
              </w:rPr>
            </w:pPr>
          </w:p>
        </w:tc>
      </w:tr>
      <w:tr w14:paraId="1110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16E1F77D">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32</w:t>
            </w:r>
          </w:p>
        </w:tc>
        <w:tc>
          <w:tcPr>
            <w:tcW w:w="1976" w:type="dxa"/>
            <w:vAlign w:val="center"/>
          </w:tcPr>
          <w:p w14:paraId="496ACF3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★存在硫化氢、一氧化碳等中毒风险的有限空间作业的工贸企业应对有限空间进行辨识、建立安全管理台账，并且设置明显的安全警示标志</w:t>
            </w:r>
          </w:p>
        </w:tc>
        <w:tc>
          <w:tcPr>
            <w:tcW w:w="3948" w:type="dxa"/>
            <w:vAlign w:val="center"/>
          </w:tcPr>
          <w:p w14:paraId="34E8FE7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0A54C5A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7CFB81D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2.《工贸企业有限空间作业安全管理与监督暂行规定》</w:t>
            </w:r>
          </w:p>
          <w:p w14:paraId="3C66C13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第七条 工贸企业应当对本企业的有限空间进行辨识，确定有限空间的数量、位置以及危险有害因素等基本情况，建立有限空间管理台账，并及时更新；</w:t>
            </w:r>
          </w:p>
          <w:p w14:paraId="69A7D3E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第十九条  工贸企业有限空间作业还应当符合下列要求：</w:t>
            </w:r>
          </w:p>
          <w:p w14:paraId="47F4406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（二）设置明显的安全警示标志和警示说明；</w:t>
            </w:r>
          </w:p>
          <w:p w14:paraId="4126178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3.《工贸企业重大事故隐患判定标准》（应急管理部令第10号）</w:t>
            </w:r>
          </w:p>
          <w:p w14:paraId="4E9AC7B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存在硫化氢、一氧化碳等中毒风险的有限空间作业的工贸企业有下列情形之一的，应当判定为重大事故隐患：</w:t>
            </w:r>
          </w:p>
          <w:p w14:paraId="678A71D0">
            <w:pPr>
              <w:keepNext w:val="0"/>
              <w:keepLines w:val="0"/>
              <w:widowControl/>
              <w:suppressLineNumbers w:val="0"/>
              <w:ind w:firstLine="210" w:firstLineChars="1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(一)未对有限空间进行辨识、建立安全管理台账，并且未设置明显的安全警示标志的。</w:t>
            </w:r>
          </w:p>
        </w:tc>
        <w:tc>
          <w:tcPr>
            <w:tcW w:w="3224" w:type="dxa"/>
            <w:vAlign w:val="center"/>
          </w:tcPr>
          <w:p w14:paraId="1B37897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标志及其使用导则》（GB2894-2008）9.1标志牌应设在与安全有关的醒目地方，并使大家看见后，有足够的时间来注意它所表示的内容。环境信息标志宜设在有关场所的入口处和醒目处；局部信息标志应设在所涉及的相应危险地点或设备（部件）附近的醒目处。</w:t>
            </w:r>
          </w:p>
          <w:p w14:paraId="11335C9A">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工程安全生产管理条例》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tc>
        <w:tc>
          <w:tcPr>
            <w:tcW w:w="3315" w:type="dxa"/>
            <w:vAlign w:val="center"/>
          </w:tcPr>
          <w:p w14:paraId="0D7AA8B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4980F3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（一）未在有较大危险因素的生产经营场所和有关设施、设备上设置明显的安全警示标志的；</w:t>
            </w:r>
          </w:p>
          <w:p w14:paraId="4873956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7354287">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14:paraId="232C85F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14:paraId="4AFDC73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（一）未在有限空间作业场所设置明显的安全警示标志的；</w:t>
            </w:r>
          </w:p>
          <w:p w14:paraId="1CCAB65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14:paraId="116C446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二十九条 工贸企业有下列情形之一的，由县级以上安全生产监督管理部门给予警告，可以并处2万元以下的罚款：（一）未按照本规定对有限空间作业进行辨识、提出防范措施、建立有限空间管理台账的；</w:t>
            </w:r>
          </w:p>
        </w:tc>
        <w:tc>
          <w:tcPr>
            <w:tcW w:w="819" w:type="dxa"/>
            <w:vAlign w:val="center"/>
          </w:tcPr>
          <w:p w14:paraId="2870676A">
            <w:pPr>
              <w:widowControl/>
              <w:adjustRightInd w:val="0"/>
              <w:snapToGrid w:val="0"/>
              <w:jc w:val="center"/>
              <w:rPr>
                <w:rFonts w:hint="eastAsia" w:ascii="宋体" w:hAnsi="宋体" w:cs="宋体"/>
                <w:b/>
                <w:color w:val="auto"/>
                <w:kern w:val="0"/>
                <w:sz w:val="21"/>
                <w:szCs w:val="21"/>
              </w:rPr>
            </w:pPr>
          </w:p>
        </w:tc>
      </w:tr>
      <w:tr w14:paraId="7669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49270B8E">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33</w:t>
            </w:r>
          </w:p>
        </w:tc>
        <w:tc>
          <w:tcPr>
            <w:tcW w:w="1976" w:type="dxa"/>
            <w:vAlign w:val="center"/>
          </w:tcPr>
          <w:p w14:paraId="5DE354E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★存在硫化氢、一氧化碳等中毒风险的有限空间作业的工贸企业未落实有限空间作业审批，或者未执行“先通风、再检测、后作业”要求，或者作业现场未设置监护人员的。</w:t>
            </w:r>
          </w:p>
        </w:tc>
        <w:tc>
          <w:tcPr>
            <w:tcW w:w="3948" w:type="dxa"/>
            <w:vAlign w:val="center"/>
          </w:tcPr>
          <w:p w14:paraId="00E1405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1.《中华人民共和国安全生产法》第四十一条 ……</w:t>
            </w:r>
          </w:p>
          <w:p w14:paraId="2F2D93B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生产经营单位应当建立健全并落实生产安全事故隐患排查治理制度，采取技术、管理措施，及时发现并消除事故隐患.....</w:t>
            </w:r>
          </w:p>
          <w:p w14:paraId="0FFA895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2.《工贸企业有限空间作业安全管理与监督暂行规定》 第八条  工贸企业实施有限空间作业前，应当对作业环境进行评估，分析存在的危险有害因素，提出消除、控制危害的措施，制定有限空间作业方案，并经本企业安全生产管理人员审核，负责人批准。</w:t>
            </w:r>
          </w:p>
          <w:p w14:paraId="7CD8125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第九条 工贸企业应当按照有限空间作业方案，明确作业现场负责人、监护人员、作业人员及其安全职责。</w:t>
            </w:r>
          </w:p>
          <w:p w14:paraId="2E50C9F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3.《工贸企业重大事故隐患判定标准》（应急管理部令第10号）</w:t>
            </w:r>
          </w:p>
          <w:p w14:paraId="0AAD81C8">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存在硫化氢、一氧化碳等中毒风险的有限空间作业的工贸企业有下列情形之一的，应当判定为重大事故隐患：</w:t>
            </w:r>
          </w:p>
          <w:p w14:paraId="057060BF">
            <w:pPr>
              <w:keepNext w:val="0"/>
              <w:keepLines w:val="0"/>
              <w:widowControl/>
              <w:suppressLineNumbers w:val="0"/>
              <w:ind w:firstLine="210" w:firstLineChars="1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未落实有限空间作业审批，或者未执行“先通风、再检测、后作业”要求，或者作业现场未设置监护人员的。</w:t>
            </w:r>
          </w:p>
        </w:tc>
        <w:tc>
          <w:tcPr>
            <w:tcW w:w="3224" w:type="dxa"/>
            <w:vAlign w:val="center"/>
          </w:tcPr>
          <w:p w14:paraId="6F94CEA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3315" w:type="dxa"/>
            <w:vAlign w:val="center"/>
          </w:tcPr>
          <w:p w14:paraId="493277C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90E38B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14:paraId="55939B6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14:paraId="1BBAB37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（三）未按照本规定对有限空间作业制定作业方案或者方案未经审批擅自作业的；（四）有限空间作业未按照本规定进行危险有害因素检测或者监测，并实行专人监护作业的</w:t>
            </w:r>
          </w:p>
        </w:tc>
        <w:tc>
          <w:tcPr>
            <w:tcW w:w="819" w:type="dxa"/>
            <w:vAlign w:val="center"/>
          </w:tcPr>
          <w:p w14:paraId="74000D76">
            <w:pPr>
              <w:widowControl/>
              <w:adjustRightInd w:val="0"/>
              <w:snapToGrid w:val="0"/>
              <w:jc w:val="center"/>
              <w:rPr>
                <w:rFonts w:hint="eastAsia" w:ascii="宋体" w:hAnsi="宋体" w:cs="宋体"/>
                <w:b/>
                <w:color w:val="auto"/>
                <w:kern w:val="0"/>
                <w:sz w:val="21"/>
                <w:szCs w:val="21"/>
              </w:rPr>
            </w:pPr>
          </w:p>
        </w:tc>
      </w:tr>
      <w:tr w14:paraId="5F6E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1AD5C5DC">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34</w:t>
            </w:r>
          </w:p>
        </w:tc>
        <w:tc>
          <w:tcPr>
            <w:tcW w:w="1976" w:type="dxa"/>
            <w:vAlign w:val="center"/>
          </w:tcPr>
          <w:p w14:paraId="26B206E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企业在开展吊装、动火、临时用电、有限空间等其他危险作业，未安排专门人员进行现场安全管理的，未遵守安全操作规程和落实安全措施的；冶金企业和有色企业未建立有限空间、动火、高处作业、能源介质停送等较大危险作业和检修、维修作业审批制度的，或者实施工作票（作业票）和操作票管理未严格履行内部审批手续的。</w:t>
            </w:r>
          </w:p>
        </w:tc>
        <w:tc>
          <w:tcPr>
            <w:tcW w:w="3948" w:type="dxa"/>
            <w:vAlign w:val="center"/>
          </w:tcPr>
          <w:p w14:paraId="0880F3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p w14:paraId="317D367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2DBB1E3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《冶金企业和有色金属企业安全生产规定》（安监总局令第91号）第三十八条 企业应当建立有限空间、动火、高处作业、能源介质停送等较大危险作业和检修、维修作业审批制度，实施工作票（作业票）和操作票管理，严格履行内部审批手续，并安排专门人员进行现场安全管理，确保作业安全。</w:t>
            </w:r>
          </w:p>
        </w:tc>
        <w:tc>
          <w:tcPr>
            <w:tcW w:w="3224" w:type="dxa"/>
            <w:vAlign w:val="center"/>
          </w:tcPr>
          <w:p w14:paraId="15A1E75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《危险化学品企业特殊作业安全规范》（GB30871-2022）第4.10条 作业期间应设监护人。监护人应由具有生产(作业)实践经验的人员担任,并经专项培训考试合格，佩戴明显标识,持培训合格证上岗。</w:t>
            </w:r>
          </w:p>
        </w:tc>
        <w:tc>
          <w:tcPr>
            <w:tcW w:w="3315" w:type="dxa"/>
            <w:vAlign w:val="center"/>
          </w:tcPr>
          <w:p w14:paraId="369AE89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5BF69BC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14:paraId="0DF8B69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（三）进行爆破、吊装、动火、临时用电以及国务院应急管理部门会同国务院有关部门规定的其他危险作业，未安排专门人员进行现场安全管理的；</w:t>
            </w:r>
          </w:p>
          <w:p w14:paraId="6C0FC59C">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14:paraId="3A70DC84">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819" w:type="dxa"/>
            <w:vAlign w:val="center"/>
          </w:tcPr>
          <w:p w14:paraId="7B1DFD46">
            <w:pPr>
              <w:rPr>
                <w:rFonts w:hint="eastAsia" w:ascii="宋体" w:hAnsi="宋体" w:cs="宋体"/>
                <w:b/>
                <w:color w:val="auto"/>
                <w:kern w:val="0"/>
                <w:sz w:val="21"/>
                <w:szCs w:val="21"/>
              </w:rPr>
            </w:pPr>
          </w:p>
        </w:tc>
      </w:tr>
      <w:tr w14:paraId="2D50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862" w:type="dxa"/>
            <w:vAlign w:val="center"/>
          </w:tcPr>
          <w:p w14:paraId="7779BD3C">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35</w:t>
            </w:r>
          </w:p>
        </w:tc>
        <w:tc>
          <w:tcPr>
            <w:tcW w:w="1976" w:type="dxa"/>
            <w:vAlign w:val="center"/>
          </w:tcPr>
          <w:p w14:paraId="6412E44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企业未落实机械伤害“四必有”即有轴必有套、有轮必有罩、有台必有栏、有洞必有盖要求的。</w:t>
            </w:r>
          </w:p>
        </w:tc>
        <w:tc>
          <w:tcPr>
            <w:tcW w:w="3948" w:type="dxa"/>
            <w:vAlign w:val="center"/>
          </w:tcPr>
          <w:p w14:paraId="5716496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《中华人民共和国安全生产法》第三十六条</w:t>
            </w:r>
          </w:p>
          <w:p w14:paraId="4E939A46">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2C485B8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生产经营单位必须对安全设备进行经常性维护、保养，并定期检测，保证正常运转。维护、保养、检测应当作好记录，并由有关人员签字。</w:t>
            </w:r>
          </w:p>
          <w:p w14:paraId="2443E835">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生产经营单位不得关闭、破坏直接关系生产安全的监控、报警、防护、救生设备、设施，或者篡改、隐瞒、销毁其相关数据、信息。</w:t>
            </w:r>
          </w:p>
          <w:p w14:paraId="0076784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224" w:type="dxa"/>
            <w:vAlign w:val="center"/>
          </w:tcPr>
          <w:p w14:paraId="0730C632">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《固定式钢梯及平台安全要求第3部分：工业防护栏杆及钢平台》（GB4053.3-2009）4.1.1距下方相邻地板或地面1.2m及以上的平台、通道或者工作面的所有边敞开边缘应设置防护栏杆；</w:t>
            </w:r>
          </w:p>
          <w:p w14:paraId="15B26C2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《机械安全防护装置固定式和活动式防护装置设计与制造一般要求》（GB/T 8196-2018）6.4.2 运动传递部件对运动传递部件，如皮带轮、皮带、齿轮、导轨、齿杆、传动轴产生的危险的防护，应采用固定式防护装置或活动式联锁防护装置。</w:t>
            </w:r>
          </w:p>
          <w:p w14:paraId="7A0E42D1">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《建筑施工高处作业安全技术规范》（JGJ80）第四条 施工现场通道附近的各类洞口与坑槽等处，除设置防护设施与安全标志外，夜间还应设红灯示警。</w:t>
            </w:r>
          </w:p>
        </w:tc>
        <w:tc>
          <w:tcPr>
            <w:tcW w:w="3315" w:type="dxa"/>
            <w:vAlign w:val="center"/>
          </w:tcPr>
          <w:p w14:paraId="3C45BA5B">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四）关闭、破坏直接关系生产安全的监控、报警、防护、救生设备、设施，或者篡改、隐瞒、销毁其相关数据、信息的；</w:t>
            </w:r>
          </w:p>
        </w:tc>
        <w:tc>
          <w:tcPr>
            <w:tcW w:w="819" w:type="dxa"/>
            <w:vAlign w:val="center"/>
          </w:tcPr>
          <w:p w14:paraId="5A3314A2">
            <w:pPr>
              <w:rPr>
                <w:rFonts w:hint="eastAsia" w:ascii="宋体" w:hAnsi="宋体" w:cs="宋体"/>
                <w:b/>
                <w:color w:val="auto"/>
                <w:kern w:val="0"/>
                <w:sz w:val="21"/>
                <w:szCs w:val="21"/>
              </w:rPr>
            </w:pPr>
          </w:p>
        </w:tc>
      </w:tr>
    </w:tbl>
    <w:p w14:paraId="38AEEFC7">
      <w:pPr>
        <w:pStyle w:val="11"/>
        <w:rPr>
          <w:rFonts w:hint="eastAsia"/>
          <w:lang w:val="en-US" w:eastAsia="zh-CN"/>
        </w:rPr>
      </w:pPr>
    </w:p>
    <w:p w14:paraId="5ADB6364">
      <w:pPr>
        <w:pStyle w:val="7"/>
      </w:pPr>
    </w:p>
    <w:p w14:paraId="6516EA27">
      <w:pPr>
        <w:pStyle w:val="7"/>
      </w:pPr>
    </w:p>
    <w:p w14:paraId="603871EE">
      <w:pPr>
        <w:pStyle w:val="7"/>
      </w:pPr>
    </w:p>
    <w:p w14:paraId="755DBEAC">
      <w:pPr>
        <w:pStyle w:val="7"/>
      </w:pPr>
    </w:p>
    <w:p w14:paraId="08F078E6">
      <w:pPr>
        <w:pStyle w:val="7"/>
      </w:pPr>
    </w:p>
    <w:p w14:paraId="5F6F33B3">
      <w:pPr>
        <w:jc w:val="center"/>
        <w:rPr>
          <w:rFonts w:hint="eastAsia" w:ascii="方正小标宋简体" w:hAnsi="方正小标宋简体" w:eastAsia="方正小标宋简体" w:cs="方正小标宋简体"/>
          <w:b w:val="0"/>
          <w:sz w:val="36"/>
          <w:szCs w:val="36"/>
          <w:lang w:val="en-US" w:eastAsia="zh-CN"/>
        </w:rPr>
      </w:pPr>
      <w:r>
        <w:rPr>
          <w:rFonts w:hint="eastAsia" w:ascii="方正小标宋简体" w:hAnsi="方正小标宋简体" w:eastAsia="方正小标宋简体" w:cs="方正小标宋简体"/>
          <w:b w:val="0"/>
          <w:sz w:val="36"/>
          <w:szCs w:val="36"/>
          <w:lang w:val="en-US" w:eastAsia="zh-CN"/>
        </w:rPr>
        <w:t>自治区安全生产执法检查重点事项指导目录（安全评价检测检验机构）</w:t>
      </w:r>
    </w:p>
    <w:tbl>
      <w:tblPr>
        <w:tblStyle w:val="8"/>
        <w:tblW w:w="14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6"/>
        <w:gridCol w:w="1600"/>
        <w:gridCol w:w="3852"/>
        <w:gridCol w:w="3540"/>
        <w:gridCol w:w="4187"/>
        <w:gridCol w:w="615"/>
      </w:tblGrid>
      <w:tr w14:paraId="6FA3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tblHeader/>
        </w:trPr>
        <w:tc>
          <w:tcPr>
            <w:tcW w:w="516" w:type="dxa"/>
            <w:tcBorders>
              <w:top w:val="single" w:color="000000" w:sz="4" w:space="0"/>
              <w:left w:val="single" w:color="000000" w:sz="4" w:space="0"/>
              <w:right w:val="single" w:color="000000" w:sz="4" w:space="0"/>
            </w:tcBorders>
            <w:shd w:val="clear" w:color="auto" w:fill="auto"/>
            <w:vAlign w:val="center"/>
          </w:tcPr>
          <w:p w14:paraId="6E81BC25">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序号</w:t>
            </w:r>
          </w:p>
        </w:tc>
        <w:tc>
          <w:tcPr>
            <w:tcW w:w="1600" w:type="dxa"/>
            <w:tcBorders>
              <w:top w:val="single" w:color="000000" w:sz="4" w:space="0"/>
              <w:left w:val="single" w:color="000000" w:sz="4" w:space="0"/>
              <w:right w:val="single" w:color="000000" w:sz="4" w:space="0"/>
            </w:tcBorders>
            <w:shd w:val="clear" w:color="auto" w:fill="auto"/>
            <w:vAlign w:val="center"/>
          </w:tcPr>
          <w:p w14:paraId="6E99D9CD">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执法检查重点事项内容</w:t>
            </w:r>
          </w:p>
        </w:tc>
        <w:tc>
          <w:tcPr>
            <w:tcW w:w="3852" w:type="dxa"/>
            <w:tcBorders>
              <w:top w:val="single" w:color="000000" w:sz="4" w:space="0"/>
              <w:left w:val="single" w:color="000000" w:sz="4" w:space="0"/>
              <w:right w:val="single" w:color="000000" w:sz="4" w:space="0"/>
            </w:tcBorders>
            <w:shd w:val="clear" w:color="auto" w:fill="auto"/>
            <w:vAlign w:val="center"/>
          </w:tcPr>
          <w:p w14:paraId="3E6B824F">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执法检查依据</w:t>
            </w:r>
          </w:p>
        </w:tc>
        <w:tc>
          <w:tcPr>
            <w:tcW w:w="3540" w:type="dxa"/>
            <w:tcBorders>
              <w:top w:val="single" w:color="000000" w:sz="4" w:space="0"/>
              <w:left w:val="single" w:color="000000" w:sz="4" w:space="0"/>
              <w:right w:val="single" w:color="000000" w:sz="4" w:space="0"/>
            </w:tcBorders>
            <w:shd w:val="clear" w:color="auto" w:fill="auto"/>
            <w:vAlign w:val="center"/>
          </w:tcPr>
          <w:p w14:paraId="2FA2B062">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有关规范性文件及标准要求</w:t>
            </w:r>
          </w:p>
        </w:tc>
        <w:tc>
          <w:tcPr>
            <w:tcW w:w="4187" w:type="dxa"/>
            <w:tcBorders>
              <w:top w:val="single" w:color="000000" w:sz="4" w:space="0"/>
              <w:left w:val="single" w:color="000000" w:sz="4" w:space="0"/>
              <w:right w:val="single" w:color="000000" w:sz="4" w:space="0"/>
            </w:tcBorders>
            <w:shd w:val="clear" w:color="auto" w:fill="auto"/>
            <w:vAlign w:val="center"/>
          </w:tcPr>
          <w:p w14:paraId="4A3FF0AB">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处罚依据</w:t>
            </w:r>
          </w:p>
        </w:tc>
        <w:tc>
          <w:tcPr>
            <w:tcW w:w="615" w:type="dxa"/>
            <w:tcBorders>
              <w:top w:val="single" w:color="000000" w:sz="4" w:space="0"/>
              <w:right w:val="single" w:color="000000" w:sz="4" w:space="0"/>
            </w:tcBorders>
            <w:shd w:val="clear" w:color="auto" w:fill="auto"/>
            <w:vAlign w:val="center"/>
          </w:tcPr>
          <w:p w14:paraId="57541BA2">
            <w:pPr>
              <w:keepNext w:val="0"/>
              <w:keepLines w:val="0"/>
              <w:widowControl/>
              <w:suppressLineNumbers w:val="0"/>
              <w:jc w:val="center"/>
              <w:textAlignment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备注</w:t>
            </w:r>
          </w:p>
        </w:tc>
      </w:tr>
      <w:tr w14:paraId="6C40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93B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w w:val="100"/>
                <w:sz w:val="21"/>
                <w:szCs w:val="21"/>
                <w:u w:val="none"/>
              </w:rPr>
            </w:pPr>
            <w:r>
              <w:rPr>
                <w:rFonts w:hint="eastAsia" w:ascii="宋体" w:hAnsi="宋体" w:eastAsia="宋体" w:cs="宋体"/>
                <w:i w:val="0"/>
                <w:color w:val="000000"/>
                <w:w w:val="100"/>
                <w:kern w:val="0"/>
                <w:sz w:val="21"/>
                <w:szCs w:val="21"/>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416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安全评价检测检验机构资质条件保持：固定资产</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8CF">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《安全评价检测检验机构管理办法》第三条……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安全评价检测检验机构从事跨区域技术服务的，项目实施地资质认可机关应当及时核查其资质有效性、认可范围等信息，并对其技术服务实施抽查。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CB99">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《安全评价检测检验机构管理办法》第六条  申请安全评价机构资质应当具备下列条件：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（一）独立法人资格，固定资产不少于八百万元；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第七条  申请安全生产检测检验机构资质应当具备下列条件：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（一）独立法人资格，固定资产不少于一千万元；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第二十二条 安全评价检测检验机构及其从业人员不得有下列行为：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（二）不再具备资质条件或者资质过期从事安全评价、检测检验的；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E9F0">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（六）未按照有关法规标准的强制性规定从事安全评价、检测检验活动的；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DC9">
            <w:pPr>
              <w:widowControl/>
              <w:adjustRightInd w:val="0"/>
              <w:snapToGrid w:val="0"/>
              <w:ind w:firstLine="420" w:firstLineChars="200"/>
              <w:rPr>
                <w:rFonts w:hint="eastAsia" w:ascii="宋体" w:hAnsi="宋体" w:cs="宋体"/>
                <w:color w:val="auto"/>
                <w:kern w:val="0"/>
                <w:szCs w:val="21"/>
                <w:lang w:val="en-US" w:eastAsia="zh-CN"/>
              </w:rPr>
            </w:pPr>
          </w:p>
        </w:tc>
      </w:tr>
      <w:tr w14:paraId="5D11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F638">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B11B">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安全评价检测检验机构资质条件保持：办公场所及设施、设备</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A6E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《安全评价检测检验机构管理办法》第三条……省级人民政府应急管理部门、煤矿安全生产监督管理部门（以下统称资质认可机关）按照各自的职责，分别负责安全评价检测检验机构资质认可和监督管理工作。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 xml:space="preserve">  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A03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《安全评价检测检验机构管理办法》第六条  申请安全评价机构资质应当具备下列条件：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（二）工作场所建筑面积不少于一千平方米，其中档案室不少于一百平方米，设施、设备、软件等技术支撑条件满足工作需求；</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第七条  申请安全生产检测检验机构资质应当具备下列条件：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（二）工作场所建筑面积不少于一千平方米，有与从事安全生产检测检验相适应的设施、设备和环境，检测检验设施、设备原值不少于八百万元；</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第二十二条 安全评价检测检验机构及其从业人员不得有下列行为：</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（二）不再具备资质条件或者资质过期从事安全评价、检测检验的；</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59E">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（六）未按照有关法规标准的强制性规定从事安全评价、检测检验活动的；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240">
            <w:pPr>
              <w:widowControl/>
              <w:adjustRightInd w:val="0"/>
              <w:snapToGrid w:val="0"/>
              <w:ind w:firstLine="420" w:firstLineChars="200"/>
              <w:rPr>
                <w:rFonts w:hint="eastAsia" w:ascii="宋体" w:hAnsi="宋体" w:cs="宋体"/>
                <w:color w:val="auto"/>
                <w:kern w:val="0"/>
                <w:szCs w:val="21"/>
                <w:lang w:val="en-US" w:eastAsia="zh-CN"/>
              </w:rPr>
            </w:pPr>
          </w:p>
        </w:tc>
      </w:tr>
      <w:tr w14:paraId="5882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E334">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ED4">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安全评价检测检验机构资质条件保持：专职技术人员及注册安全工程师</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8ADF">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《安全评价检测检验机构管理办法》第三条……省级人民政府应急管理部门、煤矿安全生产监督管理部门（以下统称资质认可机关）按照各自的职责，分别负责安全评价检测检验机构资质认可和监督管理工作。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30E8">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《安全评价检测检验机构管理办法》第六条  申请安全评价机构资质应当具备下列条件：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（三）承担矿山、金属冶炼、危险化学品生产和储存、烟花爆竹等业务范围安全评价的机构，其专职安全评价师不低于本办法规定的配备标准（附件1）；</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14:paraId="1F2AE211">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第七条  申请安全生产检测检验机构资质应当具备下列条件：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（四）专业技术人员具有与承担安全生产检测检验相适应的专业技能，以及在本行业领域工作两年以上；</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第二十二条 安全评价检测检验机构及其从业人员不得有下列行为：</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（二）不再具备资质条件或者资质过期从事安全评价、检测检验的；</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7EDA">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（六）未按照有关法规标准的强制性规定从事安全评价、检测检验活动的；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F591">
            <w:pPr>
              <w:widowControl/>
              <w:adjustRightInd w:val="0"/>
              <w:snapToGrid w:val="0"/>
              <w:ind w:firstLine="420" w:firstLineChars="200"/>
              <w:rPr>
                <w:rFonts w:hint="eastAsia" w:ascii="宋体" w:hAnsi="宋体" w:cs="宋体"/>
                <w:color w:val="auto"/>
                <w:kern w:val="0"/>
                <w:szCs w:val="21"/>
                <w:lang w:val="en-US" w:eastAsia="zh-CN"/>
              </w:rPr>
            </w:pPr>
          </w:p>
        </w:tc>
      </w:tr>
      <w:tr w14:paraId="2661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99FA">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3BF8">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安全评价检测检验机构资质条件保持：专职技术负责人和过程控制负责人（主持工作负责人、技术负责人、质量负责人）</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59B">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E97F">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《安全评价检测检验机构管理办法》第六条  申请安全评价机构资质应当具备下列条件：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第七条  申请安全生产检测检验机构资质应当具备下列条件：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（六）主持安全生产检测检验工作的负责人、技术负责人、质量负责人具有高级技术职称，在本行业领域工作八年以上；</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第二十二条 安全评价检测检验机构及其从业人员不得有下列行为：</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（二）不再具备资质条件或者资质过期从事安全评价、检测检验的；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1900">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（六）未按照有关法规标准的强制性规定从事安全评价、检测检验活动的；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6DBB">
            <w:pPr>
              <w:widowControl/>
              <w:adjustRightInd w:val="0"/>
              <w:snapToGrid w:val="0"/>
              <w:ind w:firstLine="420" w:firstLineChars="200"/>
              <w:rPr>
                <w:rFonts w:hint="eastAsia" w:ascii="宋体" w:hAnsi="宋体" w:cs="宋体"/>
                <w:color w:val="auto"/>
                <w:kern w:val="0"/>
                <w:szCs w:val="21"/>
                <w:lang w:val="en-US" w:eastAsia="zh-CN"/>
              </w:rPr>
            </w:pPr>
          </w:p>
        </w:tc>
      </w:tr>
      <w:tr w14:paraId="599F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7631">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1F7E">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安全评价检测检验机构资质条件保持：内部管理制度（文件化管理体系）和安全评价过程控制体系</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E7E4">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76A8">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《安全评价检测检验机构管理办法》第六条  申请安全评价机构资质应当具备下列条件：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（五）健全的内部管理制度和安全评价过程控制体系；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第七条  申请安全生产检测检验资质资质应当具备下列条件：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（七）符合安全生产检测检验机构能力通用要求等相关标准和规范性文件规定的文件化管理体系；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第二十二条 安全评价检测检验机构及其从业人员不得有下列行为：</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（二）不再具备资质条件或者资质过期从事安全评价、检测检验的；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E342">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（六）未按照有关法规标准的强制性规定从事安全评价、检测检验活动的；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619">
            <w:pPr>
              <w:widowControl/>
              <w:adjustRightInd w:val="0"/>
              <w:snapToGrid w:val="0"/>
              <w:ind w:firstLine="420" w:firstLineChars="200"/>
              <w:rPr>
                <w:rFonts w:hint="eastAsia" w:ascii="宋体" w:hAnsi="宋体" w:cs="宋体"/>
                <w:color w:val="auto"/>
                <w:kern w:val="0"/>
                <w:szCs w:val="21"/>
                <w:lang w:val="en-US" w:eastAsia="zh-CN"/>
              </w:rPr>
            </w:pPr>
          </w:p>
        </w:tc>
      </w:tr>
      <w:tr w14:paraId="0755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1F24">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E20F">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安全评价检测检验机构资质条件保持：信息查询网站</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DF9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2B4B">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《安全评价检测检验机构管理办法》第六条  申请安全评价机构资质应当具备下列条件：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（八）正常运行并可以供公众查询机构信息的网站；</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第七条  申请安全生产检测检验资质资质应当具备下列条件：</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（八）正常运行并可以供公众查询机构信息的网站；</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第二十二条 安全评价检测检验机构及其从业人员不得有下列行为：</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（二）不再具备资质条件或者资质过期从事安全评价、检测检验的；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7045">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《安全评价检测检验机构管理办法》第二十八条  申请人以欺骗、贿赂等不正当手段取得资质（包括资质延续、资质变更、增加业务范围等）的，应当予以撤销。该申请人在三年内不得再次申请；构成犯罪的，依法追究刑事责任。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（六）未按照有关法规标准的强制性规定从事安全评价、检测检验活动的；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8D0F">
            <w:pPr>
              <w:widowControl/>
              <w:adjustRightInd w:val="0"/>
              <w:snapToGrid w:val="0"/>
              <w:ind w:firstLine="420" w:firstLineChars="200"/>
              <w:rPr>
                <w:rFonts w:hint="eastAsia" w:ascii="宋体" w:hAnsi="宋体" w:cs="宋体"/>
                <w:color w:val="auto"/>
                <w:kern w:val="0"/>
                <w:szCs w:val="21"/>
                <w:lang w:val="en-US" w:eastAsia="zh-CN"/>
              </w:rPr>
            </w:pPr>
          </w:p>
        </w:tc>
      </w:tr>
      <w:tr w14:paraId="0AE7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4E8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76A5">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安全评价检测检验机构资质条件保持：资质变更</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7766">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DA65">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9CE2">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（五）机构名称、注册地址、实验室条件、法定代表人、专职技术负责人、授权签字人发生变化之日起三十日内未向原资质认可机关提出变更申请的；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261B">
            <w:pPr>
              <w:widowControl/>
              <w:adjustRightInd w:val="0"/>
              <w:snapToGrid w:val="0"/>
              <w:ind w:firstLine="420" w:firstLineChars="200"/>
              <w:rPr>
                <w:rFonts w:hint="eastAsia" w:ascii="宋体" w:hAnsi="宋体" w:cs="宋体"/>
                <w:color w:val="auto"/>
                <w:kern w:val="0"/>
                <w:szCs w:val="21"/>
                <w:lang w:val="en-US" w:eastAsia="zh-CN"/>
              </w:rPr>
            </w:pPr>
          </w:p>
        </w:tc>
      </w:tr>
      <w:tr w14:paraId="3CB0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C050">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A2C1">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安全评价检测检验机构资质条件保持：资质延期</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5E2F">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F343">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《安全评价检测检验机构管理办法》第十三条  安全评价检测检验机构资质证书有效期五年。资质证书有效期届满需要延续的，应当在有效期届满三个月前向原资质认可机关提出申请。原资质认可机关应当按照本办法第九条至第十一条的规定办理。</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C76C">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《安全评价检测检验机构管理办法》第二十九条  未取得资质的机构及其有关人员擅自从事安全评价、检测检验服务的，责令立即停止违法行为，依照下列规定给予处罚：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（一）机构有违法所得的，没收其违法所得，并处违法所得一倍以上三倍以下的罚款，但最高不得超过三万元；没有违法所得的，处五千元以上一万元以下的罚款；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（二）有关人员处五千元以上一万元以下的罚款。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对有前款违法行为的机构及其人员，由资质认可机关记入有关机构和人员的信用记录，并依照有关规定予以公告。</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8AA7">
            <w:pPr>
              <w:widowControl/>
              <w:adjustRightInd w:val="0"/>
              <w:snapToGrid w:val="0"/>
              <w:ind w:firstLine="420" w:firstLineChars="200"/>
              <w:rPr>
                <w:rFonts w:hint="eastAsia" w:ascii="宋体" w:hAnsi="宋体" w:cs="宋体"/>
                <w:color w:val="auto"/>
                <w:kern w:val="0"/>
                <w:szCs w:val="21"/>
                <w:lang w:val="en-US" w:eastAsia="zh-CN"/>
              </w:rPr>
            </w:pPr>
          </w:p>
        </w:tc>
      </w:tr>
      <w:tr w14:paraId="188C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6F0F">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93A4">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安全评价检测检验机构从业情况：按规定签订技术服务合同</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1FE5">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03DC">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《安全评价检测检验机构管理办法》第十六条生产经营单位委托安全评价检测检验机构开展技术服务时，应当签订委托技术服务合同，明确服务对象、范围、权利、义务和责任。 </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B6D2">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（一）未依法与委托方签订技术服务合同的；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6C11">
            <w:pPr>
              <w:widowControl/>
              <w:adjustRightInd w:val="0"/>
              <w:snapToGrid w:val="0"/>
              <w:ind w:firstLine="420" w:firstLineChars="200"/>
              <w:rPr>
                <w:rFonts w:hint="eastAsia" w:ascii="宋体" w:hAnsi="宋体" w:cs="宋体"/>
                <w:color w:val="auto"/>
                <w:kern w:val="0"/>
                <w:szCs w:val="21"/>
                <w:lang w:val="en-US" w:eastAsia="zh-CN"/>
              </w:rPr>
            </w:pPr>
          </w:p>
        </w:tc>
      </w:tr>
      <w:tr w14:paraId="50AA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478E">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DFFE">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安全评价检测检验机构从业情况：建立信息公开制度并落实</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9AF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EFBC">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《安全评价检测检验机构管理办法》第十七条 安全评价检测检验机构应当建立信息公开制度……</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第十八条 安全评价检测检验机构开展技术服务时，应当如实记录过程控制、现场勘验和检测检验的情况，并与现场图像影像等证明资料一并及时归档。</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安全评价检测检验机构应当按照有关规定在网上公开安全评价报告、安全生产检测检验报告相关信息及现场勘验图像影像。</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0A4C">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（三）未按规定公开安全评价报告、安全生产检测检验报告相关信息及现场勘验图像影像资料的；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D919">
            <w:pPr>
              <w:widowControl/>
              <w:adjustRightInd w:val="0"/>
              <w:snapToGrid w:val="0"/>
              <w:ind w:firstLine="420" w:firstLineChars="200"/>
              <w:rPr>
                <w:rFonts w:hint="eastAsia" w:ascii="宋体" w:hAnsi="宋体" w:cs="宋体"/>
                <w:color w:val="auto"/>
                <w:kern w:val="0"/>
                <w:szCs w:val="21"/>
                <w:lang w:val="en-US" w:eastAsia="zh-CN"/>
              </w:rPr>
            </w:pPr>
          </w:p>
        </w:tc>
      </w:tr>
      <w:tr w14:paraId="1CD6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E985">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6A0E">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安全评价检测检验机构从业情况：按标准配备项目安全评价检测检验人员</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DAAC">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071A">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《安全评价检测检验机构管理办法》第十七条 ……安全评价项目组组长应当具有与业务相关的二级以上安全评价师资格，并在本行业领域工作三年以上。项目组其他组成人员应当符合安全评价项目专职安全评价师专业能力配备标准。</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17FB">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（六）未按照有关法规标准的强制性规定从事安全评价、检测检验活动的；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911A">
            <w:pPr>
              <w:widowControl/>
              <w:adjustRightInd w:val="0"/>
              <w:snapToGrid w:val="0"/>
              <w:ind w:firstLine="420" w:firstLineChars="200"/>
              <w:rPr>
                <w:rFonts w:hint="eastAsia" w:ascii="宋体" w:hAnsi="宋体" w:cs="宋体"/>
                <w:color w:val="auto"/>
                <w:kern w:val="0"/>
                <w:szCs w:val="21"/>
                <w:lang w:val="en-US" w:eastAsia="zh-CN"/>
              </w:rPr>
            </w:pPr>
          </w:p>
        </w:tc>
      </w:tr>
      <w:tr w14:paraId="59F5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5128">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E09B">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安全评价检测检验机构从业情况：跨区开展业务从业告知</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6D4E">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7CC">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第十九条 安全评价检测检验机构应当在开展现场技术服务前七个工作日内，书面告知项目实施地资质认可机关，接受资质认可机关及其下级部门的监督抽查。</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B630">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（四）未在开展现场技术服务前七个工作日内，书面告知项目实施地资质认可机关的；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F58">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1"/>
                <w:szCs w:val="21"/>
                <w:u w:val="none"/>
              </w:rPr>
            </w:pPr>
          </w:p>
        </w:tc>
      </w:tr>
      <w:tr w14:paraId="7D33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8591">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8769">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安全评价检测检验机构从业情况：按照核准资质范围评价检测检验</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3776">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FC6D">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《安全评价检测检验机构管理办法》第二十二条  安全评价检测检验机构及其从业人员不得有下列行为：</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（二）不再具备资质条件或者资质过期从事安全评价、检测检验的；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（三）超出资质认可业务范围，从事法定的安全评价、检测检验的；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（十）冒用他人名义或者允许他人冒用本人名义在安全评价、检测检验报告和原始记录中签名的；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0520">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《安全评价检测检验机构管理办法》第二十九条  未取得资质的机构及其有关人员擅自从事安全评价、检测检验服务的，责令立即停止违法行为，依照下列规定给予处罚：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（一）机构有违法所得的，没收其违法所得，并处违法所得一倍以上三倍以下的罚款，但最高不得超过三万元；没有违法所得的，处五千元以上一万元以下的罚款；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（二）有关人员处五千元以上一万元以下的罚款。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对有前款违法行为的机构及其人员，由资质认可机关记入有关机构和人员的信用记录，并依照有关规定予以公告。</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18D8">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1"/>
                <w:szCs w:val="21"/>
                <w:u w:val="none"/>
              </w:rPr>
            </w:pPr>
          </w:p>
        </w:tc>
      </w:tr>
      <w:tr w14:paraId="3440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6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E242">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0A37">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安全评价检测检验机构从业情况:出租或者出借资质、挂靠</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F8D4">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74A5">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《中华人民共和国安全生产法》第七十二条  ……</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承担安全评价、认证、检测、检验职责的机构应当建立并实施服务公开和报告公开制度，不得租借资质、挂靠、出具虚假报告。</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br w:type="textWrapping"/>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957C">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《中华人民共和国安全生产法》第九十二条　……</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对有前款违法行为的机构及其直接责任人员，吊销其相应资质和资格，五年内不得从事安全评价、认证、检测、检验等工作；情节严重的，实行终身行业和职业禁入。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6464">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1"/>
                <w:szCs w:val="21"/>
                <w:u w:val="none"/>
              </w:rPr>
            </w:pPr>
          </w:p>
        </w:tc>
      </w:tr>
      <w:tr w14:paraId="6E97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BA49">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0FAE">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安全评价检测检验机构从业情况:出具重大疏漏的安全评价、检测检验报告</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46EF">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56BE">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《安全评价检测检验机构管理办法》第二十二条  安全评价检测检验机构及其从业人员不得有下列行为：</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（五）出具虚假或者重大疏漏的安全评价、检测检验报告的；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6475">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（十）安全评价报告存在法规标准引用错误、关键危险有害因素漏项、重大危险源辨识错误、对策措施建议与存在问题严重不符等重大疏漏，但尚未造成重大损失的；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（十一）安全生产检测检验报告存在法规标准引用错误、关键项目漏检、结论不明确等重大疏漏，但尚未造成重大损失的。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3836">
            <w:pPr>
              <w:keepNext w:val="0"/>
              <w:keepLines w:val="0"/>
              <w:pageBreakBefore w:val="0"/>
              <w:tabs>
                <w:tab w:val="left" w:pos="420"/>
              </w:tabs>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1"/>
                <w:szCs w:val="21"/>
                <w:u w:val="none"/>
              </w:rPr>
            </w:pPr>
          </w:p>
        </w:tc>
      </w:tr>
      <w:tr w14:paraId="6398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86D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B11D">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安全评价检测检验机构从业情况:出具虚假安全评价、检测检验报告</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CF62">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9DD3">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《中华人民共和国安全生产法》第七十二条　承担安全评价、认证、检测、检验职责的机构应当具备国家规定的资质条件，并对其作出的安全评价、认证、检测、检验结果的合法性、真实性负责。资质条件由国务院应急管理部门会同国务院有关部门制定。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承担安全评价、认证、检测、检验职责的机构应当建立并实施服务公开和报告公开制度，不得租借资质、挂靠、出具虚假报告。</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《安全评价检测检验机构管理办法》第二十二条  安全评价检测检验机构及其从业人员不得有下列行为：</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（五）出具虚假或者重大疏漏的安全评价、检测检验报告的；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3A61">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《中华人民共和国安全生产法》第九十二条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对有前款违法行为的机构及其直接责任人员，吊销其相应资质和资格，五年内不得从事安全评价、认证、检测、检验等工作；情节严重的，实行终身行业和职业禁入。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对有前款违法行为的机构，由资质认可机关吊销其相应资质，向社会公告，按照国家有关规定对相关机构及其责任人员实行行业禁入，纳入不良记录“黑名单”管理，以及安全评价检测检验机构信息查询系统。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7B50">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1"/>
                <w:szCs w:val="21"/>
                <w:u w:val="none"/>
              </w:rPr>
            </w:pPr>
          </w:p>
        </w:tc>
      </w:tr>
      <w:tr w14:paraId="50D1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21"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67E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8F82">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安全评价检测检验机构从业情况:出具失实安全评价、检测检验报告</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50F3">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BBA">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《中华人民共和国安全生产法》第七十二条　承担安全评价、认证、检测、检验职责的机构应当具备国家规定的资质条件，并对其作出的安全评价、认证、检测、检验结果的合法性、真实性负责。资质条件由国务院应急管理部门会同国务院有关部门制定。</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AEDB">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《中华人民共和国安全生产法》第九十二条　承担安全评价、认证、检测、检验职责的机构出具失实报告的，责令停业整顿，并处三万元以上十万元以下的罚款；给他人造成损害的，依法承担赔偿责任。</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D072">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1"/>
                <w:szCs w:val="21"/>
                <w:u w:val="none"/>
              </w:rPr>
            </w:pPr>
          </w:p>
        </w:tc>
      </w:tr>
      <w:tr w14:paraId="040F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4D3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202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安全评价检测检验机构从业情况:其它从业行为</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01FA">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《安全评价检测检验机构管理办法》</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第三条……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省级人民政府应急管理部门、煤矿安全生产监督管理部门（以下统称资质认可机关）按照各自的职责，分别负责安全评价检测检验机构资质认可和监督管理工作。</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设区的市级人民政府、县级人民政府应急管理部门、煤矿安全生产监督管理部门按照各自的职责，对安全评价检测检验机构执业行为实施监督检查，并对发现的违法行为依法实施行政处罚。</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第二十四条资质认可机关应当将其认可的安全评价检测检验机构纳入年度安全生产监督检查计划范围。按照国务院有关“双随机、一公开”的规定实施监督检查，并确保每三年至少覆盖一次。</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安全评价检测检验机构从事跨区域技术服务的，项目实施地资质认可机关应当及时核查其资质有效性、认可范围等信息，并对其技术服务实施抽查。</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资质认可机关及其下级部门应当对本行政区域内登记注册的安全评价检测检验机构资质条件保持情况、接受行政处罚和投诉举报等情况进行重点监督检查。</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A53B">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第二十二条  安全评价检测检验机构及其从业人员不得有下列行为：</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（一）违反法规标准的规定开展安全评价、检测检验的；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（六）违反有关法规标准规定，更改或者简化安全评价、检测检验程序和相关内容的；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（七）专职安全评价师、专业技术人员同时在两个以上安全评价检测检验机构从业的；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（八）安全评价项目组组长及负责勘验人员不到现场实际地点开展勘验等有关工作的；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（九） 承担现场检测检验的人员不到现场实际地点开展设备检测检验等有关工作的；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0DAF">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（二）违反法规标准规定更改或者简化安全评价、检测检验程序和相关内容的；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（六）未按照有关法规标准的强制性规定从事安全评价、检测检验活动的；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（八）安全评价项目组组长及负责勘验人员不到现场实际地点开展勘验等有关工作的；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（九）承担现场检测检验的人员不到现场实际地点开展设备检测检验等有关工作的；</w:t>
            </w:r>
            <w:r>
              <w:rPr>
                <w:rFonts w:hint="eastAsia" w:ascii="宋体" w:hAnsi="宋体" w:cs="宋体"/>
                <w:color w:val="auto"/>
                <w:kern w:val="0"/>
                <w:szCs w:val="21"/>
                <w:lang w:val="en-US" w:eastAsia="zh-CN"/>
              </w:rPr>
              <w:br w:type="textWrapping"/>
            </w:r>
            <w:r>
              <w:rPr>
                <w:rFonts w:hint="eastAsia" w:ascii="宋体" w:hAnsi="宋体" w:cs="宋体"/>
                <w:color w:val="auto"/>
                <w:kern w:val="0"/>
                <w:szCs w:val="21"/>
                <w:lang w:val="en-US" w:eastAsia="zh-CN"/>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4265">
            <w:pPr>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outlineLvl w:val="9"/>
              <w:rPr>
                <w:rFonts w:hint="eastAsia" w:ascii="宋体" w:hAnsi="宋体" w:eastAsia="宋体" w:cs="宋体"/>
                <w:i w:val="0"/>
                <w:color w:val="000000"/>
                <w:sz w:val="21"/>
                <w:szCs w:val="21"/>
                <w:u w:val="none"/>
              </w:rPr>
            </w:pPr>
          </w:p>
        </w:tc>
      </w:tr>
    </w:tbl>
    <w:p w14:paraId="51AAC445">
      <w:pPr>
        <w:rPr>
          <w:rFonts w:hint="eastAsia" w:ascii="宋体" w:hAnsi="宋体" w:eastAsia="宋体" w:cs="宋体"/>
          <w:sz w:val="21"/>
          <w:szCs w:val="21"/>
        </w:rPr>
      </w:pPr>
    </w:p>
    <w:p w14:paraId="555B85DA">
      <w:pPr>
        <w:pStyle w:val="7"/>
        <w:rPr>
          <w:rFonts w:hint="eastAsia" w:ascii="宋体" w:hAnsi="宋体" w:eastAsia="宋体" w:cs="宋体"/>
          <w:sz w:val="21"/>
          <w:szCs w:val="21"/>
        </w:rPr>
      </w:pPr>
      <w:bookmarkStart w:id="0" w:name="_GoBack"/>
      <w:bookmarkEnd w:id="0"/>
    </w:p>
    <w:sectPr>
      <w:footerReference r:id="rId4" w:type="default"/>
      <w:pgSz w:w="16838" w:h="11906" w:orient="landscape"/>
      <w:pgMar w:top="1349" w:right="898" w:bottom="612"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95D0">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4319270</wp:posOffset>
              </wp:positionH>
              <wp:positionV relativeFrom="paragraph">
                <wp:posOffset>-583565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AC0EF">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40.1pt;margin-top:-45.95pt;height:144pt;width:144pt;mso-position-horizontal-relative:margin;mso-wrap-style:none;z-index:251659264;mso-width-relative:page;mso-height-relative:page;" filled="f" stroked="f" coordsize="21600,21600" o:gfxdata="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aEatYAAAALAQAADwAAAAAAAAABACAAAAAiAAAAZHJzL2Rvd25y&#10;ZXYueG1sUEsBAhQAFAAAAAgAh07iQPQJJ5fHAQAAmQMAAA4AAAAAAAAAAQAgAAAAJQEAAGRycy9l&#10;Mm9Eb2MueG1sUEsFBgAAAAAGAAYAWQEAAF4FAAAAAA==&#10;">
              <v:fill on="f" focussize="0,0"/>
              <v:stroke on="f"/>
              <v:imagedata o:title=""/>
              <o:lock v:ext="edit" aspectratio="f"/>
              <v:textbox inset="0mm,0mm,0mm,0mm" style="mso-fit-shape-to-text:t;">
                <w:txbxContent>
                  <w:p w14:paraId="547AC0EF">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980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037A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8037A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2B3A5"/>
    <w:multiLevelType w:val="singleLevel"/>
    <w:tmpl w:val="AA92B3A5"/>
    <w:lvl w:ilvl="0" w:tentative="0">
      <w:start w:val="2"/>
      <w:numFmt w:val="chineseCounting"/>
      <w:suff w:val="nothing"/>
      <w:lvlText w:val="（%1）"/>
      <w:lvlJc w:val="left"/>
      <w:rPr>
        <w:rFonts w:hint="eastAsia"/>
      </w:rPr>
    </w:lvl>
  </w:abstractNum>
  <w:abstractNum w:abstractNumId="1">
    <w:nsid w:val="64489E23"/>
    <w:multiLevelType w:val="singleLevel"/>
    <w:tmpl w:val="64489E23"/>
    <w:lvl w:ilvl="0" w:tentative="0">
      <w:start w:val="1"/>
      <w:numFmt w:val="chineseCounting"/>
      <w:suff w:val="nothing"/>
      <w:lvlText w:val="（%1）"/>
      <w:lvlJc w:val="left"/>
    </w:lvl>
  </w:abstractNum>
  <w:abstractNum w:abstractNumId="2">
    <w:nsid w:val="6448A797"/>
    <w:multiLevelType w:val="singleLevel"/>
    <w:tmpl w:val="6448A797"/>
    <w:lvl w:ilvl="0" w:tentative="0">
      <w:start w:val="1"/>
      <w:numFmt w:val="chineseCounting"/>
      <w:suff w:val="nothing"/>
      <w:lvlText w:val="（%1）"/>
      <w:lvlJc w:val="left"/>
    </w:lvl>
  </w:abstractNum>
  <w:abstractNum w:abstractNumId="3">
    <w:nsid w:val="6448B320"/>
    <w:multiLevelType w:val="singleLevel"/>
    <w:tmpl w:val="6448B320"/>
    <w:lvl w:ilvl="0" w:tentative="0">
      <w:start w:val="1"/>
      <w:numFmt w:val="chineseCounting"/>
      <w:suff w:val="nothing"/>
      <w:lvlText w:val="（%1）"/>
      <w:lvlJc w:val="left"/>
    </w:lvl>
  </w:abstractNum>
  <w:abstractNum w:abstractNumId="4">
    <w:nsid w:val="6448B44D"/>
    <w:multiLevelType w:val="singleLevel"/>
    <w:tmpl w:val="6448B44D"/>
    <w:lvl w:ilvl="0" w:tentative="0">
      <w:start w:val="5"/>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F136DA7"/>
    <w:rsid w:val="068648B3"/>
    <w:rsid w:val="08E43B13"/>
    <w:rsid w:val="09FE6D72"/>
    <w:rsid w:val="0C0F70F9"/>
    <w:rsid w:val="0CAA6E21"/>
    <w:rsid w:val="0F5F2145"/>
    <w:rsid w:val="10D10E21"/>
    <w:rsid w:val="1EE2244B"/>
    <w:rsid w:val="21E116E9"/>
    <w:rsid w:val="27225ADA"/>
    <w:rsid w:val="280015E2"/>
    <w:rsid w:val="3058256D"/>
    <w:rsid w:val="30670A02"/>
    <w:rsid w:val="309C71D7"/>
    <w:rsid w:val="31413B18"/>
    <w:rsid w:val="32627A4B"/>
    <w:rsid w:val="34105F46"/>
    <w:rsid w:val="3417273F"/>
    <w:rsid w:val="375872F6"/>
    <w:rsid w:val="387C0543"/>
    <w:rsid w:val="391C6AF7"/>
    <w:rsid w:val="3A88215A"/>
    <w:rsid w:val="3B455DE4"/>
    <w:rsid w:val="3B5D312D"/>
    <w:rsid w:val="3B9643C5"/>
    <w:rsid w:val="40A37834"/>
    <w:rsid w:val="40FA31CC"/>
    <w:rsid w:val="43B46841"/>
    <w:rsid w:val="45FE550D"/>
    <w:rsid w:val="47F6293F"/>
    <w:rsid w:val="48024AFB"/>
    <w:rsid w:val="480706A9"/>
    <w:rsid w:val="484B60E3"/>
    <w:rsid w:val="4B2901FA"/>
    <w:rsid w:val="4F136DA7"/>
    <w:rsid w:val="51BA00E3"/>
    <w:rsid w:val="546D3F89"/>
    <w:rsid w:val="565229F6"/>
    <w:rsid w:val="5BD743DE"/>
    <w:rsid w:val="5E0B4682"/>
    <w:rsid w:val="60C66381"/>
    <w:rsid w:val="658E7B9D"/>
    <w:rsid w:val="712E63F7"/>
    <w:rsid w:val="7AD63D87"/>
    <w:rsid w:val="7BCB1412"/>
    <w:rsid w:val="7D31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adjustRightInd w:val="0"/>
      <w:spacing w:line="312" w:lineRule="atLeast"/>
      <w:ind w:firstLine="540"/>
      <w:textAlignment w:val="baseline"/>
    </w:pPr>
    <w:rPr>
      <w:rFonts w:eastAsia="宋体"/>
      <w:kern w:val="0"/>
      <w:sz w:val="30"/>
      <w:szCs w:val="20"/>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qFormat/>
    <w:uiPriority w:val="99"/>
    <w:pPr>
      <w:ind w:firstLine="420"/>
    </w:pPr>
  </w:style>
  <w:style w:type="character" w:styleId="10">
    <w:name w:val="page number"/>
    <w:basedOn w:val="9"/>
    <w:uiPriority w:val="0"/>
  </w:style>
  <w:style w:type="paragraph" w:customStyle="1" w:styleId="11">
    <w:name w:val="正文-公1"/>
    <w:basedOn w:val="1"/>
    <w:next w:val="1"/>
    <w:qFormat/>
    <w:uiPriority w:val="0"/>
    <w:pPr>
      <w:ind w:firstLine="200" w:firstLineChars="200"/>
      <w:jc w:val="left"/>
    </w:pPr>
    <w:rPr>
      <w:rFonts w:eastAsia="仿宋_GB2312"/>
    </w:rPr>
  </w:style>
  <w:style w:type="table" w:customStyle="1" w:styleId="12">
    <w:name w:val="Table Normal"/>
    <w:unhideWhenUsed/>
    <w:qFormat/>
    <w:uiPriority w:val="0"/>
    <w:tblPr>
      <w:tblCellMar>
        <w:top w:w="0" w:type="dxa"/>
        <w:left w:w="0" w:type="dxa"/>
        <w:bottom w:w="0" w:type="dxa"/>
        <w:right w:w="0" w:type="dxa"/>
      </w:tblCellMar>
    </w:tblPr>
  </w:style>
  <w:style w:type="character" w:customStyle="1" w:styleId="13">
    <w:name w:val="font11"/>
    <w:basedOn w:val="9"/>
    <w:qFormat/>
    <w:uiPriority w:val="0"/>
    <w:rPr>
      <w:rFonts w:hint="eastAsia" w:ascii="宋体" w:hAnsi="宋体" w:eastAsia="宋体" w:cs="宋体"/>
      <w:color w:val="000000"/>
      <w:sz w:val="22"/>
      <w:szCs w:val="22"/>
      <w:u w:val="none"/>
    </w:rPr>
  </w:style>
  <w:style w:type="character" w:customStyle="1" w:styleId="14">
    <w:name w:val="font01"/>
    <w:basedOn w:val="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8396</Words>
  <Characters>8464</Characters>
  <Lines>0</Lines>
  <Paragraphs>0</Paragraphs>
  <TotalTime>7</TotalTime>
  <ScaleCrop>false</ScaleCrop>
  <LinksUpToDate>false</LinksUpToDate>
  <CharactersWithSpaces>8552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2023-05-17T03:29:00Z</dcterms:created>
  <dc:creator>仙贝</dc:creator>
  <cp:lastModifiedBy>苏柳俊</cp:lastModifiedBy>
  <cp:lastPrinted>2023-05-26T11:10:00Z</cp:lastPrinted>
  <dcterms:modified xsi:type="dcterms:W3CDTF">2025-07-22T11:33:56Z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B39C7E770BCB4A068A1772DEAA9D576E</vt:lpwstr>
  </property>
  <property fmtid="{D5CDD505-2E9C-101B-9397-08002B2CF9AE}" pid="4" name="KSOTemplateDocerSaveRecord">
    <vt:lpwstr>eyJoZGlkIjoiMzk5MWEwNTk0MzFkYjM0ZmQxNzM1MTQyMWJiMWM3NzIiLCJ1c2VySWQiOiI2MzAxOTEyMjYifQ==</vt:lpwstr>
  </property>
</Properties>
</file>