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0B7F07">
      <w:pPr>
        <w:ind w:firstLine="1320" w:firstLineChars="300"/>
        <w:jc w:val="both"/>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b w:val="0"/>
          <w:sz w:val="44"/>
          <w:szCs w:val="44"/>
        </w:rPr>
        <w:t>安全生产监督检查综合事项</w:t>
      </w:r>
      <w:r>
        <w:rPr>
          <w:rFonts w:hint="eastAsia" w:ascii="方正小标宋简体" w:hAnsi="方正小标宋简体" w:eastAsia="方正小标宋简体" w:cs="方正小标宋简体"/>
          <w:b w:val="0"/>
          <w:sz w:val="44"/>
          <w:szCs w:val="44"/>
          <w:lang w:val="en-US" w:eastAsia="zh-CN"/>
        </w:rPr>
        <w:t>执法检查依据及法律责任指引</w:t>
      </w:r>
    </w:p>
    <w:tbl>
      <w:tblPr>
        <w:tblStyle w:val="8"/>
        <w:tblW w:w="161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
      <w:tblGrid>
        <w:gridCol w:w="522"/>
        <w:gridCol w:w="1341"/>
        <w:gridCol w:w="1438"/>
        <w:gridCol w:w="4795"/>
        <w:gridCol w:w="7277"/>
        <w:gridCol w:w="741"/>
      </w:tblGrid>
      <w:tr w14:paraId="13D13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570" w:hRule="atLeast"/>
          <w:tblHeader/>
          <w:jc w:val="center"/>
        </w:trPr>
        <w:tc>
          <w:tcPr>
            <w:tcW w:w="522" w:type="dxa"/>
            <w:vAlign w:val="center"/>
          </w:tcPr>
          <w:p w14:paraId="0F49D339">
            <w:pPr>
              <w:widowControl/>
              <w:adjustRightInd w:val="0"/>
              <w:snapToGrid w:val="0"/>
              <w:jc w:val="center"/>
              <w:rPr>
                <w:rFonts w:ascii="宋体" w:hAnsi="宋体" w:cs="宋体"/>
                <w:b/>
                <w:color w:val="auto"/>
                <w:kern w:val="0"/>
                <w:szCs w:val="21"/>
              </w:rPr>
            </w:pPr>
            <w:r>
              <w:rPr>
                <w:rFonts w:hint="eastAsia" w:ascii="宋体" w:hAnsi="宋体" w:cs="宋体"/>
                <w:b/>
                <w:color w:val="auto"/>
                <w:kern w:val="0"/>
                <w:szCs w:val="21"/>
              </w:rPr>
              <w:t>序号</w:t>
            </w:r>
          </w:p>
        </w:tc>
        <w:tc>
          <w:tcPr>
            <w:tcW w:w="1341" w:type="dxa"/>
            <w:vAlign w:val="center"/>
          </w:tcPr>
          <w:p w14:paraId="56C38247">
            <w:pPr>
              <w:widowControl/>
              <w:adjustRightInd w:val="0"/>
              <w:snapToGrid w:val="0"/>
              <w:jc w:val="center"/>
              <w:rPr>
                <w:rFonts w:ascii="宋体" w:hAnsi="宋体" w:cs="宋体"/>
                <w:b/>
                <w:color w:val="auto"/>
                <w:kern w:val="0"/>
                <w:szCs w:val="21"/>
              </w:rPr>
            </w:pPr>
            <w:r>
              <w:rPr>
                <w:rFonts w:hint="eastAsia" w:ascii="宋体" w:hAnsi="宋体" w:cs="宋体"/>
                <w:b/>
                <w:color w:val="auto"/>
                <w:kern w:val="0"/>
                <w:szCs w:val="21"/>
              </w:rPr>
              <w:t>检查事项</w:t>
            </w:r>
          </w:p>
        </w:tc>
        <w:tc>
          <w:tcPr>
            <w:tcW w:w="1438" w:type="dxa"/>
            <w:vAlign w:val="center"/>
          </w:tcPr>
          <w:p w14:paraId="0AC8DA88">
            <w:pPr>
              <w:widowControl/>
              <w:adjustRightInd w:val="0"/>
              <w:snapToGrid w:val="0"/>
              <w:jc w:val="center"/>
              <w:rPr>
                <w:rFonts w:ascii="宋体" w:hAnsi="宋体" w:cs="宋体"/>
                <w:b/>
                <w:color w:val="auto"/>
                <w:kern w:val="0"/>
                <w:szCs w:val="21"/>
              </w:rPr>
            </w:pPr>
            <w:r>
              <w:rPr>
                <w:rFonts w:hint="eastAsia" w:ascii="宋体" w:hAnsi="宋体" w:cs="宋体"/>
                <w:b/>
                <w:color w:val="auto"/>
                <w:kern w:val="0"/>
                <w:szCs w:val="21"/>
              </w:rPr>
              <w:t>检查内容</w:t>
            </w:r>
          </w:p>
        </w:tc>
        <w:tc>
          <w:tcPr>
            <w:tcW w:w="4795" w:type="dxa"/>
            <w:vAlign w:val="center"/>
          </w:tcPr>
          <w:p w14:paraId="7BD5581E">
            <w:pPr>
              <w:widowControl/>
              <w:adjustRightInd w:val="0"/>
              <w:snapToGrid w:val="0"/>
              <w:jc w:val="center"/>
              <w:rPr>
                <w:rFonts w:ascii="宋体" w:hAnsi="宋体" w:cs="宋体"/>
                <w:b/>
                <w:color w:val="auto"/>
                <w:kern w:val="0"/>
                <w:szCs w:val="21"/>
              </w:rPr>
            </w:pPr>
            <w:r>
              <w:rPr>
                <w:rFonts w:hint="eastAsia" w:ascii="宋体" w:hAnsi="宋体" w:cs="宋体"/>
                <w:b/>
                <w:color w:val="auto"/>
                <w:kern w:val="0"/>
                <w:szCs w:val="21"/>
              </w:rPr>
              <w:t>检查依据指引</w:t>
            </w:r>
          </w:p>
        </w:tc>
        <w:tc>
          <w:tcPr>
            <w:tcW w:w="7277" w:type="dxa"/>
            <w:vAlign w:val="center"/>
          </w:tcPr>
          <w:p w14:paraId="04E4408B">
            <w:pPr>
              <w:widowControl/>
              <w:adjustRightInd w:val="0"/>
              <w:snapToGrid w:val="0"/>
              <w:jc w:val="center"/>
              <w:rPr>
                <w:rFonts w:ascii="宋体" w:hAnsi="宋体" w:cs="宋体"/>
                <w:b/>
                <w:color w:val="auto"/>
                <w:kern w:val="0"/>
                <w:szCs w:val="21"/>
              </w:rPr>
            </w:pPr>
            <w:r>
              <w:rPr>
                <w:rFonts w:hint="eastAsia" w:ascii="宋体" w:hAnsi="宋体" w:cs="宋体"/>
                <w:b/>
                <w:color w:val="auto"/>
                <w:kern w:val="0"/>
                <w:szCs w:val="21"/>
              </w:rPr>
              <w:t>法律责任指引</w:t>
            </w:r>
          </w:p>
        </w:tc>
        <w:tc>
          <w:tcPr>
            <w:tcW w:w="741" w:type="dxa"/>
            <w:vAlign w:val="center"/>
          </w:tcPr>
          <w:p w14:paraId="391F72AA">
            <w:pPr>
              <w:widowControl/>
              <w:adjustRightInd w:val="0"/>
              <w:snapToGrid w:val="0"/>
              <w:jc w:val="center"/>
              <w:rPr>
                <w:rFonts w:ascii="宋体" w:hAnsi="宋体" w:cs="宋体"/>
                <w:b/>
                <w:color w:val="auto"/>
                <w:kern w:val="0"/>
                <w:szCs w:val="21"/>
              </w:rPr>
            </w:pPr>
            <w:r>
              <w:rPr>
                <w:rFonts w:hint="eastAsia" w:ascii="宋体" w:hAnsi="宋体" w:cs="宋体"/>
                <w:b/>
                <w:color w:val="auto"/>
                <w:kern w:val="0"/>
                <w:szCs w:val="21"/>
              </w:rPr>
              <w:t>备注</w:t>
            </w:r>
          </w:p>
        </w:tc>
      </w:tr>
      <w:tr w14:paraId="4B13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4955" w:hRule="atLeast"/>
          <w:jc w:val="center"/>
        </w:trPr>
        <w:tc>
          <w:tcPr>
            <w:tcW w:w="522" w:type="dxa"/>
            <w:vAlign w:val="center"/>
          </w:tcPr>
          <w:p w14:paraId="2B94CC30">
            <w:pPr>
              <w:widowControl/>
              <w:adjustRightInd w:val="0"/>
              <w:snapToGrid w:val="0"/>
              <w:jc w:val="center"/>
              <w:rPr>
                <w:rFonts w:ascii="宋体" w:hAnsi="宋体" w:cs="宋体"/>
                <w:color w:val="auto"/>
                <w:kern w:val="0"/>
                <w:szCs w:val="21"/>
              </w:rPr>
            </w:pPr>
            <w:r>
              <w:rPr>
                <w:rFonts w:hint="eastAsia" w:ascii="宋体" w:hAnsi="宋体" w:cs="宋体"/>
                <w:color w:val="auto"/>
                <w:kern w:val="0"/>
                <w:szCs w:val="21"/>
              </w:rPr>
              <w:t>1</w:t>
            </w:r>
          </w:p>
        </w:tc>
        <w:tc>
          <w:tcPr>
            <w:tcW w:w="1341" w:type="dxa"/>
            <w:vAlign w:val="center"/>
          </w:tcPr>
          <w:p w14:paraId="6DF8396D">
            <w:pPr>
              <w:widowControl/>
              <w:adjustRightInd w:val="0"/>
              <w:snapToGrid w:val="0"/>
              <w:rPr>
                <w:rFonts w:ascii="宋体" w:hAnsi="宋体" w:cs="宋体"/>
                <w:color w:val="auto"/>
                <w:kern w:val="0"/>
                <w:szCs w:val="21"/>
              </w:rPr>
            </w:pPr>
            <w:r>
              <w:rPr>
                <w:rFonts w:hint="eastAsia" w:ascii="宋体" w:hAnsi="宋体" w:cs="宋体"/>
                <w:color w:val="auto"/>
                <w:kern w:val="0"/>
                <w:szCs w:val="21"/>
              </w:rPr>
              <w:t>主要负责人履行职责情况</w:t>
            </w:r>
          </w:p>
        </w:tc>
        <w:tc>
          <w:tcPr>
            <w:tcW w:w="1438" w:type="dxa"/>
            <w:vAlign w:val="center"/>
          </w:tcPr>
          <w:p w14:paraId="1D0B0101">
            <w:pPr>
              <w:widowControl/>
              <w:adjustRightInd w:val="0"/>
              <w:snapToGrid w:val="0"/>
              <w:rPr>
                <w:rFonts w:ascii="宋体" w:hAnsi="宋体" w:cs="宋体"/>
                <w:color w:val="auto"/>
                <w:kern w:val="0"/>
                <w:szCs w:val="21"/>
              </w:rPr>
            </w:pPr>
            <w:r>
              <w:rPr>
                <w:rFonts w:hint="eastAsia" w:ascii="宋体" w:hAnsi="宋体" w:cs="宋体"/>
                <w:color w:val="auto"/>
                <w:kern w:val="0"/>
                <w:szCs w:val="21"/>
              </w:rPr>
              <w:t>生产经营单位的主要负责人履行对本单位安全生产工作法定职责</w:t>
            </w:r>
          </w:p>
        </w:tc>
        <w:tc>
          <w:tcPr>
            <w:tcW w:w="4795" w:type="dxa"/>
            <w:vAlign w:val="center"/>
          </w:tcPr>
          <w:p w14:paraId="56A2EE1A">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》第二十一条　生产经营单位的主要负责人对本单位安全生产工作负有下列职责:</w:t>
            </w:r>
          </w:p>
          <w:p w14:paraId="2AB273A8">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（一）建立健全并落实本单位全员安全生产责任制，加强安全生产标准化建设；</w:t>
            </w:r>
          </w:p>
          <w:p w14:paraId="42FBD704">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（二）组织制定并实施本单位安全生产规章制度和操作规程；</w:t>
            </w:r>
          </w:p>
          <w:p w14:paraId="6FED8CEC">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（三）组织制定并实施本单位安全生产教育和培训计划；</w:t>
            </w:r>
          </w:p>
          <w:p w14:paraId="01A30C90">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（四）保证本单位安全生产投入的有效实施；</w:t>
            </w:r>
          </w:p>
          <w:p w14:paraId="570C534E">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（五）组织建立并落实安全风险分级管控和隐患排查治理双重预防工作机制，督促、检查本单位的安全生产工作，及时消除生产安全事故隐患；</w:t>
            </w:r>
          </w:p>
          <w:p w14:paraId="3E978E11">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（六）组织制定并实施本单位的生产安全事故应急救援预案；</w:t>
            </w:r>
          </w:p>
          <w:p w14:paraId="14F1B946">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（七）及时、如实报告生产安全事故。</w:t>
            </w:r>
          </w:p>
          <w:p w14:paraId="69F2E94D">
            <w:pPr>
              <w:widowControl/>
              <w:adjustRightInd w:val="0"/>
              <w:snapToGrid w:val="0"/>
              <w:rPr>
                <w:rFonts w:ascii="宋体" w:hAnsi="宋体" w:cs="宋体"/>
                <w:color w:val="auto"/>
                <w:kern w:val="0"/>
                <w:szCs w:val="21"/>
              </w:rPr>
            </w:pPr>
          </w:p>
        </w:tc>
        <w:tc>
          <w:tcPr>
            <w:tcW w:w="7277" w:type="dxa"/>
            <w:vAlign w:val="center"/>
          </w:tcPr>
          <w:p w14:paraId="4C5A7908">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》第九十四条　生产经营单位的主要负责人未履行本法规定的安全生产管理职责的，责令限期改正，处二万元以上五万元以下的罚款；逾期未改正的，处五万元以上十万元以下的罚款，责令生产经营单位停产停业整顿。</w:t>
            </w:r>
          </w:p>
          <w:p w14:paraId="0D5B46F8">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生产经营单位的主要负责人有前款违法行为，导致发生生产安全事故的，给予撤职处分；构成犯罪的，依照刑法有关规定追究刑事责任。</w:t>
            </w:r>
          </w:p>
          <w:p w14:paraId="27557C34">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tc>
        <w:tc>
          <w:tcPr>
            <w:tcW w:w="741" w:type="dxa"/>
            <w:vAlign w:val="center"/>
          </w:tcPr>
          <w:p w14:paraId="587D24CC">
            <w:pPr>
              <w:widowControl/>
              <w:adjustRightInd w:val="0"/>
              <w:snapToGrid w:val="0"/>
              <w:rPr>
                <w:rFonts w:ascii="宋体" w:hAnsi="宋体" w:cs="宋体"/>
                <w:color w:val="auto"/>
                <w:kern w:val="0"/>
                <w:szCs w:val="21"/>
              </w:rPr>
            </w:pPr>
          </w:p>
        </w:tc>
      </w:tr>
      <w:tr w14:paraId="43FFF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484" w:hRule="atLeast"/>
          <w:jc w:val="center"/>
        </w:trPr>
        <w:tc>
          <w:tcPr>
            <w:tcW w:w="522" w:type="dxa"/>
            <w:vMerge w:val="restart"/>
            <w:vAlign w:val="center"/>
          </w:tcPr>
          <w:p w14:paraId="0AAEA2B2">
            <w:pPr>
              <w:widowControl/>
              <w:adjustRightInd w:val="0"/>
              <w:snapToGrid w:val="0"/>
              <w:jc w:val="center"/>
              <w:rPr>
                <w:rFonts w:ascii="宋体" w:hAnsi="宋体" w:cs="宋体"/>
                <w:color w:val="auto"/>
                <w:kern w:val="0"/>
                <w:szCs w:val="21"/>
              </w:rPr>
            </w:pPr>
            <w:r>
              <w:rPr>
                <w:rFonts w:hint="eastAsia" w:ascii="宋体" w:hAnsi="宋体" w:cs="宋体"/>
                <w:color w:val="auto"/>
                <w:kern w:val="0"/>
                <w:szCs w:val="21"/>
              </w:rPr>
              <w:t>2</w:t>
            </w:r>
          </w:p>
        </w:tc>
        <w:tc>
          <w:tcPr>
            <w:tcW w:w="1341" w:type="dxa"/>
            <w:vMerge w:val="restart"/>
            <w:vAlign w:val="center"/>
          </w:tcPr>
          <w:p w14:paraId="71AB13BE">
            <w:pPr>
              <w:widowControl/>
              <w:adjustRightInd w:val="0"/>
              <w:snapToGrid w:val="0"/>
              <w:rPr>
                <w:rFonts w:ascii="宋体" w:hAnsi="宋体" w:cs="宋体"/>
                <w:color w:val="auto"/>
                <w:kern w:val="0"/>
                <w:szCs w:val="21"/>
              </w:rPr>
            </w:pPr>
            <w:r>
              <w:rPr>
                <w:rFonts w:hint="eastAsia" w:ascii="宋体" w:hAnsi="宋体" w:cs="宋体"/>
                <w:color w:val="auto"/>
                <w:kern w:val="0"/>
                <w:szCs w:val="21"/>
              </w:rPr>
              <w:t>安全投入保障情况</w:t>
            </w:r>
          </w:p>
        </w:tc>
        <w:tc>
          <w:tcPr>
            <w:tcW w:w="1438" w:type="dxa"/>
            <w:vAlign w:val="center"/>
          </w:tcPr>
          <w:p w14:paraId="1763DC84">
            <w:pPr>
              <w:widowControl/>
              <w:adjustRightInd w:val="0"/>
              <w:snapToGrid w:val="0"/>
              <w:rPr>
                <w:rFonts w:ascii="宋体" w:hAnsi="宋体" w:cs="宋体"/>
                <w:color w:val="auto"/>
                <w:kern w:val="0"/>
                <w:szCs w:val="21"/>
              </w:rPr>
            </w:pPr>
            <w:r>
              <w:rPr>
                <w:rFonts w:hint="eastAsia" w:ascii="宋体" w:hAnsi="宋体" w:cs="宋体"/>
                <w:color w:val="auto"/>
                <w:kern w:val="0"/>
                <w:szCs w:val="21"/>
              </w:rPr>
              <w:t>2.1 资金投入保障</w:t>
            </w:r>
          </w:p>
        </w:tc>
        <w:tc>
          <w:tcPr>
            <w:tcW w:w="4795" w:type="dxa"/>
            <w:vAlign w:val="center"/>
          </w:tcPr>
          <w:p w14:paraId="5584485B">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》第二十三条　生产经营单位应当具备的安全生产条件所必需的资金投入，由生产经营单位的决策机构、主要负责人或者个人经营的投资人予以保证，并对由于安全生产所必需的资金投入不足导致的后果承担责任。</w:t>
            </w:r>
          </w:p>
          <w:p w14:paraId="30AC9BB7">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p>
        </w:tc>
        <w:tc>
          <w:tcPr>
            <w:tcW w:w="7277" w:type="dxa"/>
            <w:vAlign w:val="center"/>
          </w:tcPr>
          <w:p w14:paraId="6EAED9B9">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》第九十三条　生产经营单位的决策机构、主要负责人或者个人经营的投资人不依照本法规定保证安全生产所必需的资金投入，致使生产经营单位不具备安全生产条件的，责令限期改正，提供必需的资金；逾期未改正的，责令生产经营单位停产停业整顿。</w:t>
            </w:r>
          </w:p>
          <w:p w14:paraId="1FB2BAE2">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有前款违法行为，导致发生生产安全事故的，对生产经营单位的主要负责人给予撤职处分，对个人经营的投资人处二万元以上二十万元以下的罚款；构成犯罪的，依照刑法有关规定追究刑事责任。</w:t>
            </w:r>
          </w:p>
          <w:p w14:paraId="683C394B">
            <w:pPr>
              <w:widowControl/>
              <w:adjustRightInd w:val="0"/>
              <w:snapToGrid w:val="0"/>
              <w:ind w:firstLine="420" w:firstLineChars="200"/>
              <w:rPr>
                <w:rFonts w:ascii="宋体" w:hAnsi="宋体" w:cs="宋体"/>
                <w:color w:val="auto"/>
                <w:kern w:val="0"/>
                <w:szCs w:val="21"/>
              </w:rPr>
            </w:pPr>
          </w:p>
        </w:tc>
        <w:tc>
          <w:tcPr>
            <w:tcW w:w="741" w:type="dxa"/>
            <w:vMerge w:val="restart"/>
            <w:vAlign w:val="center"/>
          </w:tcPr>
          <w:p w14:paraId="790A422B">
            <w:pPr>
              <w:widowControl/>
              <w:adjustRightInd w:val="0"/>
              <w:snapToGrid w:val="0"/>
              <w:rPr>
                <w:rFonts w:ascii="宋体" w:hAnsi="宋体" w:cs="宋体"/>
                <w:color w:val="auto"/>
                <w:kern w:val="0"/>
                <w:szCs w:val="21"/>
              </w:rPr>
            </w:pPr>
          </w:p>
        </w:tc>
      </w:tr>
      <w:tr w14:paraId="6C8A5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1904" w:hRule="atLeast"/>
          <w:jc w:val="center"/>
        </w:trPr>
        <w:tc>
          <w:tcPr>
            <w:tcW w:w="522" w:type="dxa"/>
            <w:vMerge w:val="continue"/>
            <w:vAlign w:val="center"/>
          </w:tcPr>
          <w:p w14:paraId="471161BB">
            <w:pPr>
              <w:widowControl/>
              <w:adjustRightInd w:val="0"/>
              <w:snapToGrid w:val="0"/>
              <w:jc w:val="center"/>
              <w:rPr>
                <w:rFonts w:ascii="宋体" w:hAnsi="宋体" w:cs="宋体"/>
                <w:color w:val="auto"/>
                <w:kern w:val="0"/>
                <w:szCs w:val="21"/>
              </w:rPr>
            </w:pPr>
          </w:p>
        </w:tc>
        <w:tc>
          <w:tcPr>
            <w:tcW w:w="1341" w:type="dxa"/>
            <w:vMerge w:val="continue"/>
            <w:vAlign w:val="center"/>
          </w:tcPr>
          <w:p w14:paraId="36429033">
            <w:pPr>
              <w:widowControl/>
              <w:adjustRightInd w:val="0"/>
              <w:snapToGrid w:val="0"/>
              <w:rPr>
                <w:rFonts w:ascii="宋体" w:hAnsi="宋体" w:cs="宋体"/>
                <w:color w:val="auto"/>
                <w:kern w:val="0"/>
                <w:szCs w:val="21"/>
              </w:rPr>
            </w:pPr>
          </w:p>
        </w:tc>
        <w:tc>
          <w:tcPr>
            <w:tcW w:w="1438" w:type="dxa"/>
            <w:vAlign w:val="center"/>
          </w:tcPr>
          <w:p w14:paraId="637941B6">
            <w:pPr>
              <w:widowControl/>
              <w:adjustRightInd w:val="0"/>
              <w:snapToGrid w:val="0"/>
              <w:rPr>
                <w:rFonts w:ascii="宋体" w:hAnsi="宋体" w:cs="宋体"/>
                <w:color w:val="auto"/>
                <w:kern w:val="0"/>
                <w:szCs w:val="21"/>
              </w:rPr>
            </w:pPr>
            <w:r>
              <w:rPr>
                <w:rFonts w:hint="eastAsia" w:ascii="宋体" w:hAnsi="宋体" w:cs="宋体"/>
                <w:color w:val="auto"/>
                <w:kern w:val="0"/>
                <w:szCs w:val="21"/>
              </w:rPr>
              <w:t>2.2 安全费用提取和使用</w:t>
            </w:r>
          </w:p>
        </w:tc>
        <w:tc>
          <w:tcPr>
            <w:tcW w:w="4795" w:type="dxa"/>
            <w:vAlign w:val="center"/>
          </w:tcPr>
          <w:p w14:paraId="5452D0FE">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》第二十</w:t>
            </w:r>
            <w:r>
              <w:rPr>
                <w:rFonts w:hint="eastAsia" w:ascii="宋体" w:hAnsi="宋体" w:cs="宋体"/>
                <w:color w:val="auto"/>
                <w:kern w:val="0"/>
                <w:szCs w:val="21"/>
                <w:lang w:eastAsia="zh-CN"/>
              </w:rPr>
              <w:t>三</w:t>
            </w:r>
            <w:r>
              <w:rPr>
                <w:rFonts w:hint="eastAsia" w:ascii="宋体" w:hAnsi="宋体" w:cs="宋体"/>
                <w:color w:val="auto"/>
                <w:kern w:val="0"/>
                <w:szCs w:val="21"/>
              </w:rPr>
              <w:t>条 ……</w:t>
            </w:r>
          </w:p>
          <w:p w14:paraId="76E6A7CF">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有关生产经营单位应当按照规定提取和使用安全生产费用，专门用于改善安全生产条件。安全生产费用在成本中据实列支。安全生产费用提取、使用和监督管理的具体办法由国务院财政部门会同国务院应急管理部门征求国务院有关部门意见后制定。</w:t>
            </w:r>
          </w:p>
          <w:p w14:paraId="1E49558A">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《企业安全生产费用提取和使用管理办法》（财资〔2022〕136号</w:t>
            </w:r>
          </w:p>
          <w:p w14:paraId="0440B525">
            <w:pPr>
              <w:widowControl/>
              <w:adjustRightInd w:val="0"/>
              <w:snapToGrid w:val="0"/>
              <w:ind w:firstLine="420" w:firstLineChars="200"/>
              <w:rPr>
                <w:rFonts w:ascii="宋体" w:hAnsi="宋体" w:cs="宋体"/>
                <w:color w:val="auto"/>
                <w:kern w:val="0"/>
                <w:szCs w:val="21"/>
              </w:rPr>
            </w:pPr>
          </w:p>
        </w:tc>
        <w:tc>
          <w:tcPr>
            <w:tcW w:w="7277" w:type="dxa"/>
            <w:vAlign w:val="center"/>
          </w:tcPr>
          <w:p w14:paraId="459D31F1">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《安全生产违法行为行政处罚办法》第四十三条  生产经营单位的决策机构、主要负责人、个人经营的投资人（包括实际控制人，下同）未依法保证下列安全生产所必需的资金投入之一，致使生产经营单位不具备安全生产条件的，责令限期改正，提供必需的资金，可以对生产经营单位处1万元以上3万元以下罚款，对生产经营单位的主要负责人、个人经营的投资人处5000元以上1万元以下罚款；逾期未改正的，责令生产经营单位停产停业整顿：</w:t>
            </w:r>
          </w:p>
          <w:p w14:paraId="21C462D8">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（一）提取或者使用安全生产费用；</w:t>
            </w:r>
          </w:p>
          <w:p w14:paraId="4974CB58">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w:t>
            </w:r>
          </w:p>
          <w:p w14:paraId="5500ED62">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生产经营单位主要负责人、个人经营的投资人有前款违法行为，导致发生生产安全事故的，依照《生产安全事故罚款处罚规定（试行）》的规定给予处罚。</w:t>
            </w:r>
          </w:p>
        </w:tc>
        <w:tc>
          <w:tcPr>
            <w:tcW w:w="741" w:type="dxa"/>
            <w:vMerge w:val="continue"/>
            <w:vAlign w:val="center"/>
          </w:tcPr>
          <w:p w14:paraId="5AD42796">
            <w:pPr>
              <w:widowControl/>
              <w:adjustRightInd w:val="0"/>
              <w:snapToGrid w:val="0"/>
              <w:rPr>
                <w:rFonts w:ascii="宋体" w:hAnsi="宋体" w:cs="宋体"/>
                <w:color w:val="auto"/>
                <w:kern w:val="0"/>
                <w:szCs w:val="21"/>
              </w:rPr>
            </w:pPr>
          </w:p>
        </w:tc>
      </w:tr>
      <w:tr w14:paraId="1567D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90" w:hRule="atLeast"/>
          <w:jc w:val="center"/>
        </w:trPr>
        <w:tc>
          <w:tcPr>
            <w:tcW w:w="522" w:type="dxa"/>
            <w:vMerge w:val="continue"/>
            <w:vAlign w:val="center"/>
          </w:tcPr>
          <w:p w14:paraId="4BDF5448">
            <w:pPr>
              <w:widowControl/>
              <w:adjustRightInd w:val="0"/>
              <w:snapToGrid w:val="0"/>
              <w:jc w:val="center"/>
              <w:rPr>
                <w:rFonts w:ascii="宋体" w:hAnsi="宋体" w:cs="宋体"/>
                <w:color w:val="auto"/>
                <w:kern w:val="0"/>
                <w:szCs w:val="21"/>
              </w:rPr>
            </w:pPr>
          </w:p>
        </w:tc>
        <w:tc>
          <w:tcPr>
            <w:tcW w:w="1341" w:type="dxa"/>
            <w:vMerge w:val="continue"/>
            <w:vAlign w:val="center"/>
          </w:tcPr>
          <w:p w14:paraId="52E40E77">
            <w:pPr>
              <w:widowControl/>
              <w:adjustRightInd w:val="0"/>
              <w:snapToGrid w:val="0"/>
              <w:rPr>
                <w:rFonts w:ascii="宋体" w:hAnsi="宋体" w:cs="宋体"/>
                <w:color w:val="auto"/>
                <w:kern w:val="0"/>
                <w:szCs w:val="21"/>
              </w:rPr>
            </w:pPr>
          </w:p>
        </w:tc>
        <w:tc>
          <w:tcPr>
            <w:tcW w:w="1438" w:type="dxa"/>
            <w:vAlign w:val="center"/>
          </w:tcPr>
          <w:p w14:paraId="7FA69907">
            <w:pPr>
              <w:widowControl/>
              <w:adjustRightInd w:val="0"/>
              <w:snapToGrid w:val="0"/>
              <w:rPr>
                <w:rFonts w:ascii="宋体" w:hAnsi="宋体" w:cs="宋体"/>
                <w:color w:val="auto"/>
                <w:kern w:val="0"/>
                <w:szCs w:val="21"/>
              </w:rPr>
            </w:pPr>
            <w:r>
              <w:rPr>
                <w:rFonts w:hint="eastAsia" w:ascii="宋体" w:hAnsi="宋体" w:cs="宋体"/>
                <w:color w:val="auto"/>
                <w:kern w:val="0"/>
                <w:szCs w:val="21"/>
              </w:rPr>
              <w:t>2.3 劳动防护用品配备经费</w:t>
            </w:r>
          </w:p>
        </w:tc>
        <w:tc>
          <w:tcPr>
            <w:tcW w:w="4795" w:type="dxa"/>
            <w:vAlign w:val="center"/>
          </w:tcPr>
          <w:p w14:paraId="4B830CF9">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》第四十七条　生产经营单位应当安排用于配备劳动防护用品、进行安全生产培训的经费。</w:t>
            </w:r>
          </w:p>
          <w:p w14:paraId="53D20BB9">
            <w:pPr>
              <w:widowControl/>
              <w:adjustRightInd w:val="0"/>
              <w:snapToGrid w:val="0"/>
              <w:ind w:firstLine="420" w:firstLineChars="200"/>
              <w:rPr>
                <w:rFonts w:ascii="宋体" w:hAnsi="宋体" w:cs="宋体"/>
                <w:color w:val="auto"/>
                <w:kern w:val="0"/>
                <w:szCs w:val="21"/>
              </w:rPr>
            </w:pPr>
          </w:p>
        </w:tc>
        <w:tc>
          <w:tcPr>
            <w:tcW w:w="7277" w:type="dxa"/>
            <w:vAlign w:val="center"/>
          </w:tcPr>
          <w:p w14:paraId="6C9F91E8">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《安全生产违法行为行政处罚办法》第四十三条  生产经营单位的决策机构、主要负责人、个人经营的投资人（包括实际控制人，下同）未依法保证下列安全生产所必需的资金投入之一，致使生产经营单位不具备安全生产条件的，责令限期改正，提供必需的资金，可以对生产经营单位处1万元以上3万元以下罚款，对生产经营单位的主要负责人、个人经营的投资人处5000元以上1万元以下罚款；逾期未改正的，责令生产经营单位停产停业整顿：</w:t>
            </w:r>
          </w:p>
          <w:p w14:paraId="269FC9EB">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w:t>
            </w:r>
          </w:p>
          <w:p w14:paraId="465BB810">
            <w:pPr>
              <w:widowControl/>
              <w:adjustRightInd w:val="0"/>
              <w:snapToGrid w:val="0"/>
              <w:ind w:firstLine="422" w:firstLineChars="200"/>
              <w:rPr>
                <w:rFonts w:hint="eastAsia" w:ascii="宋体" w:hAnsi="宋体" w:cs="宋体"/>
                <w:color w:val="auto"/>
                <w:kern w:val="0"/>
                <w:szCs w:val="21"/>
              </w:rPr>
            </w:pPr>
            <w:r>
              <w:rPr>
                <w:rFonts w:hint="eastAsia" w:ascii="宋体" w:hAnsi="宋体" w:cs="宋体"/>
                <w:b/>
                <w:bCs/>
                <w:color w:val="auto"/>
                <w:kern w:val="0"/>
                <w:szCs w:val="21"/>
              </w:rPr>
              <w:t>（二）用于配备劳动防护用品的经费；</w:t>
            </w:r>
          </w:p>
          <w:p w14:paraId="1C09D618">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w:t>
            </w:r>
          </w:p>
          <w:p w14:paraId="4CF0D4CB">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生产经营单位主要负责人、个人经营的投资人有前款违法行为，导致发生生产安全事故的，依照《生产安全事故罚款处罚规定（试行）》的规定给予处罚。</w:t>
            </w:r>
          </w:p>
        </w:tc>
        <w:tc>
          <w:tcPr>
            <w:tcW w:w="741" w:type="dxa"/>
            <w:vMerge w:val="continue"/>
            <w:vAlign w:val="center"/>
          </w:tcPr>
          <w:p w14:paraId="6606D965">
            <w:pPr>
              <w:widowControl/>
              <w:adjustRightInd w:val="0"/>
              <w:snapToGrid w:val="0"/>
              <w:rPr>
                <w:rFonts w:ascii="宋体" w:hAnsi="宋体" w:cs="宋体"/>
                <w:color w:val="auto"/>
                <w:kern w:val="0"/>
                <w:szCs w:val="21"/>
              </w:rPr>
            </w:pPr>
          </w:p>
        </w:tc>
      </w:tr>
      <w:tr w14:paraId="2AAB0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1274" w:hRule="atLeast"/>
          <w:jc w:val="center"/>
        </w:trPr>
        <w:tc>
          <w:tcPr>
            <w:tcW w:w="522" w:type="dxa"/>
            <w:vMerge w:val="continue"/>
            <w:vAlign w:val="center"/>
          </w:tcPr>
          <w:p w14:paraId="1B882947">
            <w:pPr>
              <w:widowControl/>
              <w:adjustRightInd w:val="0"/>
              <w:snapToGrid w:val="0"/>
              <w:jc w:val="center"/>
              <w:rPr>
                <w:rFonts w:ascii="宋体" w:hAnsi="宋体" w:cs="宋体"/>
                <w:color w:val="auto"/>
                <w:kern w:val="0"/>
                <w:szCs w:val="21"/>
              </w:rPr>
            </w:pPr>
          </w:p>
        </w:tc>
        <w:tc>
          <w:tcPr>
            <w:tcW w:w="1341" w:type="dxa"/>
            <w:vMerge w:val="continue"/>
            <w:vAlign w:val="center"/>
          </w:tcPr>
          <w:p w14:paraId="7E9EC62B">
            <w:pPr>
              <w:widowControl/>
              <w:adjustRightInd w:val="0"/>
              <w:snapToGrid w:val="0"/>
              <w:rPr>
                <w:rFonts w:ascii="宋体" w:hAnsi="宋体" w:cs="宋体"/>
                <w:color w:val="auto"/>
                <w:kern w:val="0"/>
                <w:szCs w:val="21"/>
              </w:rPr>
            </w:pPr>
          </w:p>
        </w:tc>
        <w:tc>
          <w:tcPr>
            <w:tcW w:w="1438" w:type="dxa"/>
            <w:vAlign w:val="center"/>
          </w:tcPr>
          <w:p w14:paraId="71E081A0">
            <w:pPr>
              <w:widowControl/>
              <w:adjustRightInd w:val="0"/>
              <w:snapToGrid w:val="0"/>
              <w:rPr>
                <w:rFonts w:ascii="宋体" w:hAnsi="宋体" w:cs="宋体"/>
                <w:color w:val="auto"/>
                <w:kern w:val="0"/>
                <w:szCs w:val="21"/>
              </w:rPr>
            </w:pPr>
            <w:r>
              <w:rPr>
                <w:rFonts w:hint="eastAsia" w:ascii="宋体" w:hAnsi="宋体" w:cs="宋体"/>
                <w:color w:val="auto"/>
                <w:kern w:val="0"/>
                <w:szCs w:val="21"/>
              </w:rPr>
              <w:t>2.4 安全生产教育和培训经费</w:t>
            </w:r>
          </w:p>
        </w:tc>
        <w:tc>
          <w:tcPr>
            <w:tcW w:w="4795" w:type="dxa"/>
            <w:vAlign w:val="center"/>
          </w:tcPr>
          <w:p w14:paraId="041B7675">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》第四十</w:t>
            </w:r>
            <w:r>
              <w:rPr>
                <w:rFonts w:hint="eastAsia" w:ascii="宋体" w:hAnsi="宋体" w:cs="宋体"/>
                <w:color w:val="auto"/>
                <w:kern w:val="0"/>
                <w:szCs w:val="21"/>
                <w:lang w:eastAsia="zh-CN"/>
              </w:rPr>
              <w:t>七</w:t>
            </w:r>
            <w:r>
              <w:rPr>
                <w:rFonts w:hint="eastAsia" w:ascii="宋体" w:hAnsi="宋体" w:cs="宋体"/>
                <w:color w:val="auto"/>
                <w:kern w:val="0"/>
                <w:szCs w:val="21"/>
              </w:rPr>
              <w:t>条  生产经营单位应当安排用于配备劳动防护用品、进行安全生产培训的经费。</w:t>
            </w:r>
          </w:p>
        </w:tc>
        <w:tc>
          <w:tcPr>
            <w:tcW w:w="7277" w:type="dxa"/>
            <w:vAlign w:val="center"/>
          </w:tcPr>
          <w:p w14:paraId="6E58A826">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《安全生产违法行为行政处罚办法》第四十三条  生产经营单位的决策机构、主要负责人、个人经营的投资人（包括实际控制人，下同）未依法保证下列安全生产所必需的资金投入之一，致使生产经营单位不具备安全生产条件的，责令限期改正，提供必需的资金，可以对生产经营单位处1万元以上3万元以下罚款，对生产经营单位的主要负责人、个人经营的投资人处5000元以上1万元以下罚款；逾期未改正的，责令生产经营单位停产停业整顿：</w:t>
            </w:r>
          </w:p>
          <w:p w14:paraId="2E72ABFE">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w:t>
            </w:r>
          </w:p>
          <w:p w14:paraId="3FB6819C">
            <w:pPr>
              <w:widowControl/>
              <w:adjustRightInd w:val="0"/>
              <w:snapToGrid w:val="0"/>
              <w:ind w:firstLine="422" w:firstLineChars="200"/>
              <w:rPr>
                <w:rFonts w:hint="eastAsia" w:ascii="宋体" w:hAnsi="宋体" w:cs="宋体"/>
                <w:color w:val="auto"/>
                <w:kern w:val="0"/>
                <w:szCs w:val="21"/>
              </w:rPr>
            </w:pPr>
            <w:r>
              <w:rPr>
                <w:rFonts w:hint="eastAsia" w:ascii="宋体" w:hAnsi="宋体" w:cs="宋体"/>
                <w:b/>
                <w:bCs/>
                <w:color w:val="auto"/>
                <w:kern w:val="0"/>
                <w:szCs w:val="21"/>
              </w:rPr>
              <w:t>（三）用于安全生产教育和培训的经费</w:t>
            </w:r>
            <w:r>
              <w:rPr>
                <w:rFonts w:hint="eastAsia" w:ascii="宋体" w:hAnsi="宋体" w:cs="宋体"/>
                <w:b/>
                <w:bCs/>
                <w:color w:val="auto"/>
                <w:kern w:val="0"/>
                <w:szCs w:val="21"/>
                <w:lang w:eastAsia="zh-CN"/>
              </w:rPr>
              <w:t>；</w:t>
            </w:r>
          </w:p>
          <w:p w14:paraId="25623BCB">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w:t>
            </w:r>
          </w:p>
          <w:p w14:paraId="779ED6B9">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生产经营单位主要负责人、个人经营的投资人有前款违法行为，导致发生生产安全事故的，依照《生产安全事故罚款处罚规定（试行）》的规定给予处罚。</w:t>
            </w:r>
          </w:p>
        </w:tc>
        <w:tc>
          <w:tcPr>
            <w:tcW w:w="741" w:type="dxa"/>
            <w:vMerge w:val="continue"/>
            <w:vAlign w:val="center"/>
          </w:tcPr>
          <w:p w14:paraId="11AE33E9">
            <w:pPr>
              <w:widowControl/>
              <w:adjustRightInd w:val="0"/>
              <w:snapToGrid w:val="0"/>
              <w:rPr>
                <w:rFonts w:ascii="宋体" w:hAnsi="宋体" w:cs="宋体"/>
                <w:color w:val="auto"/>
                <w:kern w:val="0"/>
                <w:szCs w:val="21"/>
              </w:rPr>
            </w:pPr>
          </w:p>
        </w:tc>
      </w:tr>
      <w:tr w14:paraId="30635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570" w:hRule="atLeast"/>
          <w:jc w:val="center"/>
        </w:trPr>
        <w:tc>
          <w:tcPr>
            <w:tcW w:w="522" w:type="dxa"/>
            <w:vMerge w:val="restart"/>
            <w:vAlign w:val="center"/>
          </w:tcPr>
          <w:p w14:paraId="4FAF9923">
            <w:pPr>
              <w:jc w:val="center"/>
              <w:rPr>
                <w:rFonts w:ascii="宋体" w:hAnsi="宋体" w:cs="宋体"/>
                <w:color w:val="auto"/>
                <w:kern w:val="0"/>
                <w:szCs w:val="21"/>
              </w:rPr>
            </w:pPr>
            <w:r>
              <w:rPr>
                <w:rFonts w:hint="eastAsia" w:ascii="宋体" w:hAnsi="宋体" w:cs="宋体"/>
                <w:color w:val="auto"/>
                <w:kern w:val="0"/>
                <w:szCs w:val="21"/>
              </w:rPr>
              <w:t>3</w:t>
            </w:r>
          </w:p>
        </w:tc>
        <w:tc>
          <w:tcPr>
            <w:tcW w:w="1341" w:type="dxa"/>
            <w:vMerge w:val="restart"/>
            <w:vAlign w:val="center"/>
          </w:tcPr>
          <w:p w14:paraId="0E6DE1DF">
            <w:pPr>
              <w:widowControl/>
              <w:adjustRightInd w:val="0"/>
              <w:snapToGrid w:val="0"/>
              <w:rPr>
                <w:rFonts w:ascii="宋体" w:hAnsi="宋体" w:cs="宋体"/>
                <w:color w:val="auto"/>
                <w:kern w:val="0"/>
                <w:szCs w:val="21"/>
              </w:rPr>
            </w:pPr>
            <w:r>
              <w:rPr>
                <w:rFonts w:hint="eastAsia" w:ascii="宋体" w:hAnsi="宋体" w:cs="宋体"/>
                <w:color w:val="auto"/>
                <w:kern w:val="0"/>
                <w:szCs w:val="21"/>
              </w:rPr>
              <w:t>安全生产管理机构人员设置配备及规章制度制定与执行情况</w:t>
            </w:r>
          </w:p>
        </w:tc>
        <w:tc>
          <w:tcPr>
            <w:tcW w:w="1438" w:type="dxa"/>
            <w:vAlign w:val="center"/>
          </w:tcPr>
          <w:p w14:paraId="7EA1C8BE">
            <w:pPr>
              <w:widowControl/>
              <w:adjustRightInd w:val="0"/>
              <w:snapToGrid w:val="0"/>
              <w:rPr>
                <w:rFonts w:ascii="宋体" w:hAnsi="宋体" w:cs="宋体"/>
                <w:color w:val="auto"/>
                <w:kern w:val="0"/>
                <w:szCs w:val="21"/>
              </w:rPr>
            </w:pPr>
            <w:r>
              <w:rPr>
                <w:rFonts w:hint="eastAsia" w:ascii="宋体" w:hAnsi="宋体" w:cs="宋体"/>
                <w:color w:val="auto"/>
                <w:kern w:val="0"/>
                <w:szCs w:val="21"/>
              </w:rPr>
              <w:t>3.1 高危行业生产经营单位设置机构、配备专职人员；其他生产经营单位设置机构、配备专兼职人员</w:t>
            </w:r>
          </w:p>
        </w:tc>
        <w:tc>
          <w:tcPr>
            <w:tcW w:w="4795" w:type="dxa"/>
            <w:vAlign w:val="center"/>
          </w:tcPr>
          <w:p w14:paraId="13D4EEA0">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w:t>
            </w:r>
            <w:r>
              <w:rPr>
                <w:rFonts w:hint="eastAsia" w:ascii="宋体" w:hAnsi="宋体" w:cs="宋体"/>
                <w:color w:val="auto"/>
                <w:kern w:val="0"/>
                <w:szCs w:val="21"/>
                <w:lang w:val="en-US" w:eastAsia="zh-CN"/>
              </w:rPr>
              <w:t>第二十四条　矿山、金属冶炼、建筑施工、运输单位和危险物品的生产、经营、储存、装卸单位，应当设置安全生产管理机构或者配备专职安全生产管理人员。</w:t>
            </w:r>
          </w:p>
          <w:p w14:paraId="0CD36727">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前款规定以外的其他生产经营单位，从业人员超过一百人的，应当设置安全生产管理机构或者配备专职安全生产管理人员；从业人员在一百人以下的，应当配备专职或者兼职的安全生产管理人员。</w:t>
            </w:r>
          </w:p>
          <w:p w14:paraId="736E1350">
            <w:pPr>
              <w:widowControl/>
              <w:adjustRightInd w:val="0"/>
              <w:snapToGrid w:val="0"/>
              <w:ind w:firstLine="420" w:firstLineChars="200"/>
              <w:rPr>
                <w:rFonts w:ascii="宋体" w:hAnsi="宋体" w:cs="宋体"/>
                <w:color w:val="auto"/>
                <w:kern w:val="0"/>
                <w:szCs w:val="21"/>
              </w:rPr>
            </w:pPr>
          </w:p>
        </w:tc>
        <w:tc>
          <w:tcPr>
            <w:tcW w:w="7277" w:type="dxa"/>
            <w:vAlign w:val="center"/>
          </w:tcPr>
          <w:p w14:paraId="4F8DB7E6">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w:t>
            </w:r>
            <w:r>
              <w:rPr>
                <w:rFonts w:hint="eastAsia" w:ascii="宋体" w:hAnsi="宋体" w:cs="宋体"/>
                <w:color w:val="auto"/>
                <w:kern w:val="0"/>
                <w:szCs w:val="21"/>
                <w:lang w:val="en-US" w:eastAsia="zh-CN"/>
              </w:rPr>
              <w:t>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p>
          <w:p w14:paraId="2371607C">
            <w:pPr>
              <w:widowControl/>
              <w:numPr>
                <w:ilvl w:val="0"/>
                <w:numId w:val="1"/>
              </w:numPr>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未按照规定设置安全生产管理机构或者配备安全生产管理人员、注册安全工程师的；</w:t>
            </w:r>
          </w:p>
          <w:p w14:paraId="63130C46">
            <w:pPr>
              <w:widowControl/>
              <w:numPr>
                <w:ilvl w:val="0"/>
                <w:numId w:val="0"/>
              </w:numPr>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p>
        </w:tc>
        <w:tc>
          <w:tcPr>
            <w:tcW w:w="741" w:type="dxa"/>
            <w:vAlign w:val="center"/>
          </w:tcPr>
          <w:p w14:paraId="3763AFFC">
            <w:pPr>
              <w:widowControl/>
              <w:adjustRightInd w:val="0"/>
              <w:snapToGrid w:val="0"/>
              <w:rPr>
                <w:rFonts w:ascii="宋体" w:hAnsi="宋体" w:cs="宋体"/>
                <w:color w:val="auto"/>
                <w:kern w:val="0"/>
                <w:szCs w:val="21"/>
              </w:rPr>
            </w:pPr>
          </w:p>
        </w:tc>
      </w:tr>
      <w:tr w14:paraId="6BCEF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926" w:hRule="atLeast"/>
          <w:jc w:val="center"/>
        </w:trPr>
        <w:tc>
          <w:tcPr>
            <w:tcW w:w="522" w:type="dxa"/>
            <w:vMerge w:val="continue"/>
            <w:vAlign w:val="center"/>
          </w:tcPr>
          <w:p w14:paraId="60C6BE5A">
            <w:pPr>
              <w:jc w:val="center"/>
              <w:rPr>
                <w:rFonts w:ascii="宋体" w:hAnsi="宋体" w:cs="宋体"/>
                <w:color w:val="auto"/>
                <w:kern w:val="0"/>
                <w:szCs w:val="21"/>
              </w:rPr>
            </w:pPr>
          </w:p>
        </w:tc>
        <w:tc>
          <w:tcPr>
            <w:tcW w:w="1341" w:type="dxa"/>
            <w:vMerge w:val="continue"/>
            <w:vAlign w:val="center"/>
          </w:tcPr>
          <w:p w14:paraId="4337A037">
            <w:pPr>
              <w:widowControl/>
              <w:adjustRightInd w:val="0"/>
              <w:snapToGrid w:val="0"/>
              <w:rPr>
                <w:rFonts w:ascii="宋体" w:hAnsi="宋体" w:cs="宋体"/>
                <w:color w:val="auto"/>
                <w:kern w:val="0"/>
                <w:szCs w:val="21"/>
              </w:rPr>
            </w:pPr>
          </w:p>
        </w:tc>
        <w:tc>
          <w:tcPr>
            <w:tcW w:w="1438" w:type="dxa"/>
            <w:vAlign w:val="center"/>
          </w:tcPr>
          <w:p w14:paraId="65F11210">
            <w:pPr>
              <w:widowControl/>
              <w:adjustRightInd w:val="0"/>
              <w:snapToGrid w:val="0"/>
              <w:rPr>
                <w:rFonts w:ascii="宋体" w:hAnsi="宋体" w:cs="宋体"/>
                <w:color w:val="auto"/>
                <w:kern w:val="0"/>
                <w:szCs w:val="21"/>
              </w:rPr>
            </w:pPr>
            <w:r>
              <w:rPr>
                <w:rFonts w:hint="eastAsia" w:ascii="宋体" w:hAnsi="宋体" w:cs="宋体"/>
                <w:color w:val="auto"/>
                <w:kern w:val="0"/>
                <w:szCs w:val="21"/>
              </w:rPr>
              <w:t>3.2 危险物品生产经营单位建立专门的安全管理制度，采取可靠的安全措施</w:t>
            </w:r>
          </w:p>
        </w:tc>
        <w:tc>
          <w:tcPr>
            <w:tcW w:w="4795" w:type="dxa"/>
            <w:vAlign w:val="center"/>
          </w:tcPr>
          <w:p w14:paraId="6F58E27B">
            <w:pPr>
              <w:widowControl/>
              <w:adjustRightInd w:val="0"/>
              <w:snapToGrid w:val="0"/>
              <w:ind w:firstLine="420" w:firstLineChars="200"/>
              <w:rPr>
                <w:rFonts w:hint="eastAsia" w:ascii="宋体" w:hAnsi="宋体" w:cs="宋体"/>
                <w:color w:val="auto"/>
                <w:kern w:val="0"/>
                <w:szCs w:val="21"/>
                <w:lang w:eastAsia="zh-CN"/>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》第三十</w:t>
            </w:r>
            <w:r>
              <w:rPr>
                <w:rFonts w:hint="eastAsia" w:ascii="宋体" w:hAnsi="宋体" w:cs="宋体"/>
                <w:color w:val="auto"/>
                <w:kern w:val="0"/>
                <w:szCs w:val="21"/>
                <w:lang w:eastAsia="zh-CN"/>
              </w:rPr>
              <w:t>九</w:t>
            </w:r>
            <w:r>
              <w:rPr>
                <w:rFonts w:hint="eastAsia" w:ascii="宋体" w:hAnsi="宋体" w:cs="宋体"/>
                <w:color w:val="auto"/>
                <w:kern w:val="0"/>
                <w:szCs w:val="21"/>
              </w:rPr>
              <w:t xml:space="preserve">条  </w:t>
            </w:r>
            <w:r>
              <w:rPr>
                <w:rFonts w:hint="eastAsia" w:ascii="宋体" w:hAnsi="宋体" w:cs="宋体"/>
                <w:color w:val="auto"/>
                <w:kern w:val="0"/>
                <w:szCs w:val="21"/>
                <w:lang w:eastAsia="zh-CN"/>
              </w:rPr>
              <w:t>……</w:t>
            </w:r>
          </w:p>
          <w:p w14:paraId="5109DF97">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生产经营单位生产、经营、运输、储存、使用危险物品或者处置废弃危险物品，必须执行有关法律、法规和国家标准或者行业标准，建立专门的安全管理制度，采取可靠的安全措施，接受有关主管部门依法实施的监督管理。</w:t>
            </w:r>
          </w:p>
          <w:p w14:paraId="0E74FCDA">
            <w:pPr>
              <w:widowControl/>
              <w:adjustRightInd w:val="0"/>
              <w:snapToGrid w:val="0"/>
              <w:ind w:firstLine="420" w:firstLineChars="200"/>
              <w:rPr>
                <w:rFonts w:hint="eastAsia" w:ascii="宋体" w:hAnsi="宋体" w:cs="宋体"/>
                <w:color w:val="auto"/>
                <w:kern w:val="0"/>
                <w:szCs w:val="21"/>
              </w:rPr>
            </w:pPr>
          </w:p>
        </w:tc>
        <w:tc>
          <w:tcPr>
            <w:tcW w:w="7277" w:type="dxa"/>
            <w:vAlign w:val="center"/>
          </w:tcPr>
          <w:p w14:paraId="46196F25">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w:t>
            </w:r>
            <w:r>
              <w:rPr>
                <w:rFonts w:hint="eastAsia" w:ascii="宋体" w:hAnsi="宋体" w:cs="宋体"/>
                <w:color w:val="auto"/>
                <w:kern w:val="0"/>
                <w:szCs w:val="21"/>
                <w:lang w:val="en-US" w:eastAsia="zh-CN"/>
              </w:rPr>
              <w:t>第一百零一条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p w14:paraId="1EB7E70E">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lang w:val="en-US" w:eastAsia="zh-CN"/>
              </w:rPr>
              <w:t>（一）生产、经营、运输、储存、使用危险物品或者处置废弃危险物品，未建立专门安全管理制度、未采取可靠的安全措施的；</w:t>
            </w:r>
          </w:p>
          <w:p w14:paraId="1A37FCF7">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p>
        </w:tc>
        <w:tc>
          <w:tcPr>
            <w:tcW w:w="741" w:type="dxa"/>
            <w:vAlign w:val="center"/>
          </w:tcPr>
          <w:p w14:paraId="0794EF55">
            <w:pPr>
              <w:widowControl/>
              <w:adjustRightInd w:val="0"/>
              <w:snapToGrid w:val="0"/>
              <w:rPr>
                <w:rFonts w:ascii="宋体" w:hAnsi="宋体" w:cs="宋体"/>
                <w:color w:val="auto"/>
                <w:kern w:val="0"/>
                <w:szCs w:val="21"/>
              </w:rPr>
            </w:pPr>
          </w:p>
        </w:tc>
      </w:tr>
      <w:tr w14:paraId="13BC7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1711" w:hRule="atLeast"/>
          <w:jc w:val="center"/>
        </w:trPr>
        <w:tc>
          <w:tcPr>
            <w:tcW w:w="522" w:type="dxa"/>
            <w:vMerge w:val="restart"/>
            <w:vAlign w:val="center"/>
          </w:tcPr>
          <w:p w14:paraId="0D140282">
            <w:pPr>
              <w:jc w:val="center"/>
              <w:rPr>
                <w:rFonts w:ascii="宋体" w:hAnsi="宋体" w:cs="宋体"/>
                <w:color w:val="auto"/>
                <w:kern w:val="0"/>
                <w:szCs w:val="21"/>
              </w:rPr>
            </w:pPr>
            <w:r>
              <w:rPr>
                <w:rFonts w:hint="eastAsia" w:ascii="宋体" w:hAnsi="宋体" w:cs="宋体"/>
                <w:color w:val="auto"/>
                <w:kern w:val="0"/>
                <w:szCs w:val="21"/>
              </w:rPr>
              <w:t>4</w:t>
            </w:r>
          </w:p>
        </w:tc>
        <w:tc>
          <w:tcPr>
            <w:tcW w:w="1341" w:type="dxa"/>
            <w:vMerge w:val="restart"/>
            <w:vAlign w:val="center"/>
          </w:tcPr>
          <w:p w14:paraId="6BE1ADF1">
            <w:pPr>
              <w:widowControl/>
              <w:adjustRightInd w:val="0"/>
              <w:snapToGrid w:val="0"/>
              <w:rPr>
                <w:rFonts w:ascii="宋体" w:hAnsi="宋体" w:cs="宋体"/>
                <w:color w:val="auto"/>
                <w:kern w:val="0"/>
                <w:szCs w:val="21"/>
              </w:rPr>
            </w:pPr>
            <w:r>
              <w:rPr>
                <w:rFonts w:hint="eastAsia" w:ascii="宋体" w:hAnsi="宋体" w:cs="宋体"/>
                <w:color w:val="auto"/>
                <w:kern w:val="0"/>
                <w:szCs w:val="21"/>
              </w:rPr>
              <w:t>从业人员安全生产教育和培训情况</w:t>
            </w:r>
          </w:p>
        </w:tc>
        <w:tc>
          <w:tcPr>
            <w:tcW w:w="1438" w:type="dxa"/>
            <w:vAlign w:val="center"/>
          </w:tcPr>
          <w:p w14:paraId="44ED91B1">
            <w:pPr>
              <w:widowControl/>
              <w:adjustRightInd w:val="0"/>
              <w:snapToGrid w:val="0"/>
              <w:rPr>
                <w:rFonts w:ascii="宋体" w:hAnsi="宋体" w:cs="宋体"/>
                <w:color w:val="auto"/>
                <w:kern w:val="0"/>
                <w:szCs w:val="21"/>
              </w:rPr>
            </w:pPr>
            <w:r>
              <w:rPr>
                <w:rFonts w:hint="eastAsia" w:ascii="宋体" w:hAnsi="宋体" w:cs="宋体"/>
                <w:color w:val="auto"/>
                <w:kern w:val="0"/>
                <w:szCs w:val="21"/>
              </w:rPr>
              <w:t>4.1 主要负责人和安全管理人员安全生产知识和管理能力及考核</w:t>
            </w:r>
          </w:p>
        </w:tc>
        <w:tc>
          <w:tcPr>
            <w:tcW w:w="4795" w:type="dxa"/>
            <w:vAlign w:val="center"/>
          </w:tcPr>
          <w:p w14:paraId="6BE3C43D">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w:t>
            </w:r>
            <w:r>
              <w:rPr>
                <w:rFonts w:hint="eastAsia" w:ascii="宋体" w:hAnsi="宋体" w:cs="宋体"/>
                <w:color w:val="auto"/>
                <w:kern w:val="0"/>
                <w:szCs w:val="21"/>
                <w:lang w:val="en-US" w:eastAsia="zh-CN"/>
              </w:rPr>
              <w:t>第二十七条　生产经营单位的主要负责人和安全生产管理人员必须具备与本单位所从事的生产经营活动相应的安全生产知识和管理能力。</w:t>
            </w:r>
          </w:p>
          <w:p w14:paraId="193650A0">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lang w:val="en-US" w:eastAsia="zh-CN"/>
              </w:rPr>
              <w:t>危险物品的生产、经营、储存、装卸单位以及矿山、金属冶炼、建筑施工、运输单位的主要负责人和安全生产管理人员，应当由主管的负有安全生产监督管理职责的部门对其安全生产知识和管理能力考核合格。考核不得收费。</w:t>
            </w:r>
          </w:p>
          <w:p w14:paraId="6024A60A">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p>
        </w:tc>
        <w:tc>
          <w:tcPr>
            <w:tcW w:w="7277" w:type="dxa"/>
            <w:vAlign w:val="center"/>
          </w:tcPr>
          <w:p w14:paraId="4DABFDA5">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w:t>
            </w:r>
            <w:r>
              <w:rPr>
                <w:rFonts w:hint="eastAsia" w:ascii="宋体" w:hAnsi="宋体" w:cs="宋体"/>
                <w:color w:val="auto"/>
                <w:kern w:val="0"/>
                <w:szCs w:val="21"/>
                <w:lang w:val="en-US" w:eastAsia="zh-CN"/>
              </w:rPr>
              <w:t>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p>
          <w:p w14:paraId="367DA62A">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w:t>
            </w:r>
          </w:p>
          <w:p w14:paraId="54A2C51D">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lang w:val="en-US" w:eastAsia="zh-CN"/>
              </w:rPr>
              <w:t>（二）危险物品的生产、经营、储存、装卸单位以及矿山、金属冶炼、建筑施工、运输单位的主要负责人和安全生产管理人员未按照规定经考核合格的；</w:t>
            </w:r>
          </w:p>
          <w:p w14:paraId="6C3263C3">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p>
        </w:tc>
        <w:tc>
          <w:tcPr>
            <w:tcW w:w="741" w:type="dxa"/>
            <w:vMerge w:val="restart"/>
            <w:vAlign w:val="center"/>
          </w:tcPr>
          <w:p w14:paraId="4390E002">
            <w:pPr>
              <w:widowControl/>
              <w:adjustRightInd w:val="0"/>
              <w:snapToGrid w:val="0"/>
              <w:rPr>
                <w:rFonts w:ascii="宋体" w:hAnsi="宋体" w:cs="宋体"/>
                <w:color w:val="auto"/>
                <w:kern w:val="0"/>
                <w:szCs w:val="21"/>
              </w:rPr>
            </w:pPr>
          </w:p>
        </w:tc>
      </w:tr>
      <w:tr w14:paraId="560FA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1711" w:hRule="atLeast"/>
          <w:jc w:val="center"/>
        </w:trPr>
        <w:tc>
          <w:tcPr>
            <w:tcW w:w="522" w:type="dxa"/>
            <w:vMerge w:val="continue"/>
            <w:vAlign w:val="center"/>
          </w:tcPr>
          <w:p w14:paraId="2577117B">
            <w:pPr>
              <w:jc w:val="center"/>
              <w:rPr>
                <w:rFonts w:ascii="宋体" w:hAnsi="宋体" w:cs="宋体"/>
                <w:color w:val="auto"/>
                <w:kern w:val="0"/>
                <w:szCs w:val="21"/>
              </w:rPr>
            </w:pPr>
          </w:p>
        </w:tc>
        <w:tc>
          <w:tcPr>
            <w:tcW w:w="1341" w:type="dxa"/>
            <w:vMerge w:val="continue"/>
            <w:vAlign w:val="center"/>
          </w:tcPr>
          <w:p w14:paraId="7365B189">
            <w:pPr>
              <w:widowControl/>
              <w:adjustRightInd w:val="0"/>
              <w:snapToGrid w:val="0"/>
              <w:rPr>
                <w:rFonts w:ascii="宋体" w:hAnsi="宋体" w:cs="宋体"/>
                <w:color w:val="auto"/>
                <w:kern w:val="0"/>
                <w:szCs w:val="21"/>
              </w:rPr>
            </w:pPr>
          </w:p>
        </w:tc>
        <w:tc>
          <w:tcPr>
            <w:tcW w:w="1438" w:type="dxa"/>
            <w:vAlign w:val="center"/>
          </w:tcPr>
          <w:p w14:paraId="7836AED7">
            <w:pPr>
              <w:widowControl/>
              <w:adjustRightInd w:val="0"/>
              <w:snapToGrid w:val="0"/>
              <w:rPr>
                <w:rFonts w:ascii="宋体" w:hAnsi="宋体" w:cs="宋体"/>
                <w:color w:val="auto"/>
                <w:kern w:val="0"/>
                <w:szCs w:val="21"/>
              </w:rPr>
            </w:pPr>
            <w:r>
              <w:rPr>
                <w:rFonts w:hint="eastAsia" w:ascii="宋体" w:hAnsi="宋体" w:cs="宋体"/>
                <w:color w:val="auto"/>
                <w:kern w:val="0"/>
                <w:szCs w:val="21"/>
              </w:rPr>
              <w:t>4.2 从业人员安全生产教育培训</w:t>
            </w:r>
          </w:p>
        </w:tc>
        <w:tc>
          <w:tcPr>
            <w:tcW w:w="4795" w:type="dxa"/>
            <w:vAlign w:val="center"/>
          </w:tcPr>
          <w:p w14:paraId="5994C255">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w:t>
            </w:r>
            <w:r>
              <w:rPr>
                <w:rFonts w:hint="eastAsia" w:ascii="宋体" w:hAnsi="宋体" w:cs="宋体"/>
                <w:color w:val="auto"/>
                <w:kern w:val="0"/>
                <w:szCs w:val="21"/>
                <w:lang w:val="en-US" w:eastAsia="zh-CN"/>
              </w:rPr>
              <w:t>第二十八条　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p w14:paraId="7E28C53B">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lang w:val="en-US" w:eastAsia="zh-CN"/>
              </w:rPr>
              <w:t>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p w14:paraId="036BEF75">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lang w:val="en-US" w:eastAsia="zh-CN"/>
              </w:rPr>
              <w:t>生产经营单位接收中等职业学校、高等学校学生实习的，应当对实习学生进行相应的安全生产教育和培训，提供必要的劳动防护用品。学校应当协助生产经营单位对实习学生进行安全生产教育和培训。</w:t>
            </w:r>
          </w:p>
          <w:p w14:paraId="211A58CB">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lang w:val="en-US" w:eastAsia="zh-CN"/>
              </w:rPr>
              <w:t>生产经营单位应当建立安全生产教育和培训档案，如实记录安全生产教育和培训的时间、内容、参加人员以及考核结果等情况。</w:t>
            </w:r>
          </w:p>
        </w:tc>
        <w:tc>
          <w:tcPr>
            <w:tcW w:w="7277" w:type="dxa"/>
            <w:vAlign w:val="center"/>
          </w:tcPr>
          <w:p w14:paraId="7D38A71F">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w:t>
            </w:r>
            <w:r>
              <w:rPr>
                <w:rFonts w:hint="eastAsia" w:ascii="宋体" w:hAnsi="宋体" w:cs="宋体"/>
                <w:color w:val="auto"/>
                <w:kern w:val="0"/>
                <w:szCs w:val="21"/>
                <w:lang w:val="en-US" w:eastAsia="zh-CN"/>
              </w:rPr>
              <w:t>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p>
          <w:p w14:paraId="15078E63">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w:t>
            </w:r>
          </w:p>
          <w:p w14:paraId="373FA7BD">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（三）未按照规定对从业人员、被派遣劳动者、实习学生进行安全生产教育和培训，或者未按照规定如实告知有关的安全生产事项的；</w:t>
            </w:r>
          </w:p>
          <w:p w14:paraId="1CC20318">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lang w:val="en-US" w:eastAsia="zh-CN"/>
              </w:rPr>
              <w:t>（四）未如实记录安全生产教育和培训情况的；</w:t>
            </w:r>
          </w:p>
          <w:p w14:paraId="0A61ACB4">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p>
        </w:tc>
        <w:tc>
          <w:tcPr>
            <w:tcW w:w="741" w:type="dxa"/>
            <w:vMerge w:val="continue"/>
            <w:vAlign w:val="center"/>
          </w:tcPr>
          <w:p w14:paraId="2432BDC1">
            <w:pPr>
              <w:widowControl/>
              <w:adjustRightInd w:val="0"/>
              <w:snapToGrid w:val="0"/>
              <w:rPr>
                <w:rFonts w:ascii="宋体" w:hAnsi="宋体" w:cs="宋体"/>
                <w:color w:val="auto"/>
                <w:kern w:val="0"/>
                <w:szCs w:val="21"/>
              </w:rPr>
            </w:pPr>
          </w:p>
        </w:tc>
      </w:tr>
      <w:tr w14:paraId="68E57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1711" w:hRule="atLeast"/>
          <w:jc w:val="center"/>
        </w:trPr>
        <w:tc>
          <w:tcPr>
            <w:tcW w:w="522" w:type="dxa"/>
            <w:vMerge w:val="continue"/>
            <w:vAlign w:val="center"/>
          </w:tcPr>
          <w:p w14:paraId="4EE56DDE">
            <w:pPr>
              <w:jc w:val="center"/>
              <w:rPr>
                <w:rFonts w:ascii="宋体" w:hAnsi="宋体" w:cs="宋体"/>
                <w:color w:val="auto"/>
                <w:kern w:val="0"/>
                <w:szCs w:val="21"/>
              </w:rPr>
            </w:pPr>
          </w:p>
        </w:tc>
        <w:tc>
          <w:tcPr>
            <w:tcW w:w="1341" w:type="dxa"/>
            <w:vMerge w:val="continue"/>
            <w:vAlign w:val="center"/>
          </w:tcPr>
          <w:p w14:paraId="028B8A4B">
            <w:pPr>
              <w:widowControl/>
              <w:adjustRightInd w:val="0"/>
              <w:snapToGrid w:val="0"/>
              <w:rPr>
                <w:rFonts w:ascii="宋体" w:hAnsi="宋体" w:cs="宋体"/>
                <w:color w:val="auto"/>
                <w:kern w:val="0"/>
                <w:szCs w:val="21"/>
              </w:rPr>
            </w:pPr>
          </w:p>
        </w:tc>
        <w:tc>
          <w:tcPr>
            <w:tcW w:w="1438" w:type="dxa"/>
            <w:vAlign w:val="center"/>
          </w:tcPr>
          <w:p w14:paraId="4BC7B59A">
            <w:pPr>
              <w:widowControl/>
              <w:adjustRightInd w:val="0"/>
              <w:snapToGrid w:val="0"/>
              <w:rPr>
                <w:rFonts w:ascii="宋体" w:hAnsi="宋体" w:cs="宋体"/>
                <w:color w:val="auto"/>
                <w:kern w:val="0"/>
                <w:szCs w:val="21"/>
              </w:rPr>
            </w:pPr>
            <w:r>
              <w:rPr>
                <w:rFonts w:hint="eastAsia" w:ascii="宋体" w:hAnsi="宋体" w:cs="宋体"/>
                <w:color w:val="auto"/>
                <w:kern w:val="0"/>
                <w:szCs w:val="21"/>
              </w:rPr>
              <w:t>4.3 从业人员“四新”培训</w:t>
            </w:r>
          </w:p>
        </w:tc>
        <w:tc>
          <w:tcPr>
            <w:tcW w:w="4795" w:type="dxa"/>
            <w:vAlign w:val="center"/>
          </w:tcPr>
          <w:p w14:paraId="54A7BD8C">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w:t>
            </w:r>
            <w:r>
              <w:rPr>
                <w:rFonts w:hint="eastAsia" w:ascii="宋体" w:hAnsi="宋体" w:cs="宋体"/>
                <w:color w:val="auto"/>
                <w:kern w:val="0"/>
                <w:szCs w:val="21"/>
                <w:lang w:val="en-US" w:eastAsia="zh-CN"/>
              </w:rPr>
              <w:t>第二十九条　生产经营单位采用新工艺、新技术、新材料或者使用新设备，必须了解、掌握其安全技术特性，采取有效的安全防护措施，并对从业人员进行专门的安全生产教育和培训。</w:t>
            </w:r>
          </w:p>
          <w:p w14:paraId="0E16C5FA">
            <w:pPr>
              <w:widowControl/>
              <w:adjustRightInd w:val="0"/>
              <w:snapToGrid w:val="0"/>
              <w:ind w:firstLine="420" w:firstLineChars="200"/>
              <w:rPr>
                <w:rFonts w:ascii="宋体" w:hAnsi="宋体" w:cs="宋体"/>
                <w:color w:val="auto"/>
                <w:kern w:val="0"/>
                <w:szCs w:val="21"/>
              </w:rPr>
            </w:pPr>
          </w:p>
        </w:tc>
        <w:tc>
          <w:tcPr>
            <w:tcW w:w="7277" w:type="dxa"/>
            <w:vAlign w:val="center"/>
          </w:tcPr>
          <w:p w14:paraId="5B99C9CC">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w:t>
            </w:r>
            <w:r>
              <w:rPr>
                <w:rFonts w:hint="eastAsia" w:ascii="宋体" w:hAnsi="宋体" w:cs="宋体"/>
                <w:color w:val="auto"/>
                <w:kern w:val="0"/>
                <w:szCs w:val="21"/>
                <w:lang w:val="en-US" w:eastAsia="zh-CN"/>
              </w:rPr>
              <w:t>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p>
          <w:p w14:paraId="450B0D06">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w:t>
            </w:r>
          </w:p>
          <w:p w14:paraId="500A570F">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（三）未按照规定对从业人员、被派遣劳动者、实习学生进行安全生产教育和培训，或者未按照规定如实告知有关的安全生产事项的；</w:t>
            </w:r>
          </w:p>
          <w:p w14:paraId="3F9461E3">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p>
        </w:tc>
        <w:tc>
          <w:tcPr>
            <w:tcW w:w="741" w:type="dxa"/>
            <w:vMerge w:val="continue"/>
            <w:vAlign w:val="center"/>
          </w:tcPr>
          <w:p w14:paraId="2A4DD857">
            <w:pPr>
              <w:widowControl/>
              <w:adjustRightInd w:val="0"/>
              <w:snapToGrid w:val="0"/>
              <w:rPr>
                <w:rFonts w:ascii="宋体" w:hAnsi="宋体" w:cs="宋体"/>
                <w:color w:val="auto"/>
                <w:kern w:val="0"/>
                <w:szCs w:val="21"/>
              </w:rPr>
            </w:pPr>
          </w:p>
        </w:tc>
      </w:tr>
      <w:tr w14:paraId="7FBC9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360" w:hRule="atLeast"/>
          <w:jc w:val="center"/>
        </w:trPr>
        <w:tc>
          <w:tcPr>
            <w:tcW w:w="522" w:type="dxa"/>
            <w:vMerge w:val="continue"/>
            <w:vAlign w:val="center"/>
          </w:tcPr>
          <w:p w14:paraId="4A5986F4">
            <w:pPr>
              <w:jc w:val="center"/>
              <w:rPr>
                <w:rFonts w:ascii="宋体" w:hAnsi="宋体" w:cs="宋体"/>
                <w:color w:val="auto"/>
                <w:kern w:val="0"/>
                <w:szCs w:val="21"/>
              </w:rPr>
            </w:pPr>
          </w:p>
        </w:tc>
        <w:tc>
          <w:tcPr>
            <w:tcW w:w="1341" w:type="dxa"/>
            <w:vMerge w:val="continue"/>
            <w:vAlign w:val="center"/>
          </w:tcPr>
          <w:p w14:paraId="66BD6C78">
            <w:pPr>
              <w:widowControl/>
              <w:adjustRightInd w:val="0"/>
              <w:snapToGrid w:val="0"/>
              <w:rPr>
                <w:rFonts w:ascii="宋体" w:hAnsi="宋体" w:cs="宋体"/>
                <w:color w:val="auto"/>
                <w:kern w:val="0"/>
                <w:szCs w:val="21"/>
              </w:rPr>
            </w:pPr>
          </w:p>
        </w:tc>
        <w:tc>
          <w:tcPr>
            <w:tcW w:w="1438" w:type="dxa"/>
            <w:vAlign w:val="center"/>
          </w:tcPr>
          <w:p w14:paraId="3D17746F">
            <w:pPr>
              <w:widowControl/>
              <w:adjustRightInd w:val="0"/>
              <w:snapToGrid w:val="0"/>
              <w:rPr>
                <w:rFonts w:ascii="宋体" w:hAnsi="宋体" w:cs="宋体"/>
                <w:color w:val="auto"/>
                <w:kern w:val="0"/>
                <w:szCs w:val="21"/>
              </w:rPr>
            </w:pPr>
            <w:r>
              <w:rPr>
                <w:rFonts w:hint="eastAsia" w:ascii="宋体" w:hAnsi="宋体" w:cs="宋体"/>
                <w:color w:val="auto"/>
                <w:kern w:val="0"/>
                <w:szCs w:val="21"/>
              </w:rPr>
              <w:t>4.4 培训时间</w:t>
            </w:r>
          </w:p>
        </w:tc>
        <w:tc>
          <w:tcPr>
            <w:tcW w:w="4795" w:type="dxa"/>
            <w:vAlign w:val="center"/>
          </w:tcPr>
          <w:p w14:paraId="6F147E0F">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《安全生产培训管理办法》第十一条  生产经营单位从业人员的培训内容和培训时间，应当符合《生产经营单位安全培训规定》和有关标准的规定。</w:t>
            </w:r>
          </w:p>
        </w:tc>
        <w:tc>
          <w:tcPr>
            <w:tcW w:w="7277" w:type="dxa"/>
            <w:vAlign w:val="center"/>
          </w:tcPr>
          <w:p w14:paraId="37E2ED0E">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《安全生产培训管理办法》第三十六条  生产经营单位有下列情形之一的，责令改正，处3万元以下的罚款：</w:t>
            </w:r>
          </w:p>
          <w:p w14:paraId="59AD381F">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（一）从业人员安全培训的时间少于《生产经营单位安全培训规定》或者有关标准规定的；</w:t>
            </w:r>
          </w:p>
          <w:p w14:paraId="73245459">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p>
        </w:tc>
        <w:tc>
          <w:tcPr>
            <w:tcW w:w="741" w:type="dxa"/>
            <w:vMerge w:val="continue"/>
            <w:vAlign w:val="center"/>
          </w:tcPr>
          <w:p w14:paraId="34D89E52">
            <w:pPr>
              <w:widowControl/>
              <w:adjustRightInd w:val="0"/>
              <w:snapToGrid w:val="0"/>
              <w:rPr>
                <w:rFonts w:ascii="宋体" w:hAnsi="宋体" w:cs="宋体"/>
                <w:color w:val="auto"/>
                <w:kern w:val="0"/>
                <w:szCs w:val="21"/>
              </w:rPr>
            </w:pPr>
          </w:p>
        </w:tc>
      </w:tr>
      <w:tr w14:paraId="2A888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90" w:hRule="atLeast"/>
          <w:jc w:val="center"/>
        </w:trPr>
        <w:tc>
          <w:tcPr>
            <w:tcW w:w="522" w:type="dxa"/>
            <w:vMerge w:val="continue"/>
            <w:vAlign w:val="center"/>
          </w:tcPr>
          <w:p w14:paraId="4DD3B80B">
            <w:pPr>
              <w:jc w:val="center"/>
              <w:rPr>
                <w:rFonts w:ascii="宋体" w:hAnsi="宋体" w:cs="宋体"/>
                <w:color w:val="auto"/>
                <w:kern w:val="0"/>
                <w:szCs w:val="21"/>
              </w:rPr>
            </w:pPr>
          </w:p>
        </w:tc>
        <w:tc>
          <w:tcPr>
            <w:tcW w:w="1341" w:type="dxa"/>
            <w:vMerge w:val="continue"/>
            <w:vAlign w:val="center"/>
          </w:tcPr>
          <w:p w14:paraId="31506604">
            <w:pPr>
              <w:widowControl/>
              <w:adjustRightInd w:val="0"/>
              <w:snapToGrid w:val="0"/>
              <w:rPr>
                <w:rFonts w:ascii="宋体" w:hAnsi="宋体" w:cs="宋体"/>
                <w:color w:val="auto"/>
                <w:kern w:val="0"/>
                <w:szCs w:val="21"/>
              </w:rPr>
            </w:pPr>
          </w:p>
        </w:tc>
        <w:tc>
          <w:tcPr>
            <w:tcW w:w="1438" w:type="dxa"/>
            <w:vAlign w:val="center"/>
          </w:tcPr>
          <w:p w14:paraId="3901224E">
            <w:pPr>
              <w:widowControl/>
              <w:adjustRightInd w:val="0"/>
              <w:snapToGrid w:val="0"/>
              <w:rPr>
                <w:rFonts w:ascii="宋体" w:hAnsi="宋体" w:cs="宋体"/>
                <w:color w:val="auto"/>
                <w:kern w:val="0"/>
                <w:szCs w:val="21"/>
              </w:rPr>
            </w:pPr>
            <w:r>
              <w:rPr>
                <w:rFonts w:hint="eastAsia" w:ascii="宋体" w:hAnsi="宋体" w:cs="宋体"/>
                <w:color w:val="auto"/>
                <w:kern w:val="0"/>
                <w:szCs w:val="21"/>
              </w:rPr>
              <w:t>4.5 告知从业人员安全生产事项</w:t>
            </w:r>
          </w:p>
        </w:tc>
        <w:tc>
          <w:tcPr>
            <w:tcW w:w="4795" w:type="dxa"/>
            <w:vAlign w:val="center"/>
          </w:tcPr>
          <w:p w14:paraId="4476A9BD">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w:t>
            </w:r>
            <w:r>
              <w:rPr>
                <w:rFonts w:hint="eastAsia" w:ascii="宋体" w:hAnsi="宋体" w:cs="宋体"/>
                <w:color w:val="auto"/>
                <w:kern w:val="0"/>
                <w:szCs w:val="21"/>
                <w:lang w:val="en-US" w:eastAsia="zh-CN"/>
              </w:rPr>
              <w:t>第四十四条　生产经营单位应当教育和督促从业人员严格执行本单位的安全生产规章制度和安全操作规程；并向从业人员如实告知作业场所和工作岗位存在的危险因素、防范措施以及事故应急措施。</w:t>
            </w:r>
          </w:p>
          <w:p w14:paraId="42370C52">
            <w:pPr>
              <w:widowControl/>
              <w:adjustRightInd w:val="0"/>
              <w:snapToGrid w:val="0"/>
              <w:ind w:firstLine="420" w:firstLineChars="200"/>
              <w:rPr>
                <w:rFonts w:ascii="宋体" w:hAnsi="宋体" w:cs="宋体"/>
                <w:color w:val="auto"/>
                <w:kern w:val="0"/>
                <w:szCs w:val="21"/>
              </w:rPr>
            </w:pPr>
          </w:p>
        </w:tc>
        <w:tc>
          <w:tcPr>
            <w:tcW w:w="7277" w:type="dxa"/>
            <w:vAlign w:val="center"/>
          </w:tcPr>
          <w:p w14:paraId="068BC3BE">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w:t>
            </w:r>
            <w:r>
              <w:rPr>
                <w:rFonts w:hint="eastAsia" w:ascii="宋体" w:hAnsi="宋体" w:cs="宋体"/>
                <w:color w:val="auto"/>
                <w:kern w:val="0"/>
                <w:szCs w:val="21"/>
                <w:lang w:val="en-US" w:eastAsia="zh-CN"/>
              </w:rPr>
              <w:t>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p>
          <w:p w14:paraId="329224F6">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w:t>
            </w:r>
          </w:p>
          <w:p w14:paraId="0FF9CDA4">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（三）未按照规定对从业人员、被派遣劳动者、实习学生进行安全生产教育和培训，或者未按照规定如实告知有关的安全生产事项的；</w:t>
            </w:r>
          </w:p>
          <w:p w14:paraId="6907AD03">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p>
        </w:tc>
        <w:tc>
          <w:tcPr>
            <w:tcW w:w="741" w:type="dxa"/>
            <w:vMerge w:val="continue"/>
            <w:vAlign w:val="center"/>
          </w:tcPr>
          <w:p w14:paraId="5F524E1A">
            <w:pPr>
              <w:widowControl/>
              <w:adjustRightInd w:val="0"/>
              <w:snapToGrid w:val="0"/>
              <w:rPr>
                <w:rFonts w:ascii="宋体" w:hAnsi="宋体" w:cs="宋体"/>
                <w:color w:val="auto"/>
                <w:kern w:val="0"/>
                <w:szCs w:val="21"/>
              </w:rPr>
            </w:pPr>
          </w:p>
        </w:tc>
      </w:tr>
      <w:tr w14:paraId="23898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766" w:hRule="atLeast"/>
          <w:jc w:val="center"/>
        </w:trPr>
        <w:tc>
          <w:tcPr>
            <w:tcW w:w="522" w:type="dxa"/>
            <w:vMerge w:val="continue"/>
            <w:vAlign w:val="center"/>
          </w:tcPr>
          <w:p w14:paraId="091FA464">
            <w:pPr>
              <w:jc w:val="center"/>
              <w:rPr>
                <w:rFonts w:ascii="宋体" w:hAnsi="宋体" w:cs="宋体"/>
                <w:color w:val="auto"/>
                <w:kern w:val="0"/>
                <w:szCs w:val="21"/>
              </w:rPr>
            </w:pPr>
          </w:p>
        </w:tc>
        <w:tc>
          <w:tcPr>
            <w:tcW w:w="1341" w:type="dxa"/>
            <w:vMerge w:val="continue"/>
            <w:vAlign w:val="center"/>
          </w:tcPr>
          <w:p w14:paraId="23E381B1">
            <w:pPr>
              <w:widowControl/>
              <w:adjustRightInd w:val="0"/>
              <w:snapToGrid w:val="0"/>
              <w:rPr>
                <w:rFonts w:ascii="宋体" w:hAnsi="宋体" w:cs="宋体"/>
                <w:color w:val="auto"/>
                <w:kern w:val="0"/>
                <w:szCs w:val="21"/>
              </w:rPr>
            </w:pPr>
          </w:p>
        </w:tc>
        <w:tc>
          <w:tcPr>
            <w:tcW w:w="1438" w:type="dxa"/>
            <w:vAlign w:val="center"/>
          </w:tcPr>
          <w:p w14:paraId="70736391">
            <w:pPr>
              <w:widowControl/>
              <w:adjustRightInd w:val="0"/>
              <w:snapToGrid w:val="0"/>
              <w:rPr>
                <w:rFonts w:ascii="宋体" w:hAnsi="宋体" w:cs="宋体"/>
                <w:color w:val="auto"/>
                <w:kern w:val="0"/>
                <w:szCs w:val="21"/>
              </w:rPr>
            </w:pPr>
            <w:r>
              <w:rPr>
                <w:rFonts w:hint="eastAsia" w:ascii="宋体" w:hAnsi="宋体" w:cs="宋体"/>
                <w:color w:val="auto"/>
                <w:kern w:val="0"/>
                <w:szCs w:val="21"/>
              </w:rPr>
              <w:t>4.6 新招矿山井下、危险物品作业人员实习上岗</w:t>
            </w:r>
          </w:p>
        </w:tc>
        <w:tc>
          <w:tcPr>
            <w:tcW w:w="4795" w:type="dxa"/>
            <w:vAlign w:val="center"/>
          </w:tcPr>
          <w:p w14:paraId="263F3489">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《安全生产培训管理办法》第十三条  ……</w:t>
            </w:r>
          </w:p>
          <w:p w14:paraId="3D2411F5">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矿山新招的井下作业人员和危险物品生产经营单位新招的危险工艺操作岗位人员，除按照规定进行安全培训外，还应当在有经验的职工带领下实习满2个月后，方可独立上岗作业。</w:t>
            </w:r>
          </w:p>
        </w:tc>
        <w:tc>
          <w:tcPr>
            <w:tcW w:w="7277" w:type="dxa"/>
            <w:vAlign w:val="center"/>
          </w:tcPr>
          <w:p w14:paraId="46CBC967">
            <w:pPr>
              <w:widowControl/>
              <w:adjustRightInd w:val="0"/>
              <w:snapToGrid w:val="0"/>
              <w:ind w:firstLine="420" w:firstLineChars="200"/>
              <w:rPr>
                <w:color w:val="auto"/>
              </w:rPr>
            </w:pPr>
            <w:r>
              <w:rPr>
                <w:rFonts w:hint="eastAsia"/>
                <w:color w:val="auto"/>
              </w:rPr>
              <w:t>《安全生产培训管理办法》第三十六条  生产经营单位有下列情形之一的，责令改正，处</w:t>
            </w:r>
            <w:r>
              <w:rPr>
                <w:rFonts w:hint="eastAsia" w:asciiTheme="minorEastAsia" w:hAnsiTheme="minorEastAsia" w:eastAsiaTheme="minorEastAsia"/>
                <w:color w:val="auto"/>
                <w:highlight w:val="none"/>
              </w:rPr>
              <w:t>3</w:t>
            </w:r>
            <w:r>
              <w:rPr>
                <w:rFonts w:hint="eastAsia"/>
                <w:color w:val="auto"/>
                <w:highlight w:val="none"/>
              </w:rPr>
              <w:t>万</w:t>
            </w:r>
            <w:r>
              <w:rPr>
                <w:rFonts w:hint="eastAsia"/>
                <w:color w:val="auto"/>
              </w:rPr>
              <w:t>元以下的罚款：</w:t>
            </w:r>
          </w:p>
          <w:p w14:paraId="778AC7FD">
            <w:pPr>
              <w:widowControl/>
              <w:adjustRightInd w:val="0"/>
              <w:snapToGrid w:val="0"/>
              <w:ind w:firstLine="420" w:firstLineChars="200"/>
              <w:rPr>
                <w:color w:val="auto"/>
              </w:rPr>
            </w:pPr>
            <w:r>
              <w:rPr>
                <w:rFonts w:hint="eastAsia"/>
                <w:color w:val="auto"/>
              </w:rPr>
              <w:t>……</w:t>
            </w:r>
          </w:p>
          <w:p w14:paraId="66DE6A78">
            <w:pPr>
              <w:widowControl/>
              <w:numPr>
                <w:ilvl w:val="0"/>
                <w:numId w:val="2"/>
              </w:numPr>
              <w:adjustRightInd w:val="0"/>
              <w:snapToGrid w:val="0"/>
              <w:ind w:firstLine="420" w:firstLineChars="200"/>
              <w:rPr>
                <w:color w:val="auto"/>
              </w:rPr>
            </w:pPr>
            <w:r>
              <w:rPr>
                <w:rFonts w:hint="eastAsia"/>
                <w:color w:val="auto"/>
              </w:rPr>
              <w:t>矿山新招的井下作业人员和危险物品生产经营单位新招的危险工艺操作岗位人员，未经实习期满独立上岗作业的。</w:t>
            </w:r>
          </w:p>
          <w:p w14:paraId="1D9811D9">
            <w:pPr>
              <w:pStyle w:val="11"/>
              <w:numPr>
                <w:ilvl w:val="255"/>
                <w:numId w:val="0"/>
              </w:numPr>
              <w:ind w:firstLine="420"/>
              <w:rPr>
                <w:rFonts w:eastAsia="宋体"/>
                <w:color w:val="auto"/>
              </w:rPr>
            </w:pPr>
            <w:r>
              <w:rPr>
                <w:rFonts w:hint="eastAsia" w:ascii="宋体" w:hAnsi="宋体" w:eastAsia="宋体" w:cs="宋体"/>
                <w:color w:val="auto"/>
                <w:kern w:val="0"/>
                <w:szCs w:val="21"/>
              </w:rPr>
              <w:t>……</w:t>
            </w:r>
          </w:p>
        </w:tc>
        <w:tc>
          <w:tcPr>
            <w:tcW w:w="741" w:type="dxa"/>
            <w:vAlign w:val="center"/>
          </w:tcPr>
          <w:p w14:paraId="5648F738">
            <w:pPr>
              <w:widowControl/>
              <w:adjustRightInd w:val="0"/>
              <w:snapToGrid w:val="0"/>
              <w:rPr>
                <w:rFonts w:ascii="宋体" w:hAnsi="宋体" w:cs="宋体"/>
                <w:color w:val="auto"/>
                <w:kern w:val="0"/>
                <w:szCs w:val="21"/>
              </w:rPr>
            </w:pPr>
          </w:p>
        </w:tc>
      </w:tr>
      <w:tr w14:paraId="63982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912" w:hRule="atLeast"/>
          <w:jc w:val="center"/>
        </w:trPr>
        <w:tc>
          <w:tcPr>
            <w:tcW w:w="522" w:type="dxa"/>
            <w:vMerge w:val="restart"/>
            <w:vAlign w:val="center"/>
          </w:tcPr>
          <w:p w14:paraId="64F2CA5B">
            <w:pPr>
              <w:jc w:val="center"/>
              <w:rPr>
                <w:rFonts w:ascii="宋体" w:hAnsi="宋体" w:cs="宋体"/>
                <w:color w:val="auto"/>
                <w:kern w:val="0"/>
                <w:szCs w:val="21"/>
              </w:rPr>
            </w:pPr>
            <w:r>
              <w:rPr>
                <w:rFonts w:hint="eastAsia" w:ascii="宋体" w:hAnsi="宋体" w:cs="宋体"/>
                <w:color w:val="auto"/>
                <w:kern w:val="0"/>
                <w:szCs w:val="21"/>
              </w:rPr>
              <w:t>5</w:t>
            </w:r>
          </w:p>
        </w:tc>
        <w:tc>
          <w:tcPr>
            <w:tcW w:w="1341" w:type="dxa"/>
            <w:vMerge w:val="restart"/>
            <w:vAlign w:val="center"/>
          </w:tcPr>
          <w:p w14:paraId="503432D9">
            <w:pPr>
              <w:widowControl/>
              <w:adjustRightInd w:val="0"/>
              <w:snapToGrid w:val="0"/>
              <w:rPr>
                <w:rFonts w:ascii="宋体" w:hAnsi="宋体" w:cs="宋体"/>
                <w:color w:val="auto"/>
                <w:kern w:val="0"/>
                <w:szCs w:val="21"/>
              </w:rPr>
            </w:pPr>
            <w:r>
              <w:rPr>
                <w:rFonts w:hint="eastAsia" w:ascii="宋体" w:hAnsi="宋体" w:cs="宋体"/>
                <w:color w:val="auto"/>
                <w:kern w:val="0"/>
                <w:szCs w:val="21"/>
              </w:rPr>
              <w:t>特种作业人员持证上岗情况</w:t>
            </w:r>
          </w:p>
        </w:tc>
        <w:tc>
          <w:tcPr>
            <w:tcW w:w="1438" w:type="dxa"/>
            <w:vAlign w:val="center"/>
          </w:tcPr>
          <w:p w14:paraId="2927F97F">
            <w:pPr>
              <w:widowControl/>
              <w:adjustRightInd w:val="0"/>
              <w:snapToGrid w:val="0"/>
              <w:rPr>
                <w:rFonts w:ascii="宋体" w:hAnsi="宋体" w:cs="宋体"/>
                <w:color w:val="auto"/>
                <w:kern w:val="0"/>
                <w:szCs w:val="21"/>
              </w:rPr>
            </w:pPr>
            <w:r>
              <w:rPr>
                <w:rFonts w:hint="eastAsia" w:ascii="宋体" w:hAnsi="宋体" w:cs="宋体"/>
                <w:color w:val="auto"/>
                <w:kern w:val="0"/>
                <w:szCs w:val="21"/>
              </w:rPr>
              <w:t>5.1 特种作业人员培训取证</w:t>
            </w:r>
          </w:p>
        </w:tc>
        <w:tc>
          <w:tcPr>
            <w:tcW w:w="4795" w:type="dxa"/>
            <w:vAlign w:val="center"/>
          </w:tcPr>
          <w:p w14:paraId="641333FC">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w:t>
            </w:r>
            <w:r>
              <w:rPr>
                <w:rFonts w:hint="eastAsia" w:ascii="宋体" w:hAnsi="宋体" w:cs="宋体"/>
                <w:color w:val="auto"/>
                <w:kern w:val="0"/>
                <w:szCs w:val="21"/>
                <w:lang w:val="en-US" w:eastAsia="zh-CN"/>
              </w:rPr>
              <w:t>第三十条　生产经营单位的特种作业人员必须按照国家有关规定经专门的安全作业培训，取得相应资格，方可上岗作业。</w:t>
            </w:r>
          </w:p>
          <w:p w14:paraId="4F0F1276">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lang w:val="en-US" w:eastAsia="zh-CN"/>
              </w:rPr>
              <w:t>特种作业人员的范围由国务院应急管理部门会同国务院有关部门确定。</w:t>
            </w:r>
          </w:p>
          <w:p w14:paraId="14CBD82F">
            <w:pPr>
              <w:widowControl/>
              <w:adjustRightInd w:val="0"/>
              <w:snapToGrid w:val="0"/>
              <w:ind w:firstLine="420" w:firstLineChars="200"/>
              <w:rPr>
                <w:rFonts w:ascii="宋体" w:hAnsi="宋体" w:cs="宋体"/>
                <w:color w:val="auto"/>
                <w:kern w:val="0"/>
                <w:szCs w:val="21"/>
              </w:rPr>
            </w:pPr>
          </w:p>
        </w:tc>
        <w:tc>
          <w:tcPr>
            <w:tcW w:w="7277" w:type="dxa"/>
            <w:vAlign w:val="center"/>
          </w:tcPr>
          <w:p w14:paraId="101027A4">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w:t>
            </w:r>
            <w:r>
              <w:rPr>
                <w:rFonts w:hint="eastAsia" w:ascii="宋体" w:hAnsi="宋体" w:cs="宋体"/>
                <w:color w:val="auto"/>
                <w:kern w:val="0"/>
                <w:szCs w:val="21"/>
                <w:lang w:val="en-US" w:eastAsia="zh-CN"/>
              </w:rPr>
              <w:t>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p>
          <w:p w14:paraId="695856EA">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w:t>
            </w:r>
          </w:p>
          <w:p w14:paraId="64DB98AB">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（七）特种作业人员未按照规定经专门的安全作业培训并取得相应资格，上岗作业的。</w:t>
            </w:r>
          </w:p>
        </w:tc>
        <w:tc>
          <w:tcPr>
            <w:tcW w:w="741" w:type="dxa"/>
            <w:vAlign w:val="center"/>
          </w:tcPr>
          <w:p w14:paraId="2F838E36">
            <w:pPr>
              <w:widowControl/>
              <w:adjustRightInd w:val="0"/>
              <w:snapToGrid w:val="0"/>
              <w:rPr>
                <w:rFonts w:ascii="宋体" w:hAnsi="宋体" w:cs="宋体"/>
                <w:color w:val="auto"/>
                <w:kern w:val="0"/>
                <w:szCs w:val="21"/>
              </w:rPr>
            </w:pPr>
          </w:p>
        </w:tc>
      </w:tr>
      <w:tr w14:paraId="3C504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570" w:hRule="atLeast"/>
          <w:jc w:val="center"/>
        </w:trPr>
        <w:tc>
          <w:tcPr>
            <w:tcW w:w="522" w:type="dxa"/>
            <w:vMerge w:val="continue"/>
            <w:vAlign w:val="center"/>
          </w:tcPr>
          <w:p w14:paraId="1E9071BA">
            <w:pPr>
              <w:jc w:val="center"/>
              <w:rPr>
                <w:rFonts w:ascii="宋体" w:hAnsi="宋体" w:cs="宋体"/>
                <w:color w:val="auto"/>
                <w:kern w:val="0"/>
                <w:szCs w:val="21"/>
              </w:rPr>
            </w:pPr>
          </w:p>
        </w:tc>
        <w:tc>
          <w:tcPr>
            <w:tcW w:w="1341" w:type="dxa"/>
            <w:vMerge w:val="continue"/>
            <w:vAlign w:val="center"/>
          </w:tcPr>
          <w:p w14:paraId="6FB701A2">
            <w:pPr>
              <w:widowControl/>
              <w:adjustRightInd w:val="0"/>
              <w:snapToGrid w:val="0"/>
              <w:rPr>
                <w:rFonts w:ascii="宋体" w:hAnsi="宋体" w:cs="宋体"/>
                <w:color w:val="auto"/>
                <w:kern w:val="0"/>
                <w:szCs w:val="21"/>
              </w:rPr>
            </w:pPr>
          </w:p>
        </w:tc>
        <w:tc>
          <w:tcPr>
            <w:tcW w:w="1438" w:type="dxa"/>
            <w:vAlign w:val="center"/>
          </w:tcPr>
          <w:p w14:paraId="76AB17AF">
            <w:pPr>
              <w:widowControl/>
              <w:adjustRightInd w:val="0"/>
              <w:snapToGrid w:val="0"/>
              <w:rPr>
                <w:rFonts w:ascii="宋体" w:hAnsi="宋体" w:cs="宋体"/>
                <w:color w:val="auto"/>
                <w:kern w:val="0"/>
                <w:szCs w:val="21"/>
              </w:rPr>
            </w:pPr>
            <w:r>
              <w:rPr>
                <w:rFonts w:hint="eastAsia" w:ascii="宋体" w:hAnsi="宋体" w:cs="宋体"/>
                <w:color w:val="auto"/>
                <w:kern w:val="0"/>
                <w:szCs w:val="21"/>
              </w:rPr>
              <w:t>5.2 特种作业人员证书真实性</w:t>
            </w:r>
          </w:p>
        </w:tc>
        <w:tc>
          <w:tcPr>
            <w:tcW w:w="4795" w:type="dxa"/>
            <w:vAlign w:val="center"/>
          </w:tcPr>
          <w:p w14:paraId="6AA307B5">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《特种作业人员安全技术培训考核管理规定》第三十六条  ……</w:t>
            </w:r>
          </w:p>
          <w:p w14:paraId="2352B39B">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特种作业人员不得伪造、涂改、转借、转让、冒用特种作业操作证或者使用伪造的特种作业操作证。</w:t>
            </w:r>
          </w:p>
        </w:tc>
        <w:tc>
          <w:tcPr>
            <w:tcW w:w="7277" w:type="dxa"/>
            <w:vAlign w:val="center"/>
          </w:tcPr>
          <w:p w14:paraId="5A9D7D8A">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《特种作业人员安全技术培训考核管理规定》第四十一条  特种作业人员伪造、涂改特种作业操作证或者使用伪造的特种作业操作证的，给予警告，并处1000元以上5000元以下的罚款。</w:t>
            </w:r>
          </w:p>
          <w:p w14:paraId="5E79A104">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特种作业人员转借、转让、冒用特种作业操作证的，给予警告，并处2000元以上1万元以下的罚款。</w:t>
            </w:r>
          </w:p>
        </w:tc>
        <w:tc>
          <w:tcPr>
            <w:tcW w:w="741" w:type="dxa"/>
            <w:vAlign w:val="center"/>
          </w:tcPr>
          <w:p w14:paraId="595724B5">
            <w:pPr>
              <w:widowControl/>
              <w:adjustRightInd w:val="0"/>
              <w:snapToGrid w:val="0"/>
              <w:rPr>
                <w:rFonts w:ascii="宋体" w:hAnsi="宋体" w:cs="宋体"/>
                <w:color w:val="auto"/>
                <w:kern w:val="0"/>
                <w:szCs w:val="21"/>
              </w:rPr>
            </w:pPr>
          </w:p>
        </w:tc>
      </w:tr>
      <w:tr w14:paraId="455E7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298" w:hRule="atLeast"/>
          <w:jc w:val="center"/>
        </w:trPr>
        <w:tc>
          <w:tcPr>
            <w:tcW w:w="522" w:type="dxa"/>
            <w:vMerge w:val="restart"/>
            <w:vAlign w:val="center"/>
          </w:tcPr>
          <w:p w14:paraId="42C80487">
            <w:pPr>
              <w:jc w:val="center"/>
              <w:rPr>
                <w:rFonts w:ascii="宋体" w:hAnsi="宋体" w:cs="宋体"/>
                <w:color w:val="auto"/>
                <w:kern w:val="0"/>
                <w:szCs w:val="21"/>
              </w:rPr>
            </w:pPr>
            <w:r>
              <w:rPr>
                <w:rFonts w:hint="eastAsia" w:ascii="宋体" w:hAnsi="宋体" w:cs="宋体"/>
                <w:color w:val="auto"/>
                <w:kern w:val="0"/>
                <w:szCs w:val="21"/>
              </w:rPr>
              <w:t>6</w:t>
            </w:r>
          </w:p>
        </w:tc>
        <w:tc>
          <w:tcPr>
            <w:tcW w:w="1341" w:type="dxa"/>
            <w:vMerge w:val="restart"/>
            <w:vAlign w:val="center"/>
          </w:tcPr>
          <w:p w14:paraId="5DFA8686">
            <w:pPr>
              <w:widowControl/>
              <w:adjustRightInd w:val="0"/>
              <w:snapToGrid w:val="0"/>
              <w:rPr>
                <w:rFonts w:ascii="宋体" w:hAnsi="宋体" w:cs="宋体"/>
                <w:color w:val="auto"/>
                <w:kern w:val="0"/>
                <w:szCs w:val="21"/>
              </w:rPr>
            </w:pPr>
            <w:r>
              <w:rPr>
                <w:rFonts w:hint="eastAsia" w:ascii="宋体" w:hAnsi="宋体" w:cs="宋体"/>
                <w:color w:val="auto"/>
                <w:kern w:val="0"/>
                <w:szCs w:val="21"/>
              </w:rPr>
              <w:t>建设项目安全评价及建设项目安全设施“三同时”情况</w:t>
            </w:r>
          </w:p>
        </w:tc>
        <w:tc>
          <w:tcPr>
            <w:tcW w:w="1438" w:type="dxa"/>
            <w:vAlign w:val="center"/>
          </w:tcPr>
          <w:p w14:paraId="249CE8ED">
            <w:pPr>
              <w:widowControl/>
              <w:adjustRightInd w:val="0"/>
              <w:snapToGrid w:val="0"/>
              <w:rPr>
                <w:rFonts w:ascii="宋体" w:hAnsi="宋体" w:cs="宋体"/>
                <w:color w:val="auto"/>
                <w:kern w:val="0"/>
                <w:szCs w:val="21"/>
              </w:rPr>
            </w:pPr>
            <w:r>
              <w:rPr>
                <w:rFonts w:hint="eastAsia" w:ascii="宋体" w:hAnsi="宋体" w:cs="宋体"/>
                <w:color w:val="auto"/>
                <w:kern w:val="0"/>
                <w:szCs w:val="21"/>
              </w:rPr>
              <w:t>6.1 高危建设项目安全评价</w:t>
            </w:r>
          </w:p>
        </w:tc>
        <w:tc>
          <w:tcPr>
            <w:tcW w:w="4795" w:type="dxa"/>
            <w:vAlign w:val="center"/>
          </w:tcPr>
          <w:p w14:paraId="0D73B639">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》第三十二条　矿山、金属冶炼建设项目和用于生产、储存、装卸危险物品的建设项目，应当按照国家有关规定进行安全评价。</w:t>
            </w:r>
          </w:p>
          <w:p w14:paraId="682179C5">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《建设项目安全设施“三同时”监督管理办法》第七条  下列建设项目在进行可行性研究时，生产经营单位应当按照国家规定，进行安全预评价：</w:t>
            </w:r>
          </w:p>
          <w:p w14:paraId="4239F371">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（一）非煤矿矿山建设项目；</w:t>
            </w:r>
          </w:p>
          <w:p w14:paraId="67B17A52">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（二）生产、储存危险化学品（包括使用长输管道输送危险化学品，下同）的建设项目；</w:t>
            </w:r>
          </w:p>
          <w:p w14:paraId="40A60058">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（三）生产、储存烟花爆竹的建设项目；</w:t>
            </w:r>
          </w:p>
          <w:p w14:paraId="43F4416D">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（四）金属冶炼建设项目；</w:t>
            </w:r>
          </w:p>
          <w:p w14:paraId="2D57CC7B">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（五）使用危险化学品从事生产并且使用量达到规定数量的化工建设项目（属于危险化学品生产的除外，下同）；</w:t>
            </w:r>
          </w:p>
          <w:p w14:paraId="1C3612F3">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（六）法律、行政法规和国务院规定的其他建设项目。</w:t>
            </w:r>
          </w:p>
          <w:p w14:paraId="089B041D">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《建设项目安全设施“三同时”监督管理办法》第二十二条  本办法第七条规定的建设项目安全设施竣工或者试运行完成后，生产经营单位应当委托具有相应资质的安全评价机构对安全设施进行验收评价，并编制建设项目安全验收评价报告。</w:t>
            </w:r>
          </w:p>
          <w:p w14:paraId="6B877F5E">
            <w:pPr>
              <w:widowControl/>
              <w:adjustRightInd w:val="0"/>
              <w:snapToGrid w:val="0"/>
              <w:ind w:firstLine="420" w:firstLineChars="200"/>
              <w:rPr>
                <w:color w:val="auto"/>
              </w:rPr>
            </w:pPr>
            <w:r>
              <w:rPr>
                <w:rFonts w:hint="eastAsia" w:ascii="宋体" w:hAnsi="宋体" w:cs="宋体"/>
                <w:color w:val="auto"/>
                <w:kern w:val="0"/>
                <w:szCs w:val="21"/>
              </w:rPr>
              <w:t>……</w:t>
            </w:r>
          </w:p>
        </w:tc>
        <w:tc>
          <w:tcPr>
            <w:tcW w:w="7277" w:type="dxa"/>
            <w:vAlign w:val="center"/>
          </w:tcPr>
          <w:p w14:paraId="2D985570">
            <w:pPr>
              <w:widowControl/>
              <w:adjustRightInd w:val="0"/>
              <w:snapToGrid w:val="0"/>
              <w:ind w:firstLine="420" w:firstLineChars="200"/>
              <w:rPr>
                <w:rFonts w:hint="eastAsia"/>
                <w:color w:val="auto"/>
              </w:rPr>
            </w:pPr>
            <w:r>
              <w:rPr>
                <w:rFonts w:hint="eastAsia"/>
                <w:color w:val="auto"/>
              </w:rPr>
              <w:t>《</w:t>
            </w:r>
            <w:r>
              <w:rPr>
                <w:rFonts w:hint="eastAsia"/>
                <w:color w:val="auto"/>
                <w:lang w:eastAsia="zh-CN"/>
              </w:rPr>
              <w:t>中华人民共和国安全生产法</w:t>
            </w:r>
            <w:r>
              <w:rPr>
                <w:rFonts w:hint="eastAsia"/>
                <w:color w:val="auto"/>
              </w:rPr>
              <w:t>》</w:t>
            </w:r>
            <w:r>
              <w:rPr>
                <w:rFonts w:hint="eastAsia"/>
                <w:color w:val="auto"/>
                <w:lang w:val="en-US" w:eastAsia="zh-CN"/>
              </w:rPr>
              <w:t>第九十八条　生产经营单位有下列行为之一的，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w:t>
            </w:r>
          </w:p>
          <w:p w14:paraId="096C660C">
            <w:pPr>
              <w:widowControl/>
              <w:numPr>
                <w:ilvl w:val="0"/>
                <w:numId w:val="3"/>
              </w:numPr>
              <w:adjustRightInd w:val="0"/>
              <w:snapToGrid w:val="0"/>
              <w:ind w:firstLine="420" w:firstLineChars="200"/>
              <w:rPr>
                <w:rFonts w:hint="eastAsia"/>
                <w:color w:val="auto"/>
                <w:lang w:val="en-US" w:eastAsia="zh-CN"/>
              </w:rPr>
            </w:pPr>
            <w:r>
              <w:rPr>
                <w:rFonts w:hint="eastAsia"/>
                <w:color w:val="auto"/>
                <w:lang w:val="en-US" w:eastAsia="zh-CN"/>
              </w:rPr>
              <w:t>未按照规定对矿山、金属冶炼建设项目或者用于生产、储存、装卸危险物品的建设项目进行安全评价的；</w:t>
            </w:r>
          </w:p>
          <w:p w14:paraId="55435581">
            <w:pPr>
              <w:pStyle w:val="11"/>
              <w:numPr>
                <w:ilvl w:val="0"/>
                <w:numId w:val="0"/>
              </w:numPr>
              <w:ind w:firstLine="420" w:firstLineChars="200"/>
              <w:rPr>
                <w:rFonts w:hint="eastAsia" w:eastAsia="仿宋_GB2312"/>
                <w:color w:val="auto"/>
                <w:lang w:val="en-US" w:eastAsia="zh-CN"/>
              </w:rPr>
            </w:pPr>
            <w:r>
              <w:rPr>
                <w:rFonts w:hint="eastAsia" w:ascii="宋体" w:hAnsi="宋体" w:cs="宋体"/>
                <w:color w:val="auto"/>
                <w:kern w:val="0"/>
                <w:szCs w:val="21"/>
              </w:rPr>
              <w:t>……</w:t>
            </w:r>
            <w:r>
              <w:rPr>
                <w:rFonts w:hint="eastAsia"/>
                <w:color w:val="auto"/>
                <w:lang w:val="en-US" w:eastAsia="zh-CN"/>
              </w:rPr>
              <w:t xml:space="preserve"> </w:t>
            </w:r>
          </w:p>
        </w:tc>
        <w:tc>
          <w:tcPr>
            <w:tcW w:w="741" w:type="dxa"/>
            <w:vMerge w:val="restart"/>
            <w:vAlign w:val="center"/>
          </w:tcPr>
          <w:p w14:paraId="6E5D3688">
            <w:pPr>
              <w:widowControl/>
              <w:adjustRightInd w:val="0"/>
              <w:snapToGrid w:val="0"/>
              <w:rPr>
                <w:rFonts w:ascii="宋体" w:hAnsi="宋体" w:cs="宋体"/>
                <w:color w:val="auto"/>
                <w:kern w:val="0"/>
                <w:szCs w:val="21"/>
              </w:rPr>
            </w:pPr>
          </w:p>
        </w:tc>
      </w:tr>
      <w:tr w14:paraId="653F5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161" w:hRule="atLeast"/>
          <w:jc w:val="center"/>
        </w:trPr>
        <w:tc>
          <w:tcPr>
            <w:tcW w:w="522" w:type="dxa"/>
            <w:vMerge w:val="continue"/>
            <w:vAlign w:val="center"/>
          </w:tcPr>
          <w:p w14:paraId="14AD8BFC">
            <w:pPr>
              <w:jc w:val="center"/>
              <w:rPr>
                <w:rFonts w:ascii="宋体" w:hAnsi="宋体" w:cs="宋体"/>
                <w:color w:val="auto"/>
                <w:kern w:val="0"/>
                <w:szCs w:val="21"/>
              </w:rPr>
            </w:pPr>
          </w:p>
        </w:tc>
        <w:tc>
          <w:tcPr>
            <w:tcW w:w="1341" w:type="dxa"/>
            <w:vMerge w:val="continue"/>
            <w:vAlign w:val="center"/>
          </w:tcPr>
          <w:p w14:paraId="6C3ECCF3">
            <w:pPr>
              <w:widowControl/>
              <w:adjustRightInd w:val="0"/>
              <w:snapToGrid w:val="0"/>
              <w:rPr>
                <w:rFonts w:ascii="宋体" w:hAnsi="宋体" w:cs="宋体"/>
                <w:color w:val="auto"/>
                <w:kern w:val="0"/>
                <w:szCs w:val="21"/>
              </w:rPr>
            </w:pPr>
          </w:p>
        </w:tc>
        <w:tc>
          <w:tcPr>
            <w:tcW w:w="1438" w:type="dxa"/>
            <w:vAlign w:val="center"/>
          </w:tcPr>
          <w:p w14:paraId="6EBAE893">
            <w:pPr>
              <w:widowControl/>
              <w:adjustRightInd w:val="0"/>
              <w:snapToGrid w:val="0"/>
              <w:rPr>
                <w:rFonts w:ascii="宋体" w:hAnsi="宋体" w:cs="宋体"/>
                <w:color w:val="auto"/>
                <w:kern w:val="0"/>
                <w:szCs w:val="21"/>
              </w:rPr>
            </w:pPr>
            <w:r>
              <w:rPr>
                <w:rFonts w:hint="eastAsia" w:ascii="宋体" w:hAnsi="宋体" w:cs="宋体"/>
                <w:color w:val="auto"/>
                <w:kern w:val="0"/>
                <w:szCs w:val="21"/>
              </w:rPr>
              <w:t>6.2 高危建设项目安全设施设计审查</w:t>
            </w:r>
          </w:p>
        </w:tc>
        <w:tc>
          <w:tcPr>
            <w:tcW w:w="4795" w:type="dxa"/>
            <w:vAlign w:val="center"/>
          </w:tcPr>
          <w:p w14:paraId="010F1144">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w:t>
            </w:r>
            <w:r>
              <w:rPr>
                <w:rFonts w:hint="eastAsia" w:ascii="宋体" w:hAnsi="宋体" w:cs="宋体"/>
                <w:color w:val="auto"/>
                <w:kern w:val="0"/>
                <w:szCs w:val="21"/>
                <w:lang w:val="en-US" w:eastAsia="zh-CN"/>
              </w:rPr>
              <w:t>第三十三条　建设项目安全设施的设计人、设计单位应当对安全设施设计负责。</w:t>
            </w:r>
          </w:p>
          <w:p w14:paraId="36C3829F">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lang w:val="en-US" w:eastAsia="zh-CN"/>
              </w:rPr>
              <w:t>矿山、金属冶炼建设项目和用于生产、储存、装卸危险物品的建设项目的安全设施设计应当按照国家有关规定报经有关部门审查，审查部门及其负责审查的人员对审查结果负责。</w:t>
            </w:r>
          </w:p>
          <w:p w14:paraId="25CC67EE">
            <w:pPr>
              <w:widowControl/>
              <w:adjustRightInd w:val="0"/>
              <w:snapToGrid w:val="0"/>
              <w:rPr>
                <w:rFonts w:ascii="宋体" w:hAnsi="宋体" w:cs="宋体"/>
                <w:color w:val="auto"/>
                <w:kern w:val="0"/>
                <w:szCs w:val="21"/>
              </w:rPr>
            </w:pPr>
          </w:p>
        </w:tc>
        <w:tc>
          <w:tcPr>
            <w:tcW w:w="7277" w:type="dxa"/>
            <w:vAlign w:val="center"/>
          </w:tcPr>
          <w:p w14:paraId="78483177">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w:t>
            </w:r>
            <w:r>
              <w:rPr>
                <w:rFonts w:hint="eastAsia" w:ascii="宋体" w:hAnsi="宋体" w:cs="宋体"/>
                <w:color w:val="auto"/>
                <w:kern w:val="0"/>
                <w:szCs w:val="21"/>
                <w:lang w:val="en-US" w:eastAsia="zh-CN"/>
              </w:rPr>
              <w:t>第九十八条　生产经营单位有下列行为之一的，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w:t>
            </w:r>
          </w:p>
          <w:p w14:paraId="4B9F415C">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lang w:val="en-US" w:eastAsia="zh-CN"/>
              </w:rPr>
              <w:t>……</w:t>
            </w:r>
          </w:p>
          <w:p w14:paraId="476ABBE0">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lang w:val="en-US" w:eastAsia="zh-CN"/>
              </w:rPr>
              <w:t>（二）矿山、金属冶炼建设项目或者用于生产、储存、装卸危险物品的建设项目没有安全设施设计或者安全设施设计未按照规定报经有关部门审查同意的；</w:t>
            </w:r>
          </w:p>
          <w:p w14:paraId="1809C1CB">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p>
        </w:tc>
        <w:tc>
          <w:tcPr>
            <w:tcW w:w="741" w:type="dxa"/>
            <w:vMerge w:val="continue"/>
            <w:vAlign w:val="center"/>
          </w:tcPr>
          <w:p w14:paraId="53E1AF98">
            <w:pPr>
              <w:widowControl/>
              <w:adjustRightInd w:val="0"/>
              <w:snapToGrid w:val="0"/>
              <w:rPr>
                <w:rFonts w:ascii="宋体" w:hAnsi="宋体" w:cs="宋体"/>
                <w:color w:val="auto"/>
                <w:kern w:val="0"/>
                <w:szCs w:val="21"/>
              </w:rPr>
            </w:pPr>
          </w:p>
        </w:tc>
      </w:tr>
      <w:tr w14:paraId="3F229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613" w:hRule="atLeast"/>
          <w:jc w:val="center"/>
        </w:trPr>
        <w:tc>
          <w:tcPr>
            <w:tcW w:w="522" w:type="dxa"/>
            <w:vMerge w:val="continue"/>
            <w:vAlign w:val="center"/>
          </w:tcPr>
          <w:p w14:paraId="3A2927A1">
            <w:pPr>
              <w:jc w:val="center"/>
              <w:rPr>
                <w:rFonts w:ascii="宋体" w:hAnsi="宋体" w:cs="宋体"/>
                <w:color w:val="auto"/>
                <w:kern w:val="0"/>
                <w:szCs w:val="21"/>
              </w:rPr>
            </w:pPr>
          </w:p>
        </w:tc>
        <w:tc>
          <w:tcPr>
            <w:tcW w:w="1341" w:type="dxa"/>
            <w:vMerge w:val="continue"/>
            <w:vAlign w:val="center"/>
          </w:tcPr>
          <w:p w14:paraId="698D5873">
            <w:pPr>
              <w:widowControl/>
              <w:adjustRightInd w:val="0"/>
              <w:snapToGrid w:val="0"/>
              <w:rPr>
                <w:rFonts w:ascii="宋体" w:hAnsi="宋体" w:cs="宋体"/>
                <w:color w:val="auto"/>
                <w:kern w:val="0"/>
                <w:szCs w:val="21"/>
              </w:rPr>
            </w:pPr>
          </w:p>
        </w:tc>
        <w:tc>
          <w:tcPr>
            <w:tcW w:w="1438" w:type="dxa"/>
            <w:vAlign w:val="center"/>
          </w:tcPr>
          <w:p w14:paraId="0CEA6055">
            <w:pPr>
              <w:widowControl/>
              <w:adjustRightInd w:val="0"/>
              <w:snapToGrid w:val="0"/>
              <w:rPr>
                <w:rFonts w:ascii="宋体" w:hAnsi="宋体" w:cs="宋体"/>
                <w:color w:val="auto"/>
                <w:kern w:val="0"/>
                <w:szCs w:val="21"/>
              </w:rPr>
            </w:pPr>
            <w:r>
              <w:rPr>
                <w:rFonts w:hint="eastAsia" w:ascii="宋体" w:hAnsi="宋体" w:cs="宋体"/>
                <w:color w:val="auto"/>
                <w:kern w:val="0"/>
                <w:szCs w:val="21"/>
              </w:rPr>
              <w:t>6.3 高危建设项目安全设施设计重新审查</w:t>
            </w:r>
          </w:p>
        </w:tc>
        <w:tc>
          <w:tcPr>
            <w:tcW w:w="4795" w:type="dxa"/>
            <w:vAlign w:val="center"/>
          </w:tcPr>
          <w:p w14:paraId="6D57AD07">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《建设项目安全设施“三同时”监督管理办法》第十五条  已经批准的建设项目及其安全设施设计有下列情形之一的，生产经营单位应当报原批准部门审查同意；未经审查同意的，不得开工建设：</w:t>
            </w:r>
          </w:p>
          <w:p w14:paraId="4265F657">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（一）建设项目的规模、生产工艺、原料、设备发生重大变更的；</w:t>
            </w:r>
          </w:p>
          <w:p w14:paraId="479DE867">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（二）改变安全设施设计且可能降低安全性能的；</w:t>
            </w:r>
          </w:p>
          <w:p w14:paraId="4D4DFD9C">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（三）在施工期间重新设计的。</w:t>
            </w:r>
          </w:p>
        </w:tc>
        <w:tc>
          <w:tcPr>
            <w:tcW w:w="7277" w:type="dxa"/>
            <w:vAlign w:val="center"/>
          </w:tcPr>
          <w:p w14:paraId="56A65D38">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《建设项目安全设施“三同时”监督管理办法》第二十九条  已经批准的建设项目安全设施设计发生重大变更，生产经营单位未报原批准部门审查同意擅自开工建设的，责令限期改正，可以并处1万元以上3万元以下的罚款。</w:t>
            </w:r>
          </w:p>
        </w:tc>
        <w:tc>
          <w:tcPr>
            <w:tcW w:w="741" w:type="dxa"/>
            <w:vMerge w:val="continue"/>
            <w:vAlign w:val="center"/>
          </w:tcPr>
          <w:p w14:paraId="0DB5BE8F">
            <w:pPr>
              <w:widowControl/>
              <w:adjustRightInd w:val="0"/>
              <w:snapToGrid w:val="0"/>
              <w:rPr>
                <w:rFonts w:ascii="宋体" w:hAnsi="宋体" w:cs="宋体"/>
                <w:color w:val="auto"/>
                <w:kern w:val="0"/>
                <w:szCs w:val="21"/>
              </w:rPr>
            </w:pPr>
          </w:p>
        </w:tc>
      </w:tr>
      <w:tr w14:paraId="0F3F4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035" w:hRule="atLeast"/>
          <w:jc w:val="center"/>
        </w:trPr>
        <w:tc>
          <w:tcPr>
            <w:tcW w:w="522" w:type="dxa"/>
            <w:vMerge w:val="continue"/>
            <w:vAlign w:val="center"/>
          </w:tcPr>
          <w:p w14:paraId="2B4748D6">
            <w:pPr>
              <w:jc w:val="center"/>
              <w:rPr>
                <w:rFonts w:ascii="宋体" w:hAnsi="宋体" w:cs="宋体"/>
                <w:color w:val="auto"/>
                <w:kern w:val="0"/>
                <w:szCs w:val="21"/>
              </w:rPr>
            </w:pPr>
          </w:p>
        </w:tc>
        <w:tc>
          <w:tcPr>
            <w:tcW w:w="1341" w:type="dxa"/>
            <w:vMerge w:val="continue"/>
            <w:vAlign w:val="center"/>
          </w:tcPr>
          <w:p w14:paraId="3A745DB2">
            <w:pPr>
              <w:widowControl/>
              <w:adjustRightInd w:val="0"/>
              <w:snapToGrid w:val="0"/>
              <w:rPr>
                <w:rFonts w:ascii="宋体" w:hAnsi="宋体" w:cs="宋体"/>
                <w:color w:val="auto"/>
                <w:kern w:val="0"/>
                <w:szCs w:val="21"/>
              </w:rPr>
            </w:pPr>
          </w:p>
        </w:tc>
        <w:tc>
          <w:tcPr>
            <w:tcW w:w="1438" w:type="dxa"/>
            <w:vAlign w:val="center"/>
          </w:tcPr>
          <w:p w14:paraId="5CAFFF30">
            <w:pPr>
              <w:widowControl/>
              <w:adjustRightInd w:val="0"/>
              <w:snapToGrid w:val="0"/>
              <w:rPr>
                <w:rFonts w:ascii="宋体" w:hAnsi="宋体" w:cs="宋体"/>
                <w:color w:val="auto"/>
                <w:kern w:val="0"/>
                <w:szCs w:val="21"/>
              </w:rPr>
            </w:pPr>
            <w:r>
              <w:rPr>
                <w:rFonts w:hint="eastAsia" w:ascii="宋体" w:hAnsi="宋体" w:cs="宋体"/>
                <w:color w:val="auto"/>
                <w:kern w:val="0"/>
                <w:szCs w:val="21"/>
              </w:rPr>
              <w:t>6.4 高危建设项目安全设施按照批准的设计施工</w:t>
            </w:r>
          </w:p>
        </w:tc>
        <w:tc>
          <w:tcPr>
            <w:tcW w:w="4795" w:type="dxa"/>
            <w:vAlign w:val="center"/>
          </w:tcPr>
          <w:p w14:paraId="09FDA9C5">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w:t>
            </w:r>
            <w:r>
              <w:rPr>
                <w:rFonts w:hint="eastAsia" w:ascii="宋体" w:hAnsi="宋体" w:cs="宋体"/>
                <w:color w:val="auto"/>
                <w:kern w:val="0"/>
                <w:szCs w:val="21"/>
                <w:lang w:val="en-US" w:eastAsia="zh-CN"/>
              </w:rPr>
              <w:t>第三十四条　矿山、金属冶炼建设项目和用于生产、储存、装卸危险物品的建设项目的施工单位必须按照批准的安全设施设计施工，并对安全设施的工程质量负责。</w:t>
            </w:r>
          </w:p>
          <w:p w14:paraId="51EC2368">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p>
        </w:tc>
        <w:tc>
          <w:tcPr>
            <w:tcW w:w="7277" w:type="dxa"/>
            <w:vAlign w:val="center"/>
          </w:tcPr>
          <w:p w14:paraId="6D4F0029">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w:t>
            </w:r>
            <w:r>
              <w:rPr>
                <w:rFonts w:hint="eastAsia" w:ascii="宋体" w:hAnsi="宋体" w:cs="宋体"/>
                <w:color w:val="auto"/>
                <w:kern w:val="0"/>
                <w:szCs w:val="21"/>
                <w:lang w:val="en-US" w:eastAsia="zh-CN"/>
              </w:rPr>
              <w:t>第九十八条　生产经营单位有下列行为之一的，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w:t>
            </w:r>
          </w:p>
          <w:p w14:paraId="2CE324D2">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w:t>
            </w:r>
          </w:p>
          <w:p w14:paraId="485C73A8">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（三）矿山、金属冶炼建设项目或者用于生产、储存、装卸危险物品的建设项目的施工单位未按照批准的安全设施设计施工的；</w:t>
            </w:r>
          </w:p>
          <w:p w14:paraId="2D037D8D">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p>
        </w:tc>
        <w:tc>
          <w:tcPr>
            <w:tcW w:w="741" w:type="dxa"/>
            <w:vMerge w:val="continue"/>
            <w:vAlign w:val="center"/>
          </w:tcPr>
          <w:p w14:paraId="55B40328">
            <w:pPr>
              <w:widowControl/>
              <w:adjustRightInd w:val="0"/>
              <w:snapToGrid w:val="0"/>
              <w:rPr>
                <w:rFonts w:ascii="宋体" w:hAnsi="宋体" w:cs="宋体"/>
                <w:color w:val="auto"/>
                <w:kern w:val="0"/>
                <w:szCs w:val="21"/>
              </w:rPr>
            </w:pPr>
          </w:p>
        </w:tc>
      </w:tr>
      <w:tr w14:paraId="2942E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1195" w:hRule="atLeast"/>
          <w:jc w:val="center"/>
        </w:trPr>
        <w:tc>
          <w:tcPr>
            <w:tcW w:w="522" w:type="dxa"/>
            <w:vMerge w:val="restart"/>
            <w:vAlign w:val="center"/>
          </w:tcPr>
          <w:p w14:paraId="5B87A5B3">
            <w:pPr>
              <w:jc w:val="center"/>
              <w:rPr>
                <w:rFonts w:ascii="宋体" w:hAnsi="宋体" w:cs="宋体"/>
                <w:color w:val="auto"/>
                <w:kern w:val="0"/>
                <w:szCs w:val="21"/>
              </w:rPr>
            </w:pPr>
          </w:p>
        </w:tc>
        <w:tc>
          <w:tcPr>
            <w:tcW w:w="1341" w:type="dxa"/>
            <w:vMerge w:val="continue"/>
            <w:vAlign w:val="center"/>
          </w:tcPr>
          <w:p w14:paraId="710DB730">
            <w:pPr>
              <w:widowControl/>
              <w:adjustRightInd w:val="0"/>
              <w:snapToGrid w:val="0"/>
              <w:rPr>
                <w:rFonts w:ascii="宋体" w:hAnsi="宋体" w:cs="宋体"/>
                <w:color w:val="auto"/>
                <w:kern w:val="0"/>
                <w:szCs w:val="21"/>
              </w:rPr>
            </w:pPr>
          </w:p>
        </w:tc>
        <w:tc>
          <w:tcPr>
            <w:tcW w:w="1438" w:type="dxa"/>
            <w:vAlign w:val="center"/>
          </w:tcPr>
          <w:p w14:paraId="6FD4A105">
            <w:pPr>
              <w:widowControl/>
              <w:adjustRightInd w:val="0"/>
              <w:snapToGrid w:val="0"/>
              <w:rPr>
                <w:rFonts w:ascii="宋体" w:hAnsi="宋体" w:cs="宋体"/>
                <w:color w:val="auto"/>
                <w:kern w:val="0"/>
                <w:szCs w:val="21"/>
              </w:rPr>
            </w:pPr>
            <w:r>
              <w:rPr>
                <w:rFonts w:hint="eastAsia" w:ascii="宋体" w:hAnsi="宋体" w:cs="宋体"/>
                <w:color w:val="auto"/>
                <w:kern w:val="0"/>
                <w:szCs w:val="21"/>
              </w:rPr>
              <w:t>6.5 高危建设项目安全设施竣工验收</w:t>
            </w:r>
          </w:p>
        </w:tc>
        <w:tc>
          <w:tcPr>
            <w:tcW w:w="4795" w:type="dxa"/>
            <w:vAlign w:val="center"/>
          </w:tcPr>
          <w:p w14:paraId="5A0D764B">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》第三十</w:t>
            </w:r>
            <w:r>
              <w:rPr>
                <w:rFonts w:hint="eastAsia" w:ascii="宋体" w:hAnsi="宋体" w:cs="宋体"/>
                <w:color w:val="auto"/>
                <w:kern w:val="0"/>
                <w:szCs w:val="21"/>
                <w:lang w:eastAsia="zh-CN"/>
              </w:rPr>
              <w:t>四</w:t>
            </w:r>
            <w:r>
              <w:rPr>
                <w:rFonts w:hint="eastAsia" w:ascii="宋体" w:hAnsi="宋体" w:cs="宋体"/>
                <w:color w:val="auto"/>
                <w:kern w:val="0"/>
                <w:szCs w:val="21"/>
              </w:rPr>
              <w:t>条：  ……</w:t>
            </w:r>
          </w:p>
          <w:p w14:paraId="0E7633D1">
            <w:pPr>
              <w:widowControl/>
              <w:adjustRightInd w:val="0"/>
              <w:snapToGrid w:val="0"/>
              <w:ind w:firstLine="420" w:firstLineChars="200"/>
              <w:rPr>
                <w:rFonts w:ascii="宋体" w:hAnsi="宋体" w:cs="宋体"/>
                <w:color w:val="auto"/>
                <w:kern w:val="0"/>
                <w:szCs w:val="21"/>
              </w:rPr>
            </w:pPr>
            <w:r>
              <w:rPr>
                <w:rFonts w:ascii="宋体" w:hAnsi="宋体" w:cs="宋体"/>
                <w:color w:val="auto"/>
                <w:kern w:val="0"/>
                <w:szCs w:val="21"/>
                <w:lang w:val="en-US" w:eastAsia="zh-CN"/>
              </w:rPr>
              <w:t>矿山、金属冶炼建设项目和用于生产、储存、装卸危险物品的建设项目竣工投入生产或者使用前，应当由建设单位负责组织对安全设施进行验收；验收合格后，方可投入生产和使用。负有安全生产监督管理职责的部门应当加强对建设单位验收活动和验收结果的监督核查。</w:t>
            </w:r>
          </w:p>
          <w:p w14:paraId="31523526">
            <w:pPr>
              <w:widowControl/>
              <w:adjustRightInd w:val="0"/>
              <w:snapToGrid w:val="0"/>
              <w:ind w:firstLine="420" w:firstLineChars="200"/>
              <w:rPr>
                <w:rFonts w:ascii="宋体" w:hAnsi="宋体" w:cs="宋体"/>
                <w:color w:val="auto"/>
                <w:kern w:val="0"/>
                <w:szCs w:val="21"/>
              </w:rPr>
            </w:pPr>
          </w:p>
        </w:tc>
        <w:tc>
          <w:tcPr>
            <w:tcW w:w="7277" w:type="dxa"/>
            <w:vAlign w:val="center"/>
          </w:tcPr>
          <w:p w14:paraId="69C29E17">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w:t>
            </w:r>
            <w:r>
              <w:rPr>
                <w:rFonts w:hint="eastAsia" w:ascii="宋体" w:hAnsi="宋体" w:cs="宋体"/>
                <w:color w:val="auto"/>
                <w:kern w:val="0"/>
                <w:szCs w:val="21"/>
                <w:lang w:val="en-US" w:eastAsia="zh-CN"/>
              </w:rPr>
              <w:t>第九十八条　生产经营单位有下列行为之一的，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w:t>
            </w:r>
          </w:p>
          <w:p w14:paraId="0AF82421">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p>
          <w:p w14:paraId="32657E7B">
            <w:pPr>
              <w:widowControl/>
              <w:adjustRightInd w:val="0"/>
              <w:snapToGrid w:val="0"/>
              <w:ind w:firstLine="420" w:firstLineChars="200"/>
              <w:rPr>
                <w:rFonts w:ascii="宋体" w:hAnsi="宋体" w:cs="宋体"/>
                <w:color w:val="auto"/>
                <w:kern w:val="0"/>
                <w:szCs w:val="21"/>
              </w:rPr>
            </w:pPr>
            <w:r>
              <w:rPr>
                <w:rFonts w:ascii="宋体" w:hAnsi="宋体" w:cs="宋体"/>
                <w:color w:val="auto"/>
                <w:kern w:val="0"/>
                <w:szCs w:val="21"/>
                <w:lang w:val="en-US" w:eastAsia="zh-CN"/>
              </w:rPr>
              <w:t>（四）矿山、金属冶炼建设项目或者用于生产、储存、装卸危险物品的建设项目竣工投入生产或者使用前，安全设施未经验收合格的。</w:t>
            </w:r>
          </w:p>
        </w:tc>
        <w:tc>
          <w:tcPr>
            <w:tcW w:w="741" w:type="dxa"/>
            <w:vAlign w:val="center"/>
          </w:tcPr>
          <w:p w14:paraId="24C43F8C">
            <w:pPr>
              <w:widowControl/>
              <w:adjustRightInd w:val="0"/>
              <w:snapToGrid w:val="0"/>
              <w:rPr>
                <w:rFonts w:ascii="宋体" w:hAnsi="宋体" w:cs="宋体"/>
                <w:color w:val="auto"/>
                <w:kern w:val="0"/>
                <w:szCs w:val="21"/>
              </w:rPr>
            </w:pPr>
          </w:p>
        </w:tc>
      </w:tr>
      <w:tr w14:paraId="0D058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616" w:hRule="atLeast"/>
          <w:jc w:val="center"/>
        </w:trPr>
        <w:tc>
          <w:tcPr>
            <w:tcW w:w="522" w:type="dxa"/>
            <w:vMerge w:val="continue"/>
            <w:vAlign w:val="center"/>
          </w:tcPr>
          <w:p w14:paraId="750608FE">
            <w:pPr>
              <w:jc w:val="center"/>
              <w:rPr>
                <w:rFonts w:ascii="宋体" w:hAnsi="宋体" w:cs="宋体"/>
                <w:color w:val="auto"/>
                <w:kern w:val="0"/>
                <w:szCs w:val="21"/>
              </w:rPr>
            </w:pPr>
          </w:p>
        </w:tc>
        <w:tc>
          <w:tcPr>
            <w:tcW w:w="1341" w:type="dxa"/>
            <w:vMerge w:val="continue"/>
            <w:vAlign w:val="center"/>
          </w:tcPr>
          <w:p w14:paraId="50079EBC">
            <w:pPr>
              <w:widowControl/>
              <w:adjustRightInd w:val="0"/>
              <w:snapToGrid w:val="0"/>
              <w:rPr>
                <w:rFonts w:ascii="宋体" w:hAnsi="宋体" w:cs="宋体"/>
                <w:color w:val="auto"/>
                <w:kern w:val="0"/>
                <w:szCs w:val="21"/>
              </w:rPr>
            </w:pPr>
          </w:p>
        </w:tc>
        <w:tc>
          <w:tcPr>
            <w:tcW w:w="1438" w:type="dxa"/>
            <w:vAlign w:val="center"/>
          </w:tcPr>
          <w:p w14:paraId="18E4D9E1">
            <w:pPr>
              <w:widowControl/>
              <w:adjustRightInd w:val="0"/>
              <w:snapToGrid w:val="0"/>
              <w:rPr>
                <w:rFonts w:ascii="宋体" w:hAnsi="宋体" w:cs="宋体"/>
                <w:color w:val="auto"/>
                <w:kern w:val="0"/>
                <w:szCs w:val="21"/>
              </w:rPr>
            </w:pPr>
            <w:r>
              <w:rPr>
                <w:rFonts w:hint="eastAsia" w:ascii="宋体" w:hAnsi="宋体" w:cs="宋体"/>
                <w:color w:val="auto"/>
                <w:kern w:val="0"/>
                <w:szCs w:val="21"/>
              </w:rPr>
              <w:t>6.6 其他建设项目安全设施“三同时”</w:t>
            </w:r>
          </w:p>
        </w:tc>
        <w:tc>
          <w:tcPr>
            <w:tcW w:w="4795" w:type="dxa"/>
            <w:vAlign w:val="center"/>
          </w:tcPr>
          <w:p w14:paraId="72127FDB">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《建设项目安全设施“三同时”监督管理办法》第七条  下列建设项目在进行可行性研究时，生产经营单位应当按照国家规定，进行安全预评价：</w:t>
            </w:r>
          </w:p>
          <w:p w14:paraId="007E5DE0">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（一）非煤矿矿山建设项目；</w:t>
            </w:r>
          </w:p>
          <w:p w14:paraId="5761DC2A">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（二）生产、储存危险化学品（包括使用长输管道输送危险化学品，下同）的建设项目；</w:t>
            </w:r>
          </w:p>
          <w:p w14:paraId="727105B5">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（三）生产、储存烟花爆竹的建设项目；</w:t>
            </w:r>
          </w:p>
          <w:p w14:paraId="3185B49F">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（四）金属冶炼建设项目；</w:t>
            </w:r>
          </w:p>
          <w:p w14:paraId="4943C037">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（五）使用危险化学品从事生产并且使用量达到规定数量的化工建设项目（属于危险化学品生产的除外，下同）；</w:t>
            </w:r>
          </w:p>
          <w:p w14:paraId="71E6CE29">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（六）法律、行政法规和国务院规定的其他建设项目。</w:t>
            </w:r>
          </w:p>
        </w:tc>
        <w:tc>
          <w:tcPr>
            <w:tcW w:w="7277" w:type="dxa"/>
            <w:vAlign w:val="center"/>
          </w:tcPr>
          <w:p w14:paraId="0CEE792C">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《建设项目安全设施“三同时”监督管理办法》第三十条  本办法第七条第（一）项、第（二）项、第（三）项和第（四）项规定以外的建设项目有下列情形之一的，对有关生产经营单位责令限期改正，可以并处5000元以上3万元以下的罚款：</w:t>
            </w:r>
          </w:p>
          <w:p w14:paraId="3354F264">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（一）没有安全设施设计的；</w:t>
            </w:r>
          </w:p>
          <w:p w14:paraId="01504B23">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（二）安全设施设计未组织审查，并形成书面审查报告的；</w:t>
            </w:r>
          </w:p>
          <w:p w14:paraId="120F2F69">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（三）施工单位未按照安全设施设计施工的；</w:t>
            </w:r>
          </w:p>
          <w:p w14:paraId="63A163B3">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（四）投入生产或者使用前，安全设施未经竣工验收合格，并形成书面报告的。</w:t>
            </w:r>
          </w:p>
        </w:tc>
        <w:tc>
          <w:tcPr>
            <w:tcW w:w="741" w:type="dxa"/>
            <w:vAlign w:val="center"/>
          </w:tcPr>
          <w:p w14:paraId="4749F828">
            <w:pPr>
              <w:widowControl/>
              <w:adjustRightInd w:val="0"/>
              <w:snapToGrid w:val="0"/>
              <w:rPr>
                <w:rFonts w:ascii="宋体" w:hAnsi="宋体" w:cs="宋体"/>
                <w:color w:val="auto"/>
                <w:kern w:val="0"/>
                <w:szCs w:val="21"/>
              </w:rPr>
            </w:pPr>
          </w:p>
        </w:tc>
      </w:tr>
      <w:tr w14:paraId="6F7B7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329" w:hRule="atLeast"/>
          <w:jc w:val="center"/>
        </w:trPr>
        <w:tc>
          <w:tcPr>
            <w:tcW w:w="522" w:type="dxa"/>
            <w:vAlign w:val="center"/>
          </w:tcPr>
          <w:p w14:paraId="56DB4E97">
            <w:pPr>
              <w:jc w:val="center"/>
              <w:rPr>
                <w:rFonts w:ascii="宋体" w:hAnsi="宋体" w:cs="宋体"/>
                <w:color w:val="auto"/>
                <w:kern w:val="0"/>
                <w:szCs w:val="21"/>
              </w:rPr>
            </w:pPr>
            <w:r>
              <w:rPr>
                <w:rFonts w:hint="eastAsia" w:ascii="宋体" w:hAnsi="宋体" w:cs="宋体"/>
                <w:color w:val="auto"/>
                <w:kern w:val="0"/>
                <w:szCs w:val="21"/>
              </w:rPr>
              <w:t>7</w:t>
            </w:r>
          </w:p>
        </w:tc>
        <w:tc>
          <w:tcPr>
            <w:tcW w:w="1341" w:type="dxa"/>
            <w:vAlign w:val="center"/>
          </w:tcPr>
          <w:p w14:paraId="1B320D43">
            <w:pPr>
              <w:widowControl/>
              <w:adjustRightInd w:val="0"/>
              <w:snapToGrid w:val="0"/>
              <w:rPr>
                <w:rFonts w:ascii="宋体" w:hAnsi="宋体" w:cs="宋体"/>
                <w:color w:val="auto"/>
                <w:kern w:val="0"/>
                <w:szCs w:val="21"/>
              </w:rPr>
            </w:pPr>
            <w:r>
              <w:rPr>
                <w:rFonts w:hint="eastAsia" w:ascii="宋体" w:hAnsi="宋体" w:cs="宋体"/>
                <w:color w:val="auto"/>
                <w:kern w:val="0"/>
                <w:szCs w:val="21"/>
              </w:rPr>
              <w:t>安全警示标志情况</w:t>
            </w:r>
          </w:p>
        </w:tc>
        <w:tc>
          <w:tcPr>
            <w:tcW w:w="1438" w:type="dxa"/>
            <w:vAlign w:val="center"/>
          </w:tcPr>
          <w:p w14:paraId="7AB019B1">
            <w:pPr>
              <w:widowControl/>
              <w:adjustRightInd w:val="0"/>
              <w:snapToGrid w:val="0"/>
              <w:rPr>
                <w:rFonts w:ascii="宋体" w:hAnsi="宋体" w:cs="宋体"/>
                <w:color w:val="auto"/>
                <w:kern w:val="0"/>
                <w:szCs w:val="21"/>
              </w:rPr>
            </w:pPr>
            <w:r>
              <w:rPr>
                <w:rFonts w:hint="eastAsia" w:ascii="宋体" w:hAnsi="宋体" w:cs="宋体"/>
                <w:color w:val="auto"/>
                <w:kern w:val="0"/>
                <w:szCs w:val="21"/>
              </w:rPr>
              <w:t>在有较大危险因素的场所和有关设施、设备上设置安全警示标志</w:t>
            </w:r>
          </w:p>
        </w:tc>
        <w:tc>
          <w:tcPr>
            <w:tcW w:w="4795" w:type="dxa"/>
            <w:vAlign w:val="center"/>
          </w:tcPr>
          <w:p w14:paraId="57CF5183">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w:t>
            </w:r>
            <w:r>
              <w:rPr>
                <w:rFonts w:hint="eastAsia" w:ascii="宋体" w:hAnsi="宋体" w:cs="宋体"/>
                <w:color w:val="auto"/>
                <w:kern w:val="0"/>
                <w:szCs w:val="21"/>
                <w:lang w:val="en-US" w:eastAsia="zh-CN"/>
              </w:rPr>
              <w:t>第三十五条　生产经营单位应当在有较大危险因素的生产经营场所和有关设施、设备上，设置明显的安全警示标志。</w:t>
            </w:r>
          </w:p>
          <w:p w14:paraId="074E9FF1">
            <w:pPr>
              <w:widowControl/>
              <w:adjustRightInd w:val="0"/>
              <w:snapToGrid w:val="0"/>
              <w:ind w:firstLine="420" w:firstLineChars="200"/>
              <w:rPr>
                <w:rFonts w:ascii="宋体" w:hAnsi="宋体" w:cs="宋体"/>
                <w:color w:val="auto"/>
                <w:kern w:val="0"/>
                <w:szCs w:val="21"/>
              </w:rPr>
            </w:pPr>
          </w:p>
        </w:tc>
        <w:tc>
          <w:tcPr>
            <w:tcW w:w="7277" w:type="dxa"/>
            <w:vAlign w:val="center"/>
          </w:tcPr>
          <w:p w14:paraId="4024F7C3">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w:t>
            </w:r>
            <w:r>
              <w:rPr>
                <w:rFonts w:hint="eastAsia" w:ascii="宋体" w:hAnsi="宋体" w:cs="宋体"/>
                <w:color w:val="auto"/>
                <w:kern w:val="0"/>
                <w:szCs w:val="21"/>
                <w:lang w:val="en-US" w:eastAsia="zh-CN"/>
              </w:rPr>
              <w:t>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14:paraId="611C61FE">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lang w:val="en-US" w:eastAsia="zh-CN"/>
              </w:rPr>
              <w:t>（一）未在有较大危险因素的生产经营场所和有关设施、设备上设置明显的安全警示标志的；</w:t>
            </w:r>
          </w:p>
          <w:p w14:paraId="1EC4AA53">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p>
        </w:tc>
        <w:tc>
          <w:tcPr>
            <w:tcW w:w="741" w:type="dxa"/>
            <w:vAlign w:val="center"/>
          </w:tcPr>
          <w:p w14:paraId="70C5C2C1">
            <w:pPr>
              <w:widowControl/>
              <w:adjustRightInd w:val="0"/>
              <w:snapToGrid w:val="0"/>
              <w:rPr>
                <w:rFonts w:ascii="宋体" w:hAnsi="宋体" w:cs="宋体"/>
                <w:color w:val="auto"/>
                <w:kern w:val="0"/>
                <w:szCs w:val="21"/>
              </w:rPr>
            </w:pPr>
          </w:p>
        </w:tc>
      </w:tr>
      <w:tr w14:paraId="7F5D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90" w:hRule="atLeast"/>
          <w:jc w:val="center"/>
        </w:trPr>
        <w:tc>
          <w:tcPr>
            <w:tcW w:w="522" w:type="dxa"/>
            <w:vMerge w:val="restart"/>
            <w:vAlign w:val="center"/>
          </w:tcPr>
          <w:p w14:paraId="5FB7671A">
            <w:pPr>
              <w:jc w:val="center"/>
              <w:rPr>
                <w:rFonts w:ascii="宋体" w:hAnsi="宋体" w:cs="宋体"/>
                <w:color w:val="auto"/>
                <w:kern w:val="0"/>
                <w:szCs w:val="21"/>
              </w:rPr>
            </w:pPr>
            <w:r>
              <w:rPr>
                <w:rFonts w:hint="eastAsia" w:ascii="宋体" w:hAnsi="宋体" w:cs="宋体"/>
                <w:color w:val="auto"/>
                <w:kern w:val="0"/>
                <w:szCs w:val="21"/>
              </w:rPr>
              <w:t>8</w:t>
            </w:r>
          </w:p>
        </w:tc>
        <w:tc>
          <w:tcPr>
            <w:tcW w:w="1341" w:type="dxa"/>
            <w:vMerge w:val="restart"/>
            <w:vAlign w:val="center"/>
          </w:tcPr>
          <w:p w14:paraId="5B72B077">
            <w:pPr>
              <w:widowControl/>
              <w:adjustRightInd w:val="0"/>
              <w:snapToGrid w:val="0"/>
              <w:rPr>
                <w:rFonts w:ascii="宋体" w:hAnsi="宋体" w:cs="宋体"/>
                <w:color w:val="auto"/>
                <w:kern w:val="0"/>
                <w:szCs w:val="21"/>
              </w:rPr>
            </w:pPr>
            <w:r>
              <w:rPr>
                <w:rFonts w:hint="eastAsia" w:ascii="宋体" w:hAnsi="宋体" w:cs="宋体"/>
                <w:color w:val="auto"/>
                <w:kern w:val="0"/>
                <w:szCs w:val="21"/>
              </w:rPr>
              <w:t>安全设备情况</w:t>
            </w:r>
          </w:p>
        </w:tc>
        <w:tc>
          <w:tcPr>
            <w:tcW w:w="1438" w:type="dxa"/>
            <w:vAlign w:val="center"/>
          </w:tcPr>
          <w:p w14:paraId="1568DEE3">
            <w:pPr>
              <w:widowControl/>
              <w:adjustRightInd w:val="0"/>
              <w:snapToGrid w:val="0"/>
              <w:rPr>
                <w:rFonts w:ascii="宋体" w:hAnsi="宋体" w:cs="宋体"/>
                <w:color w:val="auto"/>
                <w:kern w:val="0"/>
                <w:szCs w:val="21"/>
              </w:rPr>
            </w:pPr>
            <w:r>
              <w:rPr>
                <w:rFonts w:hint="eastAsia" w:ascii="宋体" w:hAnsi="宋体" w:cs="宋体"/>
                <w:color w:val="auto"/>
                <w:kern w:val="0"/>
                <w:szCs w:val="21"/>
              </w:rPr>
              <w:t>8.1 安全设备安装、使用、报废</w:t>
            </w:r>
          </w:p>
        </w:tc>
        <w:tc>
          <w:tcPr>
            <w:tcW w:w="4795" w:type="dxa"/>
            <w:vAlign w:val="center"/>
          </w:tcPr>
          <w:p w14:paraId="5FB93D92">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w:t>
            </w:r>
            <w:r>
              <w:rPr>
                <w:rFonts w:hint="eastAsia" w:ascii="宋体" w:hAnsi="宋体" w:cs="宋体"/>
                <w:color w:val="auto"/>
                <w:kern w:val="0"/>
                <w:szCs w:val="21"/>
                <w:lang w:val="en-US" w:eastAsia="zh-CN"/>
              </w:rPr>
              <w:t>第三十六条　安全设备的设计、制造、安装、使用、检测、维修、改造和报废，应当符合国家标准或者行业标准。</w:t>
            </w:r>
          </w:p>
          <w:p w14:paraId="78319A27">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p>
        </w:tc>
        <w:tc>
          <w:tcPr>
            <w:tcW w:w="7277" w:type="dxa"/>
            <w:vAlign w:val="center"/>
          </w:tcPr>
          <w:p w14:paraId="29E5CE55">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w:t>
            </w:r>
            <w:r>
              <w:rPr>
                <w:rFonts w:hint="eastAsia" w:ascii="宋体" w:hAnsi="宋体" w:cs="宋体"/>
                <w:color w:val="auto"/>
                <w:kern w:val="0"/>
                <w:szCs w:val="21"/>
                <w:lang w:val="en-US" w:eastAsia="zh-CN"/>
              </w:rPr>
              <w:t>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14:paraId="747EDDFF">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w:t>
            </w:r>
          </w:p>
          <w:p w14:paraId="24B8AE91">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lang w:val="en-US" w:eastAsia="zh-CN"/>
              </w:rPr>
              <w:t>（二）安全设备的安装、使用、检测、改造和报废不符合国家标准或者行业标准的；</w:t>
            </w:r>
          </w:p>
          <w:p w14:paraId="61E6F6FB">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p>
        </w:tc>
        <w:tc>
          <w:tcPr>
            <w:tcW w:w="741" w:type="dxa"/>
            <w:vMerge w:val="restart"/>
            <w:vAlign w:val="center"/>
          </w:tcPr>
          <w:p w14:paraId="33AE89E9">
            <w:pPr>
              <w:widowControl/>
              <w:adjustRightInd w:val="0"/>
              <w:snapToGrid w:val="0"/>
              <w:rPr>
                <w:rFonts w:ascii="宋体" w:hAnsi="宋体" w:cs="宋体"/>
                <w:color w:val="auto"/>
                <w:kern w:val="0"/>
                <w:szCs w:val="21"/>
              </w:rPr>
            </w:pPr>
          </w:p>
        </w:tc>
      </w:tr>
      <w:tr w14:paraId="43C80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795" w:hRule="atLeast"/>
          <w:jc w:val="center"/>
        </w:trPr>
        <w:tc>
          <w:tcPr>
            <w:tcW w:w="522" w:type="dxa"/>
            <w:vMerge w:val="continue"/>
            <w:vAlign w:val="center"/>
          </w:tcPr>
          <w:p w14:paraId="695EB3C2">
            <w:pPr>
              <w:jc w:val="center"/>
              <w:rPr>
                <w:rFonts w:ascii="宋体" w:hAnsi="宋体" w:cs="宋体"/>
                <w:color w:val="auto"/>
                <w:kern w:val="0"/>
                <w:szCs w:val="21"/>
              </w:rPr>
            </w:pPr>
          </w:p>
        </w:tc>
        <w:tc>
          <w:tcPr>
            <w:tcW w:w="1341" w:type="dxa"/>
            <w:vMerge w:val="continue"/>
            <w:vAlign w:val="center"/>
          </w:tcPr>
          <w:p w14:paraId="47D7070C">
            <w:pPr>
              <w:widowControl/>
              <w:adjustRightInd w:val="0"/>
              <w:snapToGrid w:val="0"/>
              <w:rPr>
                <w:rFonts w:ascii="宋体" w:hAnsi="宋体" w:cs="宋体"/>
                <w:color w:val="auto"/>
                <w:kern w:val="0"/>
                <w:szCs w:val="21"/>
              </w:rPr>
            </w:pPr>
          </w:p>
        </w:tc>
        <w:tc>
          <w:tcPr>
            <w:tcW w:w="1438" w:type="dxa"/>
            <w:vAlign w:val="center"/>
          </w:tcPr>
          <w:p w14:paraId="1AD59327">
            <w:pPr>
              <w:widowControl/>
              <w:adjustRightInd w:val="0"/>
              <w:snapToGrid w:val="0"/>
              <w:rPr>
                <w:rFonts w:ascii="宋体" w:hAnsi="宋体" w:cs="宋体"/>
                <w:color w:val="auto"/>
                <w:kern w:val="0"/>
                <w:szCs w:val="21"/>
              </w:rPr>
            </w:pPr>
            <w:r>
              <w:rPr>
                <w:rFonts w:hint="eastAsia" w:ascii="宋体" w:hAnsi="宋体" w:cs="宋体"/>
                <w:color w:val="auto"/>
                <w:kern w:val="0"/>
                <w:szCs w:val="21"/>
              </w:rPr>
              <w:t>8.2 安全设备维护、保养、检测</w:t>
            </w:r>
          </w:p>
        </w:tc>
        <w:tc>
          <w:tcPr>
            <w:tcW w:w="4795" w:type="dxa"/>
            <w:vAlign w:val="center"/>
          </w:tcPr>
          <w:p w14:paraId="6C0B9BE2">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》第三十</w:t>
            </w:r>
            <w:r>
              <w:rPr>
                <w:rFonts w:hint="eastAsia" w:ascii="宋体" w:hAnsi="宋体" w:cs="宋体"/>
                <w:color w:val="auto"/>
                <w:kern w:val="0"/>
                <w:szCs w:val="21"/>
                <w:lang w:eastAsia="zh-CN"/>
              </w:rPr>
              <w:t>六</w:t>
            </w:r>
            <w:r>
              <w:rPr>
                <w:rFonts w:hint="eastAsia" w:ascii="宋体" w:hAnsi="宋体" w:cs="宋体"/>
                <w:color w:val="auto"/>
                <w:kern w:val="0"/>
                <w:szCs w:val="21"/>
              </w:rPr>
              <w:t>条  ……</w:t>
            </w:r>
          </w:p>
          <w:p w14:paraId="21DCCEE4">
            <w:pPr>
              <w:widowControl/>
              <w:adjustRightInd w:val="0"/>
              <w:snapToGrid w:val="0"/>
              <w:ind w:firstLine="420" w:firstLineChars="200"/>
              <w:rPr>
                <w:rFonts w:ascii="宋体" w:hAnsi="宋体" w:cs="宋体"/>
                <w:color w:val="auto"/>
                <w:kern w:val="0"/>
                <w:szCs w:val="21"/>
              </w:rPr>
            </w:pPr>
            <w:r>
              <w:rPr>
                <w:rFonts w:ascii="宋体" w:hAnsi="宋体" w:cs="宋体"/>
                <w:color w:val="auto"/>
                <w:kern w:val="0"/>
                <w:szCs w:val="21"/>
                <w:lang w:val="en-US" w:eastAsia="zh-CN"/>
              </w:rPr>
              <w:t>生产经营单位必须对安全设备进行经常性维护、保养，并定期检测，保证正常运转。维护、保养、检测应当作好记录，并由有关人员签字。</w:t>
            </w:r>
          </w:p>
          <w:p w14:paraId="2C14D5C8">
            <w:pPr>
              <w:widowControl/>
              <w:adjustRightInd w:val="0"/>
              <w:snapToGrid w:val="0"/>
              <w:ind w:firstLine="420" w:firstLineChars="200"/>
              <w:rPr>
                <w:rFonts w:ascii="宋体" w:hAnsi="宋体" w:cs="宋体"/>
                <w:color w:val="auto"/>
                <w:kern w:val="0"/>
                <w:szCs w:val="21"/>
              </w:rPr>
            </w:pPr>
          </w:p>
        </w:tc>
        <w:tc>
          <w:tcPr>
            <w:tcW w:w="7277" w:type="dxa"/>
            <w:vAlign w:val="center"/>
          </w:tcPr>
          <w:p w14:paraId="716440C6">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w:t>
            </w:r>
            <w:r>
              <w:rPr>
                <w:rFonts w:hint="eastAsia" w:ascii="宋体" w:hAnsi="宋体" w:cs="宋体"/>
                <w:color w:val="auto"/>
                <w:kern w:val="0"/>
                <w:szCs w:val="21"/>
                <w:lang w:val="en-US" w:eastAsia="zh-CN"/>
              </w:rPr>
              <w:t>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14:paraId="0C33D6B6">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w:t>
            </w:r>
          </w:p>
          <w:p w14:paraId="498195A9">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（三）未对安全设备进行经常性维护、保养和定期检测的；</w:t>
            </w:r>
          </w:p>
          <w:p w14:paraId="585A363C">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p>
        </w:tc>
        <w:tc>
          <w:tcPr>
            <w:tcW w:w="741" w:type="dxa"/>
            <w:vMerge w:val="continue"/>
            <w:vAlign w:val="center"/>
          </w:tcPr>
          <w:p w14:paraId="5B5538E5">
            <w:pPr>
              <w:widowControl/>
              <w:adjustRightInd w:val="0"/>
              <w:snapToGrid w:val="0"/>
              <w:rPr>
                <w:rFonts w:ascii="宋体" w:hAnsi="宋体" w:cs="宋体"/>
                <w:color w:val="auto"/>
                <w:kern w:val="0"/>
                <w:szCs w:val="21"/>
              </w:rPr>
            </w:pPr>
          </w:p>
        </w:tc>
      </w:tr>
      <w:tr w14:paraId="74A6F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423" w:hRule="atLeast"/>
          <w:jc w:val="center"/>
        </w:trPr>
        <w:tc>
          <w:tcPr>
            <w:tcW w:w="522" w:type="dxa"/>
            <w:vAlign w:val="center"/>
          </w:tcPr>
          <w:p w14:paraId="2C73E86D">
            <w:pPr>
              <w:jc w:val="center"/>
              <w:rPr>
                <w:rFonts w:ascii="宋体" w:hAnsi="宋体" w:cs="宋体"/>
                <w:color w:val="auto"/>
                <w:kern w:val="0"/>
                <w:szCs w:val="21"/>
              </w:rPr>
            </w:pPr>
            <w:r>
              <w:rPr>
                <w:rFonts w:hint="eastAsia" w:ascii="宋体" w:hAnsi="宋体" w:cs="宋体"/>
                <w:color w:val="auto"/>
                <w:kern w:val="0"/>
                <w:szCs w:val="21"/>
              </w:rPr>
              <w:t>9</w:t>
            </w:r>
          </w:p>
        </w:tc>
        <w:tc>
          <w:tcPr>
            <w:tcW w:w="1341" w:type="dxa"/>
            <w:vAlign w:val="center"/>
          </w:tcPr>
          <w:p w14:paraId="15CFA5C8">
            <w:pPr>
              <w:widowControl/>
              <w:adjustRightInd w:val="0"/>
              <w:snapToGrid w:val="0"/>
              <w:rPr>
                <w:rFonts w:ascii="宋体" w:hAnsi="宋体" w:cs="宋体"/>
                <w:color w:val="auto"/>
                <w:kern w:val="0"/>
                <w:szCs w:val="21"/>
              </w:rPr>
            </w:pPr>
            <w:r>
              <w:rPr>
                <w:rFonts w:hint="eastAsia" w:ascii="宋体" w:hAnsi="宋体" w:cs="宋体"/>
                <w:color w:val="auto"/>
                <w:kern w:val="0"/>
                <w:szCs w:val="21"/>
              </w:rPr>
              <w:t>重大危险源安全管理情况</w:t>
            </w:r>
          </w:p>
        </w:tc>
        <w:tc>
          <w:tcPr>
            <w:tcW w:w="1438" w:type="dxa"/>
            <w:vAlign w:val="center"/>
          </w:tcPr>
          <w:p w14:paraId="613235D3">
            <w:pPr>
              <w:widowControl/>
              <w:adjustRightInd w:val="0"/>
              <w:snapToGrid w:val="0"/>
              <w:rPr>
                <w:rFonts w:ascii="宋体" w:hAnsi="宋体" w:cs="宋体"/>
                <w:color w:val="auto"/>
                <w:kern w:val="0"/>
                <w:szCs w:val="21"/>
              </w:rPr>
            </w:pPr>
            <w:r>
              <w:rPr>
                <w:rFonts w:hint="eastAsia" w:ascii="宋体" w:hAnsi="宋体" w:cs="宋体"/>
                <w:color w:val="auto"/>
                <w:kern w:val="0"/>
                <w:szCs w:val="21"/>
              </w:rPr>
              <w:t>重大危险源登记建档，定期检测、评估、监控，制定应急预案</w:t>
            </w:r>
          </w:p>
        </w:tc>
        <w:tc>
          <w:tcPr>
            <w:tcW w:w="4795" w:type="dxa"/>
            <w:vAlign w:val="center"/>
          </w:tcPr>
          <w:p w14:paraId="5109FAE3">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w:t>
            </w:r>
            <w:r>
              <w:rPr>
                <w:rFonts w:hint="eastAsia" w:ascii="宋体" w:hAnsi="宋体" w:cs="宋体"/>
                <w:color w:val="auto"/>
                <w:kern w:val="0"/>
                <w:szCs w:val="21"/>
                <w:lang w:val="en-US" w:eastAsia="zh-CN"/>
              </w:rPr>
              <w:t>第四十条　生产经营单位对重大危险源应当登记建档，进行定期检测、评估、监控，并制定应急预案，告知从业人员和相关人员在紧急情况下应当采取的应急措施。</w:t>
            </w:r>
          </w:p>
          <w:p w14:paraId="3BFC2F10">
            <w:pPr>
              <w:widowControl/>
              <w:adjustRightInd w:val="0"/>
              <w:snapToGrid w:val="0"/>
              <w:ind w:firstLine="420" w:firstLineChars="200"/>
              <w:rPr>
                <w:rFonts w:hint="eastAsia" w:ascii="宋体" w:hAnsi="宋体" w:cs="宋体"/>
                <w:strike/>
                <w:dstrike w:val="0"/>
                <w:color w:val="auto"/>
                <w:kern w:val="0"/>
                <w:szCs w:val="21"/>
              </w:rPr>
            </w:pPr>
          </w:p>
          <w:p w14:paraId="41D88B55">
            <w:pPr>
              <w:widowControl/>
              <w:adjustRightInd w:val="0"/>
              <w:snapToGrid w:val="0"/>
              <w:rPr>
                <w:rFonts w:ascii="宋体" w:hAnsi="宋体" w:cs="宋体"/>
                <w:color w:val="auto"/>
                <w:kern w:val="0"/>
                <w:szCs w:val="21"/>
              </w:rPr>
            </w:pPr>
          </w:p>
        </w:tc>
        <w:tc>
          <w:tcPr>
            <w:tcW w:w="7277" w:type="dxa"/>
            <w:vAlign w:val="center"/>
          </w:tcPr>
          <w:p w14:paraId="5E92C4A6">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w:t>
            </w:r>
            <w:r>
              <w:rPr>
                <w:rFonts w:hint="eastAsia" w:ascii="宋体" w:hAnsi="宋体" w:cs="宋体"/>
                <w:color w:val="auto"/>
                <w:kern w:val="0"/>
                <w:szCs w:val="21"/>
                <w:lang w:val="en-US" w:eastAsia="zh-CN"/>
              </w:rPr>
              <w:t>第一百零一条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p w14:paraId="5C090652">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w:t>
            </w:r>
          </w:p>
          <w:p w14:paraId="40C75692">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lang w:val="en-US" w:eastAsia="zh-CN"/>
              </w:rPr>
              <w:t>（二）对重大危险源未登记建档，未进行定期检测、评估、监控，未制定应急预案，或者未告知应急措施的；</w:t>
            </w:r>
          </w:p>
          <w:p w14:paraId="1184C0B4">
            <w:pPr>
              <w:widowControl/>
              <w:adjustRightInd w:val="0"/>
              <w:snapToGrid w:val="0"/>
              <w:ind w:firstLine="420" w:firstLineChars="200"/>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w:t>
            </w:r>
          </w:p>
        </w:tc>
        <w:tc>
          <w:tcPr>
            <w:tcW w:w="741" w:type="dxa"/>
            <w:vAlign w:val="center"/>
          </w:tcPr>
          <w:p w14:paraId="5EA690AF">
            <w:pPr>
              <w:widowControl/>
              <w:adjustRightInd w:val="0"/>
              <w:snapToGrid w:val="0"/>
              <w:rPr>
                <w:rFonts w:ascii="宋体" w:hAnsi="宋体" w:cs="宋体"/>
                <w:color w:val="auto"/>
                <w:kern w:val="0"/>
                <w:szCs w:val="21"/>
              </w:rPr>
            </w:pPr>
          </w:p>
        </w:tc>
      </w:tr>
      <w:tr w14:paraId="48C5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605" w:hRule="atLeast"/>
          <w:jc w:val="center"/>
        </w:trPr>
        <w:tc>
          <w:tcPr>
            <w:tcW w:w="522" w:type="dxa"/>
            <w:vMerge w:val="restart"/>
            <w:vAlign w:val="center"/>
          </w:tcPr>
          <w:p w14:paraId="7996B849">
            <w:pPr>
              <w:jc w:val="center"/>
              <w:rPr>
                <w:rFonts w:ascii="宋体" w:hAnsi="宋体" w:cs="宋体"/>
                <w:color w:val="auto"/>
                <w:kern w:val="0"/>
                <w:szCs w:val="21"/>
              </w:rPr>
            </w:pPr>
            <w:r>
              <w:rPr>
                <w:rFonts w:hint="eastAsia" w:ascii="宋体" w:hAnsi="宋体" w:cs="宋体"/>
                <w:color w:val="auto"/>
                <w:kern w:val="0"/>
                <w:szCs w:val="21"/>
              </w:rPr>
              <w:t>10</w:t>
            </w:r>
          </w:p>
        </w:tc>
        <w:tc>
          <w:tcPr>
            <w:tcW w:w="1341" w:type="dxa"/>
            <w:vMerge w:val="restart"/>
            <w:vAlign w:val="center"/>
          </w:tcPr>
          <w:p w14:paraId="3B08BE4E">
            <w:pPr>
              <w:widowControl/>
              <w:adjustRightInd w:val="0"/>
              <w:snapToGrid w:val="0"/>
              <w:rPr>
                <w:rFonts w:ascii="宋体" w:hAnsi="宋体" w:cs="宋体"/>
                <w:color w:val="auto"/>
                <w:kern w:val="0"/>
                <w:szCs w:val="21"/>
              </w:rPr>
            </w:pPr>
            <w:r>
              <w:rPr>
                <w:rFonts w:hint="eastAsia" w:ascii="宋体" w:hAnsi="宋体" w:cs="宋体"/>
                <w:color w:val="auto"/>
                <w:kern w:val="0"/>
                <w:szCs w:val="21"/>
              </w:rPr>
              <w:t>事故隐患排查治理情况</w:t>
            </w:r>
          </w:p>
        </w:tc>
        <w:tc>
          <w:tcPr>
            <w:tcW w:w="1438" w:type="dxa"/>
            <w:vAlign w:val="center"/>
          </w:tcPr>
          <w:p w14:paraId="5B58454B">
            <w:pPr>
              <w:widowControl/>
              <w:adjustRightInd w:val="0"/>
              <w:snapToGrid w:val="0"/>
              <w:rPr>
                <w:rFonts w:ascii="宋体" w:hAnsi="宋体" w:cs="宋体"/>
                <w:color w:val="auto"/>
                <w:kern w:val="0"/>
                <w:szCs w:val="21"/>
              </w:rPr>
            </w:pPr>
            <w:r>
              <w:rPr>
                <w:rFonts w:hint="eastAsia" w:ascii="宋体" w:hAnsi="宋体" w:cs="宋体"/>
                <w:color w:val="auto"/>
                <w:kern w:val="0"/>
                <w:szCs w:val="21"/>
              </w:rPr>
              <w:t>10.1 建立健全生产安全事故隐患排查治理制度</w:t>
            </w:r>
          </w:p>
        </w:tc>
        <w:tc>
          <w:tcPr>
            <w:tcW w:w="4795" w:type="dxa"/>
            <w:vAlign w:val="center"/>
          </w:tcPr>
          <w:p w14:paraId="1F430C62">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w:t>
            </w:r>
            <w:r>
              <w:rPr>
                <w:rFonts w:hint="eastAsia" w:ascii="宋体" w:hAnsi="宋体" w:cs="宋体"/>
                <w:color w:val="auto"/>
                <w:kern w:val="0"/>
                <w:szCs w:val="21"/>
                <w:lang w:val="en-US" w:eastAsia="zh-CN"/>
              </w:rPr>
              <w:t>第四十一条  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14:paraId="129E75D9">
            <w:pPr>
              <w:widowControl/>
              <w:adjustRightInd w:val="0"/>
              <w:snapToGrid w:val="0"/>
              <w:rPr>
                <w:rFonts w:ascii="宋体" w:hAnsi="宋体" w:cs="宋体"/>
                <w:color w:val="auto"/>
                <w:kern w:val="0"/>
                <w:szCs w:val="21"/>
              </w:rPr>
            </w:pPr>
            <w:r>
              <w:rPr>
                <w:rFonts w:hint="eastAsia" w:ascii="宋体" w:hAnsi="宋体" w:cs="宋体"/>
                <w:color w:val="auto"/>
                <w:kern w:val="0"/>
                <w:szCs w:val="21"/>
              </w:rPr>
              <w:t xml:space="preserve">    ……</w:t>
            </w:r>
          </w:p>
        </w:tc>
        <w:tc>
          <w:tcPr>
            <w:tcW w:w="7277" w:type="dxa"/>
            <w:vAlign w:val="center"/>
          </w:tcPr>
          <w:p w14:paraId="39B33CD7">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w:t>
            </w:r>
            <w:r>
              <w:rPr>
                <w:rFonts w:hint="eastAsia" w:ascii="宋体" w:hAnsi="宋体" w:cs="宋体"/>
                <w:color w:val="auto"/>
                <w:kern w:val="0"/>
                <w:szCs w:val="21"/>
                <w:lang w:val="en-US" w:eastAsia="zh-CN"/>
              </w:rPr>
              <w:t>第一百零一条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p w14:paraId="431FCE0A">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w:t>
            </w:r>
          </w:p>
          <w:p w14:paraId="6CEC9AAB">
            <w:pPr>
              <w:widowControl/>
              <w:adjustRightInd w:val="0"/>
              <w:snapToGrid w:val="0"/>
              <w:ind w:firstLine="420" w:firstLineChars="200"/>
              <w:rPr>
                <w:rFonts w:ascii="宋体" w:hAnsi="宋体" w:cs="宋体"/>
                <w:color w:val="auto"/>
                <w:kern w:val="0"/>
                <w:szCs w:val="21"/>
              </w:rPr>
            </w:pPr>
            <w:r>
              <w:rPr>
                <w:rFonts w:ascii="宋体" w:hAnsi="宋体" w:cs="宋体"/>
                <w:color w:val="auto"/>
                <w:kern w:val="0"/>
                <w:szCs w:val="21"/>
                <w:lang w:val="en-US" w:eastAsia="zh-CN"/>
              </w:rPr>
              <w:t>（五）未建立事故隐患排查治理制度，或者重大事故隐患排查治理情况未按照规定报告的。</w:t>
            </w:r>
          </w:p>
          <w:p w14:paraId="02844DD3">
            <w:pPr>
              <w:widowControl/>
              <w:adjustRightInd w:val="0"/>
              <w:snapToGrid w:val="0"/>
              <w:ind w:firstLine="420" w:firstLineChars="200"/>
              <w:rPr>
                <w:rFonts w:ascii="宋体" w:hAnsi="宋体" w:cs="宋体"/>
                <w:color w:val="auto"/>
                <w:kern w:val="0"/>
                <w:szCs w:val="21"/>
              </w:rPr>
            </w:pPr>
          </w:p>
        </w:tc>
        <w:tc>
          <w:tcPr>
            <w:tcW w:w="741" w:type="dxa"/>
            <w:vMerge w:val="restart"/>
            <w:vAlign w:val="center"/>
          </w:tcPr>
          <w:p w14:paraId="4B205405">
            <w:pPr>
              <w:widowControl/>
              <w:adjustRightInd w:val="0"/>
              <w:snapToGrid w:val="0"/>
              <w:rPr>
                <w:rFonts w:ascii="宋体" w:hAnsi="宋体" w:cs="宋体"/>
                <w:color w:val="auto"/>
                <w:kern w:val="0"/>
                <w:szCs w:val="21"/>
              </w:rPr>
            </w:pPr>
          </w:p>
        </w:tc>
      </w:tr>
      <w:tr w14:paraId="5FD94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878" w:hRule="atLeast"/>
          <w:jc w:val="center"/>
        </w:trPr>
        <w:tc>
          <w:tcPr>
            <w:tcW w:w="522" w:type="dxa"/>
            <w:vMerge w:val="continue"/>
            <w:vAlign w:val="center"/>
          </w:tcPr>
          <w:p w14:paraId="1D556941">
            <w:pPr>
              <w:jc w:val="center"/>
              <w:rPr>
                <w:rFonts w:ascii="宋体" w:hAnsi="宋体" w:cs="宋体"/>
                <w:color w:val="auto"/>
                <w:kern w:val="0"/>
                <w:szCs w:val="21"/>
              </w:rPr>
            </w:pPr>
          </w:p>
        </w:tc>
        <w:tc>
          <w:tcPr>
            <w:tcW w:w="1341" w:type="dxa"/>
            <w:vMerge w:val="continue"/>
            <w:vAlign w:val="center"/>
          </w:tcPr>
          <w:p w14:paraId="759EDA42">
            <w:pPr>
              <w:widowControl/>
              <w:adjustRightInd w:val="0"/>
              <w:snapToGrid w:val="0"/>
              <w:rPr>
                <w:rFonts w:ascii="宋体" w:hAnsi="宋体" w:cs="宋体"/>
                <w:color w:val="auto"/>
                <w:kern w:val="0"/>
                <w:szCs w:val="21"/>
              </w:rPr>
            </w:pPr>
          </w:p>
        </w:tc>
        <w:tc>
          <w:tcPr>
            <w:tcW w:w="1438" w:type="dxa"/>
            <w:vAlign w:val="center"/>
          </w:tcPr>
          <w:p w14:paraId="3FC8022B">
            <w:pPr>
              <w:widowControl/>
              <w:adjustRightInd w:val="0"/>
              <w:snapToGrid w:val="0"/>
              <w:rPr>
                <w:rFonts w:ascii="宋体" w:hAnsi="宋体" w:cs="宋体"/>
                <w:color w:val="auto"/>
                <w:kern w:val="0"/>
                <w:szCs w:val="21"/>
              </w:rPr>
            </w:pPr>
            <w:r>
              <w:rPr>
                <w:rFonts w:hint="eastAsia" w:ascii="宋体" w:hAnsi="宋体" w:cs="宋体"/>
                <w:color w:val="auto"/>
                <w:kern w:val="0"/>
                <w:szCs w:val="21"/>
              </w:rPr>
              <w:t>10.2 采取措施消除事故隐患</w:t>
            </w:r>
          </w:p>
        </w:tc>
        <w:tc>
          <w:tcPr>
            <w:tcW w:w="4795" w:type="dxa"/>
            <w:vAlign w:val="center"/>
          </w:tcPr>
          <w:p w14:paraId="24977C70">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w:t>
            </w:r>
            <w:r>
              <w:rPr>
                <w:rFonts w:hint="eastAsia" w:ascii="宋体" w:hAnsi="宋体" w:cs="宋体"/>
                <w:color w:val="auto"/>
                <w:kern w:val="0"/>
                <w:szCs w:val="21"/>
                <w:lang w:val="en-US" w:eastAsia="zh-CN"/>
              </w:rPr>
              <w:t>第四十一条  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14:paraId="3F875DE3">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p>
        </w:tc>
        <w:tc>
          <w:tcPr>
            <w:tcW w:w="7277" w:type="dxa"/>
            <w:vAlign w:val="center"/>
          </w:tcPr>
          <w:p w14:paraId="7BA5B9CF">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w:t>
            </w:r>
            <w:r>
              <w:rPr>
                <w:rFonts w:hint="eastAsia" w:ascii="宋体" w:hAnsi="宋体" w:cs="宋体"/>
                <w:color w:val="auto"/>
                <w:kern w:val="0"/>
                <w:szCs w:val="21"/>
                <w:lang w:val="en-US" w:eastAsia="zh-CN"/>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14:paraId="2CC4E1F8">
            <w:pPr>
              <w:widowControl/>
              <w:adjustRightInd w:val="0"/>
              <w:snapToGrid w:val="0"/>
              <w:ind w:firstLine="420" w:firstLineChars="200"/>
              <w:rPr>
                <w:rFonts w:ascii="宋体" w:hAnsi="宋体" w:cs="宋体"/>
                <w:color w:val="auto"/>
                <w:kern w:val="0"/>
                <w:szCs w:val="21"/>
              </w:rPr>
            </w:pPr>
          </w:p>
        </w:tc>
        <w:tc>
          <w:tcPr>
            <w:tcW w:w="741" w:type="dxa"/>
            <w:vMerge w:val="continue"/>
            <w:vAlign w:val="center"/>
          </w:tcPr>
          <w:p w14:paraId="504D08FF">
            <w:pPr>
              <w:widowControl/>
              <w:adjustRightInd w:val="0"/>
              <w:snapToGrid w:val="0"/>
              <w:rPr>
                <w:rFonts w:ascii="宋体" w:hAnsi="宋体" w:cs="宋体"/>
                <w:color w:val="auto"/>
                <w:kern w:val="0"/>
                <w:szCs w:val="21"/>
              </w:rPr>
            </w:pPr>
          </w:p>
        </w:tc>
      </w:tr>
      <w:tr w14:paraId="226DA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422" w:hRule="atLeast"/>
          <w:jc w:val="center"/>
        </w:trPr>
        <w:tc>
          <w:tcPr>
            <w:tcW w:w="522" w:type="dxa"/>
            <w:vMerge w:val="continue"/>
            <w:vAlign w:val="center"/>
          </w:tcPr>
          <w:p w14:paraId="6CE46B70">
            <w:pPr>
              <w:jc w:val="center"/>
              <w:rPr>
                <w:rFonts w:ascii="宋体" w:hAnsi="宋体" w:cs="宋体"/>
                <w:color w:val="auto"/>
                <w:kern w:val="0"/>
                <w:szCs w:val="21"/>
              </w:rPr>
            </w:pPr>
          </w:p>
        </w:tc>
        <w:tc>
          <w:tcPr>
            <w:tcW w:w="1341" w:type="dxa"/>
            <w:vMerge w:val="continue"/>
            <w:vAlign w:val="center"/>
          </w:tcPr>
          <w:p w14:paraId="16FE6E63">
            <w:pPr>
              <w:widowControl/>
              <w:adjustRightInd w:val="0"/>
              <w:snapToGrid w:val="0"/>
              <w:rPr>
                <w:rFonts w:ascii="宋体" w:hAnsi="宋体" w:cs="宋体"/>
                <w:color w:val="auto"/>
                <w:kern w:val="0"/>
                <w:szCs w:val="21"/>
              </w:rPr>
            </w:pPr>
          </w:p>
        </w:tc>
        <w:tc>
          <w:tcPr>
            <w:tcW w:w="1438" w:type="dxa"/>
            <w:vAlign w:val="center"/>
          </w:tcPr>
          <w:p w14:paraId="4646A130">
            <w:pPr>
              <w:widowControl/>
              <w:adjustRightInd w:val="0"/>
              <w:snapToGrid w:val="0"/>
              <w:rPr>
                <w:rFonts w:ascii="宋体" w:hAnsi="宋体" w:cs="宋体"/>
                <w:color w:val="auto"/>
                <w:kern w:val="0"/>
                <w:szCs w:val="21"/>
              </w:rPr>
            </w:pPr>
            <w:r>
              <w:rPr>
                <w:rFonts w:hint="eastAsia" w:ascii="宋体" w:hAnsi="宋体" w:cs="宋体"/>
                <w:color w:val="auto"/>
                <w:kern w:val="0"/>
                <w:szCs w:val="21"/>
              </w:rPr>
              <w:t>10.3 如实记录事故隐患排查治理情况并向从业人员通报</w:t>
            </w:r>
          </w:p>
        </w:tc>
        <w:tc>
          <w:tcPr>
            <w:tcW w:w="4795" w:type="dxa"/>
            <w:vAlign w:val="center"/>
          </w:tcPr>
          <w:p w14:paraId="00A6AC22">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w:t>
            </w:r>
            <w:r>
              <w:rPr>
                <w:rFonts w:hint="eastAsia" w:ascii="宋体" w:hAnsi="宋体" w:cs="宋体"/>
                <w:color w:val="auto"/>
                <w:kern w:val="0"/>
                <w:szCs w:val="21"/>
                <w:lang w:val="en-US" w:eastAsia="zh-CN"/>
              </w:rPr>
              <w:t>第四十一条  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14:paraId="14DC441A">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p>
        </w:tc>
        <w:tc>
          <w:tcPr>
            <w:tcW w:w="7277" w:type="dxa"/>
            <w:vAlign w:val="center"/>
          </w:tcPr>
          <w:p w14:paraId="285826D7">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w:t>
            </w:r>
            <w:r>
              <w:rPr>
                <w:rFonts w:hint="eastAsia" w:ascii="宋体" w:hAnsi="宋体" w:cs="宋体"/>
                <w:color w:val="auto"/>
                <w:kern w:val="0"/>
                <w:szCs w:val="21"/>
                <w:lang w:val="en-US" w:eastAsia="zh-CN"/>
              </w:rPr>
              <w:t>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p>
          <w:p w14:paraId="1854CCE9">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w:t>
            </w:r>
          </w:p>
          <w:p w14:paraId="35ABDA0D">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lang w:val="en-US" w:eastAsia="zh-CN"/>
              </w:rPr>
              <w:t>（五）未将事故隐患排查治理情况如实记录或者未向从业人员通报的；</w:t>
            </w:r>
          </w:p>
          <w:p w14:paraId="1D6641D3">
            <w:pPr>
              <w:widowControl/>
              <w:adjustRightInd w:val="0"/>
              <w:snapToGrid w:val="0"/>
              <w:ind w:firstLine="420" w:firstLineChars="200"/>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w:t>
            </w:r>
          </w:p>
        </w:tc>
        <w:tc>
          <w:tcPr>
            <w:tcW w:w="741" w:type="dxa"/>
            <w:vMerge w:val="continue"/>
            <w:vAlign w:val="center"/>
          </w:tcPr>
          <w:p w14:paraId="405865EF">
            <w:pPr>
              <w:widowControl/>
              <w:adjustRightInd w:val="0"/>
              <w:snapToGrid w:val="0"/>
              <w:rPr>
                <w:rFonts w:ascii="宋体" w:hAnsi="宋体" w:cs="宋体"/>
                <w:color w:val="auto"/>
                <w:kern w:val="0"/>
                <w:szCs w:val="21"/>
              </w:rPr>
            </w:pPr>
          </w:p>
        </w:tc>
      </w:tr>
      <w:tr w14:paraId="467E1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038" w:hRule="atLeast"/>
          <w:jc w:val="center"/>
        </w:trPr>
        <w:tc>
          <w:tcPr>
            <w:tcW w:w="522" w:type="dxa"/>
            <w:vMerge w:val="continue"/>
            <w:vAlign w:val="center"/>
          </w:tcPr>
          <w:p w14:paraId="7301E1D3">
            <w:pPr>
              <w:jc w:val="center"/>
              <w:rPr>
                <w:rFonts w:ascii="宋体" w:hAnsi="宋体" w:cs="宋体"/>
                <w:color w:val="auto"/>
                <w:kern w:val="0"/>
                <w:szCs w:val="21"/>
              </w:rPr>
            </w:pPr>
          </w:p>
        </w:tc>
        <w:tc>
          <w:tcPr>
            <w:tcW w:w="1341" w:type="dxa"/>
            <w:vMerge w:val="continue"/>
            <w:vAlign w:val="center"/>
          </w:tcPr>
          <w:p w14:paraId="5CAA5260">
            <w:pPr>
              <w:widowControl/>
              <w:adjustRightInd w:val="0"/>
              <w:snapToGrid w:val="0"/>
              <w:rPr>
                <w:rFonts w:ascii="宋体" w:hAnsi="宋体" w:cs="宋体"/>
                <w:color w:val="auto"/>
                <w:kern w:val="0"/>
                <w:szCs w:val="21"/>
              </w:rPr>
            </w:pPr>
          </w:p>
        </w:tc>
        <w:tc>
          <w:tcPr>
            <w:tcW w:w="1438" w:type="dxa"/>
            <w:vAlign w:val="center"/>
          </w:tcPr>
          <w:p w14:paraId="48C98712">
            <w:pPr>
              <w:widowControl/>
              <w:adjustRightInd w:val="0"/>
              <w:snapToGrid w:val="0"/>
              <w:rPr>
                <w:rFonts w:ascii="宋体" w:hAnsi="宋体" w:cs="宋体"/>
                <w:color w:val="auto"/>
                <w:kern w:val="0"/>
                <w:szCs w:val="21"/>
              </w:rPr>
            </w:pPr>
            <w:r>
              <w:rPr>
                <w:rFonts w:hint="eastAsia" w:ascii="宋体" w:hAnsi="宋体" w:cs="宋体"/>
                <w:color w:val="auto"/>
                <w:kern w:val="0"/>
                <w:szCs w:val="21"/>
              </w:rPr>
              <w:t>10.4 重大事故隐患报告</w:t>
            </w:r>
          </w:p>
        </w:tc>
        <w:tc>
          <w:tcPr>
            <w:tcW w:w="4795" w:type="dxa"/>
            <w:vAlign w:val="center"/>
          </w:tcPr>
          <w:p w14:paraId="6C2229F6">
            <w:pPr>
              <w:widowControl/>
              <w:adjustRightInd w:val="0"/>
              <w:snapToGrid w:val="0"/>
              <w:ind w:firstLine="420" w:firstLineChars="200"/>
              <w:rPr>
                <w:rFonts w:hint="eastAsia"/>
                <w:color w:val="auto"/>
              </w:rPr>
            </w:pP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中华人民共和国安全生产法</w:t>
            </w:r>
            <w:r>
              <w:rPr>
                <w:rFonts w:hint="eastAsia" w:ascii="宋体" w:hAnsi="宋体" w:cs="宋体"/>
                <w:color w:val="auto"/>
                <w:kern w:val="0"/>
                <w:szCs w:val="21"/>
                <w:lang w:eastAsia="zh-CN"/>
              </w:rPr>
              <w:t>》</w:t>
            </w:r>
            <w:r>
              <w:rPr>
                <w:rFonts w:hint="eastAsia"/>
                <w:color w:val="auto"/>
              </w:rPr>
              <w:t>第四十一条　生产经营单位应当建立安全风险分级管控制度，按照安全风险分级采取相应的管控措施。</w:t>
            </w:r>
          </w:p>
          <w:p w14:paraId="224995E2">
            <w:pPr>
              <w:widowControl/>
              <w:adjustRightInd w:val="0"/>
              <w:snapToGrid w:val="0"/>
              <w:ind w:firstLine="420" w:firstLineChars="200"/>
              <w:rPr>
                <w:color w:val="auto"/>
              </w:rPr>
            </w:pPr>
            <w:r>
              <w:rPr>
                <w:rFonts w:hint="eastAsia"/>
                <w:color w:val="auto"/>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tc>
        <w:tc>
          <w:tcPr>
            <w:tcW w:w="7277" w:type="dxa"/>
            <w:vAlign w:val="center"/>
          </w:tcPr>
          <w:p w14:paraId="408E98B4">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中华人民共和国安全生产法</w:t>
            </w:r>
            <w:r>
              <w:rPr>
                <w:rFonts w:hint="eastAsia" w:ascii="宋体" w:hAnsi="宋体" w:cs="宋体"/>
                <w:color w:val="auto"/>
                <w:kern w:val="0"/>
                <w:szCs w:val="21"/>
                <w:lang w:eastAsia="zh-CN"/>
              </w:rPr>
              <w:t>》</w:t>
            </w:r>
            <w:r>
              <w:rPr>
                <w:rFonts w:hint="eastAsia" w:ascii="宋体" w:hAnsi="宋体" w:cs="宋体"/>
                <w:color w:val="auto"/>
                <w:kern w:val="0"/>
                <w:szCs w:val="21"/>
              </w:rPr>
              <w:t>第一百零一条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p w14:paraId="70D05668">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（五）重大事故隐患排查治理情况未按照规定报告的。</w:t>
            </w:r>
          </w:p>
          <w:p w14:paraId="4AFB7C64">
            <w:pPr>
              <w:widowControl/>
              <w:adjustRightInd w:val="0"/>
              <w:snapToGrid w:val="0"/>
              <w:ind w:firstLine="420" w:firstLineChars="200"/>
              <w:rPr>
                <w:rFonts w:ascii="宋体" w:hAnsi="宋体" w:cs="宋体"/>
                <w:color w:val="auto"/>
                <w:kern w:val="0"/>
                <w:szCs w:val="21"/>
              </w:rPr>
            </w:pPr>
          </w:p>
        </w:tc>
        <w:tc>
          <w:tcPr>
            <w:tcW w:w="741" w:type="dxa"/>
            <w:vAlign w:val="center"/>
          </w:tcPr>
          <w:p w14:paraId="345E9F98">
            <w:pPr>
              <w:widowControl/>
              <w:adjustRightInd w:val="0"/>
              <w:snapToGrid w:val="0"/>
              <w:rPr>
                <w:rFonts w:ascii="宋体" w:hAnsi="宋体" w:cs="宋体"/>
                <w:color w:val="auto"/>
                <w:kern w:val="0"/>
                <w:szCs w:val="21"/>
              </w:rPr>
            </w:pPr>
          </w:p>
        </w:tc>
      </w:tr>
      <w:tr w14:paraId="17C5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4285" w:hRule="atLeast"/>
          <w:jc w:val="center"/>
        </w:trPr>
        <w:tc>
          <w:tcPr>
            <w:tcW w:w="522" w:type="dxa"/>
            <w:vMerge w:val="continue"/>
            <w:vAlign w:val="center"/>
          </w:tcPr>
          <w:p w14:paraId="41B3D7C3">
            <w:pPr>
              <w:rPr>
                <w:rFonts w:ascii="宋体" w:hAnsi="宋体" w:cs="宋体"/>
                <w:color w:val="auto"/>
                <w:kern w:val="0"/>
                <w:szCs w:val="21"/>
              </w:rPr>
            </w:pPr>
          </w:p>
        </w:tc>
        <w:tc>
          <w:tcPr>
            <w:tcW w:w="1341" w:type="dxa"/>
            <w:vMerge w:val="continue"/>
            <w:vAlign w:val="center"/>
          </w:tcPr>
          <w:p w14:paraId="4767E6F9">
            <w:pPr>
              <w:widowControl/>
              <w:adjustRightInd w:val="0"/>
              <w:snapToGrid w:val="0"/>
              <w:rPr>
                <w:rFonts w:ascii="宋体" w:hAnsi="宋体" w:cs="宋体"/>
                <w:color w:val="auto"/>
                <w:kern w:val="0"/>
                <w:szCs w:val="21"/>
              </w:rPr>
            </w:pPr>
          </w:p>
        </w:tc>
        <w:tc>
          <w:tcPr>
            <w:tcW w:w="1438" w:type="dxa"/>
            <w:vAlign w:val="center"/>
          </w:tcPr>
          <w:p w14:paraId="34F9BF53">
            <w:pPr>
              <w:widowControl/>
              <w:adjustRightInd w:val="0"/>
              <w:snapToGrid w:val="0"/>
              <w:rPr>
                <w:rFonts w:ascii="宋体" w:hAnsi="宋体" w:cs="宋体"/>
                <w:color w:val="auto"/>
                <w:kern w:val="0"/>
                <w:szCs w:val="21"/>
              </w:rPr>
            </w:pPr>
            <w:r>
              <w:rPr>
                <w:rFonts w:hint="eastAsia" w:ascii="宋体" w:hAnsi="宋体" w:cs="宋体"/>
                <w:color w:val="auto"/>
                <w:kern w:val="0"/>
                <w:szCs w:val="21"/>
              </w:rPr>
              <w:t>10.5 重大事故隐患整改</w:t>
            </w:r>
          </w:p>
        </w:tc>
        <w:tc>
          <w:tcPr>
            <w:tcW w:w="4795" w:type="dxa"/>
            <w:vAlign w:val="center"/>
          </w:tcPr>
          <w:p w14:paraId="005F6BC6">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《安全生产事故隐患排查治理暂行规定》第十八条  地方人民政府或者安全监管监察部门及有关部门挂牌督办并责令全部或者局部停产停业治理的重大事故隐患，治理工作结束后，有条件的生产经营单位应当组织本单位的技术人员和专家对重大事故隐患的治理情况进行评估；其他生产经营单位应当委托具备相应资质的安全评价机构对重大事故隐患的治理情况进行评估。</w:t>
            </w:r>
          </w:p>
          <w:p w14:paraId="77C2124C">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经治理后符合安全生产条件的，生产经营单位应当向安全监管监察部门和有关部门提出恢复生产的书面申请，经安全监管监察部门和有关部门审查同意后，方可恢复生产经营。申请报告应当包括治理方案的内容、项目和安全评价机构出具的评价报告等。</w:t>
            </w:r>
          </w:p>
        </w:tc>
        <w:tc>
          <w:tcPr>
            <w:tcW w:w="7277" w:type="dxa"/>
            <w:vAlign w:val="center"/>
          </w:tcPr>
          <w:p w14:paraId="14B3B077">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《安全生产事故隐患排查治理暂行规定》第二十六条  生产经营单位违反本规定，有下列行为之一的，由安全监管监察部门给予警告，并处三万元以下的罚款：</w:t>
            </w:r>
          </w:p>
          <w:p w14:paraId="698081E4">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p>
          <w:p w14:paraId="7B5AD04A">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（六）整改不合格或者未经安全监管监察部门审查同意擅自恢复生产经营的。</w:t>
            </w:r>
          </w:p>
        </w:tc>
        <w:tc>
          <w:tcPr>
            <w:tcW w:w="741" w:type="dxa"/>
            <w:vAlign w:val="center"/>
          </w:tcPr>
          <w:p w14:paraId="342F832E">
            <w:pPr>
              <w:widowControl/>
              <w:adjustRightInd w:val="0"/>
              <w:snapToGrid w:val="0"/>
              <w:rPr>
                <w:rFonts w:ascii="宋体" w:hAnsi="宋体" w:cs="宋体"/>
                <w:color w:val="auto"/>
                <w:kern w:val="0"/>
                <w:szCs w:val="21"/>
              </w:rPr>
            </w:pPr>
          </w:p>
        </w:tc>
      </w:tr>
      <w:tr w14:paraId="100E5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747" w:hRule="atLeast"/>
          <w:jc w:val="center"/>
        </w:trPr>
        <w:tc>
          <w:tcPr>
            <w:tcW w:w="522" w:type="dxa"/>
            <w:vMerge w:val="restart"/>
            <w:vAlign w:val="center"/>
          </w:tcPr>
          <w:p w14:paraId="32C76BF8">
            <w:pPr>
              <w:jc w:val="center"/>
              <w:rPr>
                <w:rFonts w:ascii="宋体" w:hAnsi="宋体" w:cs="宋体"/>
                <w:color w:val="auto"/>
                <w:kern w:val="0"/>
                <w:szCs w:val="21"/>
              </w:rPr>
            </w:pPr>
            <w:r>
              <w:rPr>
                <w:rFonts w:hint="eastAsia" w:ascii="宋体" w:hAnsi="宋体" w:cs="宋体"/>
                <w:color w:val="auto"/>
                <w:kern w:val="0"/>
                <w:szCs w:val="21"/>
              </w:rPr>
              <w:t>11</w:t>
            </w:r>
          </w:p>
        </w:tc>
        <w:tc>
          <w:tcPr>
            <w:tcW w:w="1341" w:type="dxa"/>
            <w:vMerge w:val="restart"/>
            <w:vAlign w:val="center"/>
          </w:tcPr>
          <w:p w14:paraId="74E110E8">
            <w:pPr>
              <w:widowControl/>
              <w:adjustRightInd w:val="0"/>
              <w:snapToGrid w:val="0"/>
              <w:rPr>
                <w:rFonts w:ascii="宋体" w:hAnsi="宋体" w:cs="宋体"/>
                <w:color w:val="auto"/>
                <w:kern w:val="0"/>
                <w:szCs w:val="21"/>
              </w:rPr>
            </w:pPr>
            <w:r>
              <w:rPr>
                <w:rFonts w:hint="eastAsia" w:ascii="宋体" w:hAnsi="宋体" w:cs="宋体"/>
                <w:color w:val="auto"/>
                <w:kern w:val="0"/>
                <w:szCs w:val="21"/>
              </w:rPr>
              <w:t>危险场所与员工宿舍安全距离及安全出口管理情况</w:t>
            </w:r>
          </w:p>
        </w:tc>
        <w:tc>
          <w:tcPr>
            <w:tcW w:w="1438" w:type="dxa"/>
            <w:vAlign w:val="center"/>
          </w:tcPr>
          <w:p w14:paraId="1AF8F227">
            <w:pPr>
              <w:widowControl/>
              <w:adjustRightInd w:val="0"/>
              <w:snapToGrid w:val="0"/>
              <w:rPr>
                <w:rFonts w:ascii="宋体" w:hAnsi="宋体" w:cs="宋体"/>
                <w:color w:val="auto"/>
                <w:kern w:val="0"/>
                <w:szCs w:val="21"/>
              </w:rPr>
            </w:pPr>
            <w:r>
              <w:rPr>
                <w:rFonts w:hint="eastAsia" w:ascii="宋体" w:hAnsi="宋体" w:cs="宋体"/>
                <w:color w:val="auto"/>
                <w:kern w:val="0"/>
                <w:szCs w:val="21"/>
              </w:rPr>
              <w:t>11.1 危险物品场所与员工宿舍不在同一建筑物且保持安全距离</w:t>
            </w:r>
          </w:p>
        </w:tc>
        <w:tc>
          <w:tcPr>
            <w:tcW w:w="4795" w:type="dxa"/>
            <w:vAlign w:val="center"/>
          </w:tcPr>
          <w:p w14:paraId="42F06D3F">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w:t>
            </w:r>
            <w:r>
              <w:rPr>
                <w:rFonts w:hint="eastAsia" w:ascii="宋体" w:hAnsi="宋体" w:cs="宋体"/>
                <w:color w:val="auto"/>
                <w:kern w:val="0"/>
                <w:szCs w:val="21"/>
                <w:lang w:val="en-US" w:eastAsia="zh-CN"/>
              </w:rPr>
              <w:t>第四十二条　生产、经营、储存、使用危险物品的车间、商店、仓库不得与员工宿舍在同一座建筑物内，并应当与员工宿舍保持安全距离。</w:t>
            </w:r>
          </w:p>
          <w:p w14:paraId="2F5F3124">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p>
        </w:tc>
        <w:tc>
          <w:tcPr>
            <w:tcW w:w="7277" w:type="dxa"/>
            <w:vAlign w:val="center"/>
          </w:tcPr>
          <w:p w14:paraId="53E88EE5">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w:t>
            </w:r>
            <w:r>
              <w:rPr>
                <w:rFonts w:hint="eastAsia" w:ascii="宋体" w:hAnsi="宋体" w:cs="宋体"/>
                <w:color w:val="auto"/>
                <w:kern w:val="0"/>
                <w:szCs w:val="21"/>
                <w:lang w:val="en-US" w:eastAsia="zh-CN"/>
              </w:rPr>
              <w:t>第一百零五条　生产经营单位有下列行为之一的，责令限期改正，处五万元以下的罚款，对其直接负责的主管人员和其他直接责任人员处一万元以下的罚款；逾期未改正的，责令停产停业整顿；构成犯罪的，依照刑法有关规定追究刑事责任:</w:t>
            </w:r>
          </w:p>
          <w:p w14:paraId="6CE31030">
            <w:pPr>
              <w:widowControl/>
              <w:numPr>
                <w:ilvl w:val="0"/>
                <w:numId w:val="4"/>
              </w:numPr>
              <w:adjustRightInd w:val="0"/>
              <w:snapToGrid w:val="0"/>
              <w:ind w:firstLine="420" w:firstLineChars="200"/>
              <w:rPr>
                <w:rFonts w:ascii="宋体" w:hAnsi="宋体" w:cs="宋体"/>
                <w:color w:val="auto"/>
                <w:kern w:val="0"/>
                <w:szCs w:val="21"/>
                <w:lang w:val="en-US" w:eastAsia="zh-CN"/>
              </w:rPr>
            </w:pPr>
            <w:r>
              <w:rPr>
                <w:rFonts w:ascii="宋体" w:hAnsi="宋体" w:cs="宋体"/>
                <w:color w:val="auto"/>
                <w:kern w:val="0"/>
                <w:szCs w:val="21"/>
                <w:lang w:val="en-US" w:eastAsia="zh-CN"/>
              </w:rPr>
              <w:t>生产、经营、储存、使用危险物品的车间、商店、仓库与员工宿舍在同一座建筑内，或者与员工宿舍的距离不符合安全要求的；</w:t>
            </w:r>
          </w:p>
          <w:p w14:paraId="539D3CF4">
            <w:pPr>
              <w:widowControl/>
              <w:numPr>
                <w:ilvl w:val="0"/>
                <w:numId w:val="0"/>
              </w:numPr>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lang w:val="en-US" w:eastAsia="zh-CN"/>
              </w:rPr>
              <w:t>……</w:t>
            </w:r>
          </w:p>
        </w:tc>
        <w:tc>
          <w:tcPr>
            <w:tcW w:w="741" w:type="dxa"/>
            <w:vMerge w:val="restart"/>
            <w:vAlign w:val="center"/>
          </w:tcPr>
          <w:p w14:paraId="1F5317BB">
            <w:pPr>
              <w:widowControl/>
              <w:adjustRightInd w:val="0"/>
              <w:snapToGrid w:val="0"/>
              <w:rPr>
                <w:rFonts w:ascii="宋体" w:hAnsi="宋体" w:cs="宋体"/>
                <w:color w:val="auto"/>
                <w:kern w:val="0"/>
                <w:szCs w:val="21"/>
              </w:rPr>
            </w:pPr>
          </w:p>
        </w:tc>
      </w:tr>
      <w:tr w14:paraId="7A9CD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747" w:hRule="atLeast"/>
          <w:jc w:val="center"/>
        </w:trPr>
        <w:tc>
          <w:tcPr>
            <w:tcW w:w="522" w:type="dxa"/>
            <w:vMerge w:val="continue"/>
            <w:vAlign w:val="center"/>
          </w:tcPr>
          <w:p w14:paraId="447D4E1C">
            <w:pPr>
              <w:jc w:val="center"/>
              <w:rPr>
                <w:rFonts w:ascii="宋体" w:hAnsi="宋体" w:cs="宋体"/>
                <w:color w:val="auto"/>
                <w:kern w:val="0"/>
                <w:szCs w:val="21"/>
              </w:rPr>
            </w:pPr>
          </w:p>
        </w:tc>
        <w:tc>
          <w:tcPr>
            <w:tcW w:w="1341" w:type="dxa"/>
            <w:vMerge w:val="continue"/>
            <w:vAlign w:val="center"/>
          </w:tcPr>
          <w:p w14:paraId="786331D0">
            <w:pPr>
              <w:widowControl/>
              <w:adjustRightInd w:val="0"/>
              <w:snapToGrid w:val="0"/>
              <w:rPr>
                <w:rFonts w:ascii="宋体" w:hAnsi="宋体" w:cs="宋体"/>
                <w:color w:val="auto"/>
                <w:kern w:val="0"/>
                <w:szCs w:val="21"/>
              </w:rPr>
            </w:pPr>
          </w:p>
        </w:tc>
        <w:tc>
          <w:tcPr>
            <w:tcW w:w="1438" w:type="dxa"/>
            <w:vAlign w:val="center"/>
          </w:tcPr>
          <w:p w14:paraId="56DEDF43">
            <w:pPr>
              <w:widowControl/>
              <w:adjustRightInd w:val="0"/>
              <w:snapToGrid w:val="0"/>
              <w:rPr>
                <w:rFonts w:ascii="宋体" w:hAnsi="宋体" w:cs="宋体"/>
                <w:color w:val="auto"/>
                <w:kern w:val="0"/>
                <w:szCs w:val="21"/>
              </w:rPr>
            </w:pPr>
            <w:r>
              <w:rPr>
                <w:rFonts w:hint="eastAsia" w:ascii="宋体" w:hAnsi="宋体" w:cs="宋体"/>
                <w:color w:val="auto"/>
                <w:kern w:val="0"/>
                <w:szCs w:val="21"/>
              </w:rPr>
              <w:t>11.2 生产经营场所和员工宿舍安全出口符合疏散要求，禁止锁闭、封堵</w:t>
            </w:r>
          </w:p>
        </w:tc>
        <w:tc>
          <w:tcPr>
            <w:tcW w:w="4795" w:type="dxa"/>
            <w:vAlign w:val="center"/>
          </w:tcPr>
          <w:p w14:paraId="0F44ABD8">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》第</w:t>
            </w:r>
            <w:r>
              <w:rPr>
                <w:rFonts w:hint="eastAsia" w:ascii="宋体" w:hAnsi="宋体" w:cs="宋体"/>
                <w:color w:val="auto"/>
                <w:kern w:val="0"/>
                <w:szCs w:val="21"/>
                <w:lang w:eastAsia="zh-CN"/>
              </w:rPr>
              <w:t>四十二</w:t>
            </w:r>
            <w:r>
              <w:rPr>
                <w:rFonts w:hint="eastAsia" w:ascii="宋体" w:hAnsi="宋体" w:cs="宋体"/>
                <w:color w:val="auto"/>
                <w:kern w:val="0"/>
                <w:szCs w:val="21"/>
              </w:rPr>
              <w:t>条  ……</w:t>
            </w:r>
          </w:p>
          <w:p w14:paraId="718B2CAC">
            <w:pPr>
              <w:widowControl/>
              <w:adjustRightInd w:val="0"/>
              <w:snapToGrid w:val="0"/>
              <w:ind w:firstLine="420" w:firstLineChars="200"/>
              <w:rPr>
                <w:rFonts w:ascii="宋体" w:hAnsi="宋体" w:cs="宋体"/>
                <w:color w:val="auto"/>
                <w:kern w:val="0"/>
                <w:szCs w:val="21"/>
              </w:rPr>
            </w:pPr>
            <w:r>
              <w:rPr>
                <w:rFonts w:ascii="宋体" w:hAnsi="宋体" w:cs="宋体"/>
                <w:color w:val="auto"/>
                <w:kern w:val="0"/>
                <w:szCs w:val="21"/>
                <w:lang w:val="en-US" w:eastAsia="zh-CN"/>
              </w:rPr>
              <w:t>生产经营场所和员工宿舍应当设有符合紧急疏散要求、标志明显、保持畅通的出口、疏散通道。禁止占用、锁闭、封堵生产经营场所或者员工宿舍的出口、疏散通道。</w:t>
            </w:r>
          </w:p>
          <w:p w14:paraId="2786E4B5">
            <w:pPr>
              <w:widowControl/>
              <w:adjustRightInd w:val="0"/>
              <w:snapToGrid w:val="0"/>
              <w:ind w:firstLine="420" w:firstLineChars="200"/>
              <w:rPr>
                <w:rFonts w:ascii="宋体" w:hAnsi="宋体" w:cs="宋体"/>
                <w:color w:val="auto"/>
                <w:kern w:val="0"/>
                <w:szCs w:val="21"/>
              </w:rPr>
            </w:pPr>
          </w:p>
        </w:tc>
        <w:tc>
          <w:tcPr>
            <w:tcW w:w="7277" w:type="dxa"/>
            <w:vAlign w:val="center"/>
          </w:tcPr>
          <w:p w14:paraId="47902D19">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w:t>
            </w:r>
            <w:r>
              <w:rPr>
                <w:rFonts w:hint="eastAsia" w:ascii="宋体" w:hAnsi="宋体" w:cs="宋体"/>
                <w:color w:val="auto"/>
                <w:kern w:val="0"/>
                <w:szCs w:val="21"/>
                <w:lang w:val="en-US" w:eastAsia="zh-CN"/>
              </w:rPr>
              <w:t>第一百零五条　生产经营单位有下列行为之一的，责令限期改正，处五万元以下的罚款，对其直接负责的主管人员和其他直接责任人员处一万元以下的罚款；逾期未改正的，责令停产停业整顿；构成犯罪的，依照刑法有关规定追究刑事责任:</w:t>
            </w:r>
          </w:p>
          <w:p w14:paraId="3033D593">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p>
          <w:p w14:paraId="2E071EEA">
            <w:pPr>
              <w:widowControl/>
              <w:adjustRightInd w:val="0"/>
              <w:snapToGrid w:val="0"/>
              <w:ind w:firstLine="420" w:firstLineChars="200"/>
              <w:rPr>
                <w:rFonts w:ascii="宋体" w:hAnsi="宋体" w:cs="宋体"/>
                <w:color w:val="auto"/>
                <w:kern w:val="0"/>
                <w:szCs w:val="21"/>
              </w:rPr>
            </w:pPr>
            <w:r>
              <w:rPr>
                <w:rFonts w:ascii="宋体" w:hAnsi="宋体" w:cs="宋体"/>
                <w:color w:val="auto"/>
                <w:kern w:val="0"/>
                <w:szCs w:val="21"/>
                <w:lang w:val="en-US" w:eastAsia="zh-CN"/>
              </w:rPr>
              <w:t>（二）生产经营场所和员工宿舍未设有符合紧急疏散需要、标志明显、保持畅通的出口、疏散通道，或者占用、锁闭、封堵生产经营场所或者员工宿舍出口、疏散通道的。</w:t>
            </w:r>
          </w:p>
        </w:tc>
        <w:tc>
          <w:tcPr>
            <w:tcW w:w="741" w:type="dxa"/>
            <w:vMerge w:val="continue"/>
            <w:vAlign w:val="center"/>
          </w:tcPr>
          <w:p w14:paraId="3E64176F">
            <w:pPr>
              <w:widowControl/>
              <w:adjustRightInd w:val="0"/>
              <w:snapToGrid w:val="0"/>
              <w:rPr>
                <w:rFonts w:ascii="宋体" w:hAnsi="宋体" w:cs="宋体"/>
                <w:color w:val="auto"/>
                <w:kern w:val="0"/>
                <w:szCs w:val="21"/>
              </w:rPr>
            </w:pPr>
          </w:p>
        </w:tc>
      </w:tr>
      <w:tr w14:paraId="1983A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1195" w:hRule="atLeast"/>
          <w:jc w:val="center"/>
        </w:trPr>
        <w:tc>
          <w:tcPr>
            <w:tcW w:w="522" w:type="dxa"/>
            <w:vAlign w:val="center"/>
          </w:tcPr>
          <w:p w14:paraId="200EB789">
            <w:pPr>
              <w:jc w:val="center"/>
              <w:rPr>
                <w:rFonts w:ascii="宋体" w:hAnsi="宋体" w:cs="宋体"/>
                <w:color w:val="auto"/>
                <w:kern w:val="0"/>
                <w:szCs w:val="21"/>
              </w:rPr>
            </w:pPr>
            <w:r>
              <w:rPr>
                <w:rFonts w:hint="eastAsia" w:ascii="宋体" w:hAnsi="宋体" w:cs="宋体"/>
                <w:color w:val="auto"/>
                <w:kern w:val="0"/>
                <w:szCs w:val="21"/>
              </w:rPr>
              <w:t>12</w:t>
            </w:r>
          </w:p>
        </w:tc>
        <w:tc>
          <w:tcPr>
            <w:tcW w:w="1341" w:type="dxa"/>
            <w:vAlign w:val="center"/>
          </w:tcPr>
          <w:p w14:paraId="13564413">
            <w:pPr>
              <w:widowControl/>
              <w:adjustRightInd w:val="0"/>
              <w:snapToGrid w:val="0"/>
              <w:rPr>
                <w:rFonts w:ascii="宋体" w:hAnsi="宋体" w:cs="宋体"/>
                <w:color w:val="auto"/>
                <w:kern w:val="0"/>
                <w:szCs w:val="21"/>
              </w:rPr>
            </w:pPr>
            <w:r>
              <w:rPr>
                <w:rFonts w:hint="eastAsia" w:ascii="宋体" w:hAnsi="宋体" w:cs="宋体"/>
                <w:color w:val="auto"/>
                <w:kern w:val="0"/>
                <w:szCs w:val="21"/>
              </w:rPr>
              <w:t>危险作业安全管理情况</w:t>
            </w:r>
          </w:p>
        </w:tc>
        <w:tc>
          <w:tcPr>
            <w:tcW w:w="1438" w:type="dxa"/>
            <w:vAlign w:val="center"/>
          </w:tcPr>
          <w:p w14:paraId="3972C994">
            <w:pPr>
              <w:widowControl/>
              <w:adjustRightInd w:val="0"/>
              <w:snapToGrid w:val="0"/>
              <w:rPr>
                <w:rFonts w:ascii="宋体" w:hAnsi="宋体" w:cs="宋体"/>
                <w:color w:val="auto"/>
                <w:kern w:val="0"/>
                <w:szCs w:val="21"/>
              </w:rPr>
            </w:pPr>
            <w:r>
              <w:rPr>
                <w:rFonts w:hint="eastAsia" w:ascii="宋体" w:hAnsi="宋体" w:cs="宋体"/>
                <w:color w:val="auto"/>
                <w:kern w:val="0"/>
                <w:szCs w:val="21"/>
              </w:rPr>
              <w:t>爆破、吊装以及国务院有关部门规定的其他危险作业安全管理</w:t>
            </w:r>
          </w:p>
        </w:tc>
        <w:tc>
          <w:tcPr>
            <w:tcW w:w="4795" w:type="dxa"/>
            <w:vAlign w:val="center"/>
          </w:tcPr>
          <w:p w14:paraId="46A4F3A9">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w:t>
            </w:r>
            <w:r>
              <w:rPr>
                <w:rFonts w:hint="eastAsia" w:ascii="宋体" w:hAnsi="宋体" w:cs="宋体"/>
                <w:color w:val="auto"/>
                <w:kern w:val="0"/>
                <w:szCs w:val="21"/>
                <w:lang w:val="en-US" w:eastAsia="zh-CN"/>
              </w:rPr>
              <w:t>第四十三条　生产经营单位进行爆破、吊装、动火、临时用电以及国务院应急管理部门会同国务院有关部门规定的其他危险作业，应当安排专门人员进行现场安全管理，确保操作规程的遵守和安全措施的落实。</w:t>
            </w:r>
          </w:p>
          <w:p w14:paraId="31616050">
            <w:pPr>
              <w:widowControl/>
              <w:adjustRightInd w:val="0"/>
              <w:snapToGrid w:val="0"/>
              <w:ind w:firstLine="420" w:firstLineChars="200"/>
              <w:rPr>
                <w:rFonts w:ascii="宋体" w:hAnsi="宋体" w:cs="宋体"/>
                <w:color w:val="auto"/>
                <w:kern w:val="0"/>
                <w:szCs w:val="21"/>
              </w:rPr>
            </w:pPr>
          </w:p>
        </w:tc>
        <w:tc>
          <w:tcPr>
            <w:tcW w:w="7277" w:type="dxa"/>
            <w:vAlign w:val="center"/>
          </w:tcPr>
          <w:p w14:paraId="199A5171">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w:t>
            </w:r>
            <w:r>
              <w:rPr>
                <w:rFonts w:hint="eastAsia" w:ascii="宋体" w:hAnsi="宋体" w:cs="宋体"/>
                <w:color w:val="auto"/>
                <w:kern w:val="0"/>
                <w:szCs w:val="21"/>
                <w:lang w:val="en-US" w:eastAsia="zh-CN"/>
              </w:rPr>
              <w:t>第一百零一条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p w14:paraId="2F07F44F">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w:t>
            </w:r>
          </w:p>
          <w:p w14:paraId="47D30FDA">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lang w:val="en-US" w:eastAsia="zh-CN"/>
              </w:rPr>
              <w:t>（三）进行爆破、吊装、动火、临时用电以及国务院应急管理部门会同国务院有关部门规定的其他危险作业，未安排专门人员进行现场安全管理的；</w:t>
            </w:r>
          </w:p>
          <w:p w14:paraId="2F58CE51">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p>
        </w:tc>
        <w:tc>
          <w:tcPr>
            <w:tcW w:w="741" w:type="dxa"/>
            <w:vAlign w:val="center"/>
          </w:tcPr>
          <w:p w14:paraId="1C4ADC89">
            <w:pPr>
              <w:widowControl/>
              <w:adjustRightInd w:val="0"/>
              <w:snapToGrid w:val="0"/>
              <w:rPr>
                <w:rFonts w:ascii="宋体" w:hAnsi="宋体" w:cs="宋体"/>
                <w:color w:val="auto"/>
                <w:kern w:val="0"/>
                <w:szCs w:val="21"/>
              </w:rPr>
            </w:pPr>
          </w:p>
        </w:tc>
      </w:tr>
      <w:tr w14:paraId="43A54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621" w:hRule="atLeast"/>
          <w:jc w:val="center"/>
        </w:trPr>
        <w:tc>
          <w:tcPr>
            <w:tcW w:w="522" w:type="dxa"/>
            <w:vAlign w:val="center"/>
          </w:tcPr>
          <w:p w14:paraId="6D1BB332">
            <w:pPr>
              <w:jc w:val="center"/>
              <w:rPr>
                <w:rFonts w:ascii="宋体" w:hAnsi="宋体" w:cs="宋体"/>
                <w:color w:val="auto"/>
                <w:kern w:val="0"/>
                <w:szCs w:val="21"/>
              </w:rPr>
            </w:pPr>
            <w:r>
              <w:rPr>
                <w:rFonts w:hint="eastAsia" w:ascii="宋体" w:hAnsi="宋体" w:cs="宋体"/>
                <w:color w:val="auto"/>
                <w:kern w:val="0"/>
                <w:szCs w:val="21"/>
              </w:rPr>
              <w:t>13</w:t>
            </w:r>
          </w:p>
        </w:tc>
        <w:tc>
          <w:tcPr>
            <w:tcW w:w="1341" w:type="dxa"/>
            <w:vAlign w:val="center"/>
          </w:tcPr>
          <w:p w14:paraId="66C6C53D">
            <w:pPr>
              <w:widowControl/>
              <w:adjustRightInd w:val="0"/>
              <w:snapToGrid w:val="0"/>
              <w:rPr>
                <w:rFonts w:ascii="宋体" w:hAnsi="宋体" w:cs="宋体"/>
                <w:color w:val="auto"/>
                <w:kern w:val="0"/>
                <w:szCs w:val="21"/>
              </w:rPr>
            </w:pPr>
            <w:r>
              <w:rPr>
                <w:rFonts w:hint="eastAsia" w:ascii="宋体" w:hAnsi="宋体" w:cs="宋体"/>
                <w:color w:val="auto"/>
                <w:kern w:val="0"/>
                <w:szCs w:val="21"/>
              </w:rPr>
              <w:t>劳动防护用品管理情况</w:t>
            </w:r>
          </w:p>
        </w:tc>
        <w:tc>
          <w:tcPr>
            <w:tcW w:w="1438" w:type="dxa"/>
            <w:vAlign w:val="center"/>
          </w:tcPr>
          <w:p w14:paraId="57A0EEC4">
            <w:pPr>
              <w:widowControl/>
              <w:adjustRightInd w:val="0"/>
              <w:snapToGrid w:val="0"/>
              <w:rPr>
                <w:rFonts w:ascii="宋体" w:hAnsi="宋体" w:cs="宋体"/>
                <w:color w:val="auto"/>
                <w:kern w:val="0"/>
                <w:szCs w:val="21"/>
              </w:rPr>
            </w:pPr>
            <w:r>
              <w:rPr>
                <w:rFonts w:hint="eastAsia" w:ascii="宋体" w:hAnsi="宋体" w:cs="宋体"/>
                <w:color w:val="auto"/>
                <w:kern w:val="0"/>
                <w:szCs w:val="21"/>
              </w:rPr>
              <w:t>提供符合国家标准、行业标准的劳动防护用品</w:t>
            </w:r>
          </w:p>
        </w:tc>
        <w:tc>
          <w:tcPr>
            <w:tcW w:w="4795" w:type="dxa"/>
            <w:vAlign w:val="center"/>
          </w:tcPr>
          <w:p w14:paraId="53921359">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w:t>
            </w:r>
            <w:r>
              <w:rPr>
                <w:rFonts w:hint="eastAsia" w:ascii="宋体" w:hAnsi="宋体" w:cs="宋体"/>
                <w:color w:val="auto"/>
                <w:kern w:val="0"/>
                <w:szCs w:val="21"/>
                <w:lang w:val="en-US" w:eastAsia="zh-CN"/>
              </w:rPr>
              <w:t>第四十五条　生产经营单位必须为从业人员提供符合国家标准或者行业标准的劳动防护用品，并监督、教育从业人员按照使用规则佩戴、使用。</w:t>
            </w:r>
          </w:p>
          <w:p w14:paraId="65B4DA84">
            <w:pPr>
              <w:widowControl/>
              <w:adjustRightInd w:val="0"/>
              <w:snapToGrid w:val="0"/>
              <w:ind w:firstLine="420" w:firstLineChars="200"/>
              <w:rPr>
                <w:rFonts w:ascii="宋体" w:hAnsi="宋体" w:cs="宋体"/>
                <w:color w:val="auto"/>
                <w:kern w:val="0"/>
                <w:szCs w:val="21"/>
              </w:rPr>
            </w:pPr>
          </w:p>
        </w:tc>
        <w:tc>
          <w:tcPr>
            <w:tcW w:w="7277" w:type="dxa"/>
            <w:vAlign w:val="center"/>
          </w:tcPr>
          <w:p w14:paraId="2910083E">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14:paraId="7DF65E91">
            <w:pPr>
              <w:widowControl/>
              <w:adjustRightInd w:val="0"/>
              <w:snapToGrid w:val="0"/>
              <w:ind w:firstLine="420" w:firstLineChars="200"/>
              <w:rPr>
                <w:rFonts w:hint="eastAsia" w:ascii="宋体" w:hAnsi="宋体" w:cs="宋体"/>
                <w:color w:val="auto"/>
                <w:kern w:val="0"/>
                <w:szCs w:val="21"/>
                <w:lang w:eastAsia="zh-CN"/>
              </w:rPr>
            </w:pPr>
            <w:r>
              <w:rPr>
                <w:rFonts w:hint="eastAsia" w:ascii="宋体" w:hAnsi="宋体" w:cs="宋体"/>
                <w:color w:val="auto"/>
                <w:kern w:val="0"/>
                <w:szCs w:val="21"/>
                <w:lang w:eastAsia="zh-CN"/>
              </w:rPr>
              <w:t>……</w:t>
            </w:r>
          </w:p>
          <w:p w14:paraId="035497B6">
            <w:pPr>
              <w:widowControl/>
              <w:numPr>
                <w:ilvl w:val="0"/>
                <w:numId w:val="5"/>
              </w:numPr>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未为从业人员提供符合国家标准或者行业标准的劳动防护用品的；</w:t>
            </w:r>
          </w:p>
          <w:p w14:paraId="2662D4EA">
            <w:pPr>
              <w:widowControl/>
              <w:numPr>
                <w:ilvl w:val="0"/>
                <w:numId w:val="0"/>
              </w:numPr>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p>
        </w:tc>
        <w:tc>
          <w:tcPr>
            <w:tcW w:w="741" w:type="dxa"/>
            <w:vAlign w:val="center"/>
          </w:tcPr>
          <w:p w14:paraId="6DEDD184">
            <w:pPr>
              <w:widowControl/>
              <w:adjustRightInd w:val="0"/>
              <w:snapToGrid w:val="0"/>
              <w:rPr>
                <w:rFonts w:ascii="宋体" w:hAnsi="宋体" w:cs="宋体"/>
                <w:color w:val="auto"/>
                <w:kern w:val="0"/>
                <w:szCs w:val="21"/>
              </w:rPr>
            </w:pPr>
          </w:p>
        </w:tc>
      </w:tr>
      <w:tr w14:paraId="52CB5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571" w:hRule="atLeast"/>
          <w:jc w:val="center"/>
        </w:trPr>
        <w:tc>
          <w:tcPr>
            <w:tcW w:w="522" w:type="dxa"/>
            <w:vMerge w:val="restart"/>
            <w:vAlign w:val="center"/>
          </w:tcPr>
          <w:p w14:paraId="37D7C58F">
            <w:pPr>
              <w:jc w:val="center"/>
              <w:rPr>
                <w:rFonts w:ascii="宋体" w:hAnsi="宋体" w:cs="宋体"/>
                <w:color w:val="auto"/>
                <w:kern w:val="0"/>
                <w:szCs w:val="21"/>
              </w:rPr>
            </w:pPr>
            <w:r>
              <w:rPr>
                <w:rFonts w:hint="eastAsia" w:ascii="宋体" w:hAnsi="宋体" w:cs="宋体"/>
                <w:color w:val="auto"/>
                <w:kern w:val="0"/>
                <w:szCs w:val="21"/>
              </w:rPr>
              <w:t>14</w:t>
            </w:r>
          </w:p>
        </w:tc>
        <w:tc>
          <w:tcPr>
            <w:tcW w:w="1341" w:type="dxa"/>
            <w:vMerge w:val="restart"/>
            <w:vAlign w:val="center"/>
          </w:tcPr>
          <w:p w14:paraId="2F5CA7FF">
            <w:pPr>
              <w:widowControl/>
              <w:adjustRightInd w:val="0"/>
              <w:snapToGrid w:val="0"/>
              <w:rPr>
                <w:rFonts w:ascii="宋体" w:hAnsi="宋体" w:cs="宋体"/>
                <w:color w:val="auto"/>
                <w:kern w:val="0"/>
                <w:szCs w:val="21"/>
              </w:rPr>
            </w:pPr>
            <w:r>
              <w:rPr>
                <w:rFonts w:hint="eastAsia" w:ascii="宋体" w:hAnsi="宋体" w:cs="宋体"/>
                <w:color w:val="auto"/>
                <w:kern w:val="0"/>
                <w:szCs w:val="21"/>
              </w:rPr>
              <w:t>生产经营项目、场所、设备发包、出租管理情况</w:t>
            </w:r>
          </w:p>
        </w:tc>
        <w:tc>
          <w:tcPr>
            <w:tcW w:w="1438" w:type="dxa"/>
            <w:vAlign w:val="center"/>
          </w:tcPr>
          <w:p w14:paraId="775FDFF6">
            <w:pPr>
              <w:widowControl/>
              <w:adjustRightInd w:val="0"/>
              <w:snapToGrid w:val="0"/>
              <w:rPr>
                <w:rFonts w:ascii="宋体" w:hAnsi="宋体" w:cs="宋体"/>
                <w:color w:val="auto"/>
                <w:kern w:val="0"/>
                <w:szCs w:val="21"/>
              </w:rPr>
            </w:pPr>
            <w:r>
              <w:rPr>
                <w:rFonts w:hint="eastAsia" w:ascii="宋体" w:hAnsi="宋体" w:cs="宋体"/>
                <w:color w:val="auto"/>
                <w:kern w:val="0"/>
                <w:szCs w:val="21"/>
              </w:rPr>
              <w:t>14.1 出租给具备条件或者资质的单位或者个人</w:t>
            </w:r>
          </w:p>
        </w:tc>
        <w:tc>
          <w:tcPr>
            <w:tcW w:w="4795" w:type="dxa"/>
            <w:vAlign w:val="center"/>
          </w:tcPr>
          <w:p w14:paraId="1980B62A">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w:t>
            </w:r>
            <w:r>
              <w:rPr>
                <w:rFonts w:hint="eastAsia" w:ascii="宋体" w:hAnsi="宋体" w:cs="宋体"/>
                <w:color w:val="auto"/>
                <w:kern w:val="0"/>
                <w:szCs w:val="21"/>
                <w:lang w:val="en-US" w:eastAsia="zh-CN"/>
              </w:rPr>
              <w:t>第四十九条　生产经营单位不得将生产经营项目、场所、设备发包或者出租给不具备安全生产条件或者相应资质的单位或者个人。</w:t>
            </w:r>
          </w:p>
          <w:p w14:paraId="006A597F">
            <w:pPr>
              <w:widowControl/>
              <w:adjustRightInd w:val="0"/>
              <w:snapToGrid w:val="0"/>
              <w:rPr>
                <w:rFonts w:ascii="宋体" w:hAnsi="宋体" w:cs="宋体"/>
                <w:color w:val="auto"/>
                <w:kern w:val="0"/>
                <w:szCs w:val="21"/>
              </w:rPr>
            </w:pPr>
            <w:r>
              <w:rPr>
                <w:rFonts w:hint="eastAsia" w:ascii="宋体" w:hAnsi="宋体" w:cs="宋体"/>
                <w:color w:val="auto"/>
                <w:kern w:val="0"/>
                <w:szCs w:val="21"/>
              </w:rPr>
              <w:t xml:space="preserve">    ……</w:t>
            </w:r>
          </w:p>
        </w:tc>
        <w:tc>
          <w:tcPr>
            <w:tcW w:w="7277" w:type="dxa"/>
            <w:vAlign w:val="center"/>
          </w:tcPr>
          <w:p w14:paraId="74A790C7">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w:t>
            </w:r>
            <w:r>
              <w:rPr>
                <w:rFonts w:hint="eastAsia" w:ascii="宋体" w:hAnsi="宋体" w:cs="宋体"/>
                <w:color w:val="auto"/>
                <w:kern w:val="0"/>
                <w:szCs w:val="21"/>
                <w:lang w:val="en-US" w:eastAsia="zh-CN"/>
              </w:rPr>
              <w:t>第一百零三条　生产经营单位将生产经营项目、场所、设备发包或者出租给不具备安全生产条件或者相应资质的单位或者个人的，责令限期改正，没收违法所得；违法所得十万元以上的，并处违法所得二倍以上五倍以下的罚款；没有违法所得或者违法所得不足十万元的，单处或者并处十万元以上二十万元以下的罚款；对其直接负责的主管人员和其他直接责任人员处一万元以上二万元以下的罚款；导致发生生产安全事故给他人造成损害的，与承包方、承租方承担连带赔偿责任。</w:t>
            </w:r>
          </w:p>
          <w:p w14:paraId="77FAB2A7">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highlight w:val="none"/>
              </w:rPr>
              <w:t>……</w:t>
            </w:r>
          </w:p>
        </w:tc>
        <w:tc>
          <w:tcPr>
            <w:tcW w:w="741" w:type="dxa"/>
            <w:vAlign w:val="center"/>
          </w:tcPr>
          <w:p w14:paraId="7803D43C">
            <w:pPr>
              <w:widowControl/>
              <w:adjustRightInd w:val="0"/>
              <w:snapToGrid w:val="0"/>
              <w:rPr>
                <w:rFonts w:ascii="宋体" w:hAnsi="宋体" w:cs="宋体"/>
                <w:color w:val="auto"/>
                <w:kern w:val="0"/>
                <w:szCs w:val="21"/>
              </w:rPr>
            </w:pPr>
          </w:p>
        </w:tc>
      </w:tr>
      <w:tr w14:paraId="38C0A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341" w:hRule="atLeast"/>
          <w:jc w:val="center"/>
        </w:trPr>
        <w:tc>
          <w:tcPr>
            <w:tcW w:w="522" w:type="dxa"/>
            <w:vMerge w:val="continue"/>
            <w:tcBorders>
              <w:bottom w:val="single" w:color="auto" w:sz="4" w:space="0"/>
            </w:tcBorders>
            <w:vAlign w:val="center"/>
          </w:tcPr>
          <w:p w14:paraId="47343F55">
            <w:pPr>
              <w:jc w:val="center"/>
              <w:rPr>
                <w:rFonts w:ascii="宋体" w:hAnsi="宋体" w:cs="宋体"/>
                <w:color w:val="auto"/>
                <w:kern w:val="0"/>
                <w:szCs w:val="21"/>
              </w:rPr>
            </w:pPr>
          </w:p>
        </w:tc>
        <w:tc>
          <w:tcPr>
            <w:tcW w:w="1341" w:type="dxa"/>
            <w:vMerge w:val="continue"/>
            <w:tcBorders>
              <w:bottom w:val="single" w:color="auto" w:sz="4" w:space="0"/>
            </w:tcBorders>
            <w:vAlign w:val="center"/>
          </w:tcPr>
          <w:p w14:paraId="4C045F93">
            <w:pPr>
              <w:widowControl/>
              <w:adjustRightInd w:val="0"/>
              <w:snapToGrid w:val="0"/>
              <w:rPr>
                <w:rFonts w:ascii="宋体" w:hAnsi="宋体" w:cs="宋体"/>
                <w:color w:val="auto"/>
                <w:kern w:val="0"/>
                <w:szCs w:val="21"/>
              </w:rPr>
            </w:pPr>
          </w:p>
        </w:tc>
        <w:tc>
          <w:tcPr>
            <w:tcW w:w="1438" w:type="dxa"/>
            <w:tcBorders>
              <w:bottom w:val="single" w:color="auto" w:sz="4" w:space="0"/>
            </w:tcBorders>
            <w:vAlign w:val="center"/>
          </w:tcPr>
          <w:p w14:paraId="646BB170">
            <w:pPr>
              <w:widowControl/>
              <w:adjustRightInd w:val="0"/>
              <w:snapToGrid w:val="0"/>
              <w:rPr>
                <w:rFonts w:ascii="宋体" w:hAnsi="宋体" w:cs="宋体"/>
                <w:color w:val="auto"/>
                <w:kern w:val="0"/>
                <w:szCs w:val="21"/>
              </w:rPr>
            </w:pPr>
            <w:r>
              <w:rPr>
                <w:rFonts w:hint="eastAsia" w:ascii="宋体" w:hAnsi="宋体" w:cs="宋体"/>
                <w:color w:val="auto"/>
                <w:kern w:val="0"/>
                <w:szCs w:val="21"/>
              </w:rPr>
              <w:t>14.2 安全管理协议和发包方统一协调管理</w:t>
            </w:r>
          </w:p>
        </w:tc>
        <w:tc>
          <w:tcPr>
            <w:tcW w:w="4795" w:type="dxa"/>
            <w:tcBorders>
              <w:bottom w:val="single" w:color="auto" w:sz="4" w:space="0"/>
            </w:tcBorders>
            <w:vAlign w:val="center"/>
          </w:tcPr>
          <w:p w14:paraId="427C0DC0">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》第四十</w:t>
            </w:r>
            <w:r>
              <w:rPr>
                <w:rFonts w:hint="eastAsia" w:ascii="宋体" w:hAnsi="宋体" w:cs="宋体"/>
                <w:color w:val="auto"/>
                <w:kern w:val="0"/>
                <w:szCs w:val="21"/>
                <w:lang w:eastAsia="zh-CN"/>
              </w:rPr>
              <w:t>九</w:t>
            </w:r>
            <w:r>
              <w:rPr>
                <w:rFonts w:hint="eastAsia" w:ascii="宋体" w:hAnsi="宋体" w:cs="宋体"/>
                <w:color w:val="auto"/>
                <w:kern w:val="0"/>
                <w:szCs w:val="21"/>
              </w:rPr>
              <w:t>条  ……</w:t>
            </w:r>
          </w:p>
          <w:p w14:paraId="725B4928">
            <w:pPr>
              <w:widowControl/>
              <w:adjustRightInd w:val="0"/>
              <w:snapToGrid w:val="0"/>
              <w:ind w:firstLine="420" w:firstLineChars="200"/>
              <w:rPr>
                <w:rFonts w:ascii="宋体" w:hAnsi="宋体" w:cs="宋体"/>
                <w:color w:val="auto"/>
                <w:kern w:val="0"/>
                <w:szCs w:val="21"/>
              </w:rPr>
            </w:pPr>
            <w:r>
              <w:rPr>
                <w:rFonts w:ascii="宋体" w:hAnsi="宋体" w:cs="宋体"/>
                <w:color w:val="auto"/>
                <w:kern w:val="0"/>
                <w:szCs w:val="21"/>
                <w:lang w:val="en-US" w:eastAsia="zh-CN"/>
              </w:rPr>
              <w:t>生产经营项目、场所发包或者出租给其他单位的，生产经营单位应当与承包单位、承租单位签订专门的安全生产管理协议，或者在承包合同、租赁合同中约定各自的安全生产管理职责；生产经营单位对承包单位、承租单位的安全生产工作统一协调、管理，定期进行安全检查，发现安全问题的，应当及时督促整改。</w:t>
            </w:r>
          </w:p>
          <w:p w14:paraId="287E1314">
            <w:pPr>
              <w:widowControl/>
              <w:adjustRightInd w:val="0"/>
              <w:snapToGrid w:val="0"/>
              <w:ind w:firstLine="420" w:firstLineChars="200"/>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w:t>
            </w:r>
          </w:p>
        </w:tc>
        <w:tc>
          <w:tcPr>
            <w:tcW w:w="7277" w:type="dxa"/>
            <w:tcBorders>
              <w:bottom w:val="single" w:color="auto" w:sz="4" w:space="0"/>
            </w:tcBorders>
            <w:vAlign w:val="center"/>
          </w:tcPr>
          <w:p w14:paraId="2612D591">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》第一百</w:t>
            </w:r>
            <w:r>
              <w:rPr>
                <w:rFonts w:hint="eastAsia" w:ascii="宋体" w:hAnsi="宋体" w:cs="宋体"/>
                <w:color w:val="auto"/>
                <w:kern w:val="0"/>
                <w:szCs w:val="21"/>
                <w:lang w:eastAsia="zh-CN"/>
              </w:rPr>
              <w:t>零三</w:t>
            </w:r>
            <w:r>
              <w:rPr>
                <w:rFonts w:hint="eastAsia" w:ascii="宋体" w:hAnsi="宋体" w:cs="宋体"/>
                <w:color w:val="auto"/>
                <w:kern w:val="0"/>
                <w:szCs w:val="21"/>
              </w:rPr>
              <w:t>条  ……</w:t>
            </w:r>
          </w:p>
          <w:p w14:paraId="29BDA2A1">
            <w:pPr>
              <w:widowControl/>
              <w:adjustRightInd w:val="0"/>
              <w:snapToGrid w:val="0"/>
              <w:ind w:firstLine="420" w:firstLineChars="200"/>
              <w:rPr>
                <w:rFonts w:ascii="宋体" w:hAnsi="宋体" w:cs="宋体"/>
                <w:color w:val="auto"/>
                <w:kern w:val="0"/>
                <w:szCs w:val="21"/>
                <w:lang w:val="en-US" w:eastAsia="zh-CN"/>
              </w:rPr>
            </w:pPr>
            <w:r>
              <w:rPr>
                <w:rFonts w:ascii="宋体" w:hAnsi="宋体" w:cs="宋体"/>
                <w:color w:val="auto"/>
                <w:kern w:val="0"/>
                <w:szCs w:val="21"/>
                <w:lang w:val="en-US" w:eastAsia="zh-CN"/>
              </w:rPr>
              <w:t>生产经营单位未与承包单位、承租单位签订专门的安全生产管理协议或者未在承包合同、租赁合同中明确各自的安全生产管理职责，或者未对承包单位、承租单位的安全生产统一协调、管理的，责令限期改正，处五万元以下的罚款，对其直接负责的主管人员和其他直接责任人员处一万元以下的罚款；逾期未改正的，责令停产停业整顿。</w:t>
            </w:r>
          </w:p>
          <w:p w14:paraId="5B4476F3">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lang w:val="en-US" w:eastAsia="zh-CN"/>
              </w:rPr>
              <w:t>……</w:t>
            </w:r>
          </w:p>
        </w:tc>
        <w:tc>
          <w:tcPr>
            <w:tcW w:w="741" w:type="dxa"/>
            <w:tcBorders>
              <w:bottom w:val="single" w:color="auto" w:sz="4" w:space="0"/>
            </w:tcBorders>
            <w:vAlign w:val="center"/>
          </w:tcPr>
          <w:p w14:paraId="58543BD3">
            <w:pPr>
              <w:widowControl/>
              <w:adjustRightInd w:val="0"/>
              <w:snapToGrid w:val="0"/>
              <w:rPr>
                <w:rFonts w:ascii="宋体" w:hAnsi="宋体" w:cs="宋体"/>
                <w:color w:val="auto"/>
                <w:kern w:val="0"/>
                <w:szCs w:val="21"/>
              </w:rPr>
            </w:pPr>
          </w:p>
        </w:tc>
      </w:tr>
      <w:tr w14:paraId="257A6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1011" w:hRule="atLeast"/>
          <w:jc w:val="center"/>
        </w:trPr>
        <w:tc>
          <w:tcPr>
            <w:tcW w:w="522" w:type="dxa"/>
            <w:vAlign w:val="center"/>
          </w:tcPr>
          <w:p w14:paraId="54167413">
            <w:pPr>
              <w:widowControl/>
              <w:adjustRightInd w:val="0"/>
              <w:snapToGrid w:val="0"/>
              <w:spacing w:line="320" w:lineRule="exact"/>
              <w:jc w:val="center"/>
              <w:rPr>
                <w:rFonts w:hint="eastAsia" w:ascii="宋体" w:hAnsi="宋体" w:eastAsia="宋体" w:cs="宋体"/>
                <w:color w:val="auto"/>
                <w:kern w:val="0"/>
                <w:szCs w:val="21"/>
                <w:lang w:val="en-US" w:eastAsia="zh-CN"/>
              </w:rPr>
            </w:pPr>
            <w:r>
              <w:rPr>
                <w:rFonts w:hint="eastAsia" w:ascii="宋体" w:hAnsi="宋体" w:cs="宋体"/>
                <w:color w:val="auto"/>
                <w:kern w:val="0"/>
                <w:szCs w:val="21"/>
              </w:rPr>
              <w:t>1</w:t>
            </w:r>
            <w:r>
              <w:rPr>
                <w:rFonts w:hint="eastAsia" w:ascii="宋体" w:hAnsi="宋体" w:cs="宋体"/>
                <w:color w:val="auto"/>
                <w:kern w:val="0"/>
                <w:szCs w:val="21"/>
                <w:lang w:val="en-US" w:eastAsia="zh-CN"/>
              </w:rPr>
              <w:t>5</w:t>
            </w:r>
          </w:p>
        </w:tc>
        <w:tc>
          <w:tcPr>
            <w:tcW w:w="1341" w:type="dxa"/>
            <w:vAlign w:val="center"/>
          </w:tcPr>
          <w:p w14:paraId="69A8AA20">
            <w:pPr>
              <w:widowControl/>
              <w:adjustRightInd w:val="0"/>
              <w:snapToGrid w:val="0"/>
              <w:spacing w:line="320" w:lineRule="exact"/>
              <w:rPr>
                <w:rFonts w:ascii="宋体" w:hAnsi="宋体" w:cs="宋体"/>
                <w:color w:val="auto"/>
                <w:kern w:val="0"/>
                <w:szCs w:val="21"/>
              </w:rPr>
            </w:pPr>
            <w:r>
              <w:rPr>
                <w:rFonts w:hint="eastAsia" w:ascii="宋体" w:hAnsi="宋体" w:cs="宋体"/>
                <w:color w:val="auto"/>
                <w:kern w:val="0"/>
                <w:szCs w:val="21"/>
              </w:rPr>
              <w:t>应急预案的制定及实施情况</w:t>
            </w:r>
          </w:p>
        </w:tc>
        <w:tc>
          <w:tcPr>
            <w:tcW w:w="1438" w:type="dxa"/>
            <w:vAlign w:val="center"/>
          </w:tcPr>
          <w:p w14:paraId="53D5C55F">
            <w:pPr>
              <w:widowControl/>
              <w:adjustRightInd w:val="0"/>
              <w:snapToGrid w:val="0"/>
              <w:spacing w:line="320" w:lineRule="exact"/>
              <w:rPr>
                <w:rFonts w:ascii="宋体" w:hAnsi="宋体" w:cs="宋体"/>
                <w:color w:val="auto"/>
                <w:kern w:val="0"/>
                <w:szCs w:val="21"/>
              </w:rPr>
            </w:pPr>
            <w:r>
              <w:rPr>
                <w:rFonts w:hint="eastAsia" w:ascii="宋体" w:hAnsi="宋体" w:cs="宋体"/>
                <w:color w:val="auto"/>
                <w:kern w:val="0"/>
                <w:szCs w:val="21"/>
              </w:rPr>
              <w:t>主要负责人组织制定并实施本单位事故应急救援预案</w:t>
            </w:r>
          </w:p>
        </w:tc>
        <w:tc>
          <w:tcPr>
            <w:tcW w:w="4795" w:type="dxa"/>
            <w:vAlign w:val="center"/>
          </w:tcPr>
          <w:p w14:paraId="4DBAEC2D">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》第</w:t>
            </w:r>
            <w:r>
              <w:rPr>
                <w:rFonts w:hint="eastAsia" w:ascii="宋体" w:hAnsi="宋体" w:cs="宋体"/>
                <w:color w:val="auto"/>
                <w:kern w:val="0"/>
                <w:szCs w:val="21"/>
                <w:lang w:eastAsia="zh-CN"/>
              </w:rPr>
              <w:t>二十一</w:t>
            </w:r>
            <w:r>
              <w:rPr>
                <w:rFonts w:hint="eastAsia" w:ascii="宋体" w:hAnsi="宋体" w:cs="宋体"/>
                <w:color w:val="auto"/>
                <w:kern w:val="0"/>
                <w:szCs w:val="21"/>
              </w:rPr>
              <w:t>条  生产经营单位的主要负责人对本单位安全生产工作负有下列职责：</w:t>
            </w:r>
          </w:p>
          <w:p w14:paraId="64221C2D">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p>
          <w:p w14:paraId="2D492E1B">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（六）组织制定并实施本单位的生产安全事故应急救援预案；</w:t>
            </w:r>
          </w:p>
          <w:p w14:paraId="7612AA5F">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p>
          <w:p w14:paraId="3CF081B6">
            <w:pPr>
              <w:widowControl/>
              <w:adjustRightInd w:val="0"/>
              <w:snapToGrid w:val="0"/>
              <w:ind w:firstLine="420" w:firstLineChars="200"/>
              <w:rPr>
                <w:rFonts w:ascii="宋体" w:hAnsi="宋体" w:cs="宋体"/>
                <w:color w:val="auto"/>
                <w:kern w:val="0"/>
                <w:szCs w:val="21"/>
              </w:rPr>
            </w:pPr>
          </w:p>
        </w:tc>
        <w:tc>
          <w:tcPr>
            <w:tcW w:w="7277" w:type="dxa"/>
            <w:vAlign w:val="center"/>
          </w:tcPr>
          <w:p w14:paraId="636D726C">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》第九十四条　生产经营单位的主要负责人未履行本法规定的安全生产管理职责的，责令限期改正，处二万元以上五万元以下的罚款；逾期未改正的，处五万元以上十万元以下的罚款，责令生产经营单位停产停业整顿。</w:t>
            </w:r>
          </w:p>
          <w:p w14:paraId="685546D8">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生产经营单位的主要负责人有前款违法行为，导致发生生产安全事故的，给予撤职处分；构成犯罪的，依照刑法有关规定追究刑事责任。</w:t>
            </w:r>
          </w:p>
          <w:p w14:paraId="1D24428A">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tc>
        <w:tc>
          <w:tcPr>
            <w:tcW w:w="741" w:type="dxa"/>
            <w:vAlign w:val="center"/>
          </w:tcPr>
          <w:p w14:paraId="3BEC456E">
            <w:pPr>
              <w:widowControl/>
              <w:adjustRightInd w:val="0"/>
              <w:snapToGrid w:val="0"/>
              <w:spacing w:line="320" w:lineRule="exact"/>
              <w:rPr>
                <w:rFonts w:ascii="宋体" w:hAnsi="宋体" w:cs="宋体"/>
                <w:color w:val="auto"/>
                <w:kern w:val="0"/>
                <w:szCs w:val="21"/>
                <w:highlight w:val="yellow"/>
              </w:rPr>
            </w:pPr>
          </w:p>
        </w:tc>
      </w:tr>
      <w:tr w14:paraId="77936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401" w:hRule="atLeast"/>
          <w:jc w:val="center"/>
        </w:trPr>
        <w:tc>
          <w:tcPr>
            <w:tcW w:w="522" w:type="dxa"/>
            <w:vAlign w:val="center"/>
          </w:tcPr>
          <w:p w14:paraId="4B5EFDD5">
            <w:pPr>
              <w:jc w:val="center"/>
              <w:rPr>
                <w:rFonts w:hint="eastAsia" w:ascii="宋体" w:hAnsi="宋体" w:eastAsia="宋体"/>
                <w:color w:val="auto"/>
                <w:szCs w:val="21"/>
                <w:lang w:val="en-US" w:eastAsia="zh-CN"/>
              </w:rPr>
            </w:pPr>
            <w:r>
              <w:rPr>
                <w:rFonts w:hint="eastAsia" w:ascii="宋体" w:hAnsi="宋体"/>
                <w:color w:val="auto"/>
                <w:szCs w:val="21"/>
              </w:rPr>
              <w:t>1</w:t>
            </w:r>
            <w:r>
              <w:rPr>
                <w:rFonts w:hint="eastAsia" w:ascii="宋体" w:hAnsi="宋体"/>
                <w:color w:val="auto"/>
                <w:szCs w:val="21"/>
                <w:lang w:val="en-US" w:eastAsia="zh-CN"/>
              </w:rPr>
              <w:t>6</w:t>
            </w:r>
          </w:p>
        </w:tc>
        <w:tc>
          <w:tcPr>
            <w:tcW w:w="1341" w:type="dxa"/>
            <w:vAlign w:val="center"/>
          </w:tcPr>
          <w:p w14:paraId="2BDE0380">
            <w:pPr>
              <w:widowControl/>
              <w:adjustRightInd w:val="0"/>
              <w:snapToGrid w:val="0"/>
              <w:spacing w:line="300" w:lineRule="exact"/>
              <w:rPr>
                <w:rFonts w:ascii="宋体" w:hAnsi="宋体" w:cs="宋体"/>
                <w:color w:val="auto"/>
                <w:kern w:val="0"/>
                <w:szCs w:val="21"/>
              </w:rPr>
            </w:pPr>
            <w:r>
              <w:rPr>
                <w:rFonts w:hint="eastAsia" w:ascii="宋体" w:hAnsi="宋体" w:cs="宋体"/>
                <w:color w:val="auto"/>
                <w:kern w:val="0"/>
                <w:szCs w:val="21"/>
              </w:rPr>
              <w:t>应急预案制定演练情况</w:t>
            </w:r>
          </w:p>
        </w:tc>
        <w:tc>
          <w:tcPr>
            <w:tcW w:w="1438" w:type="dxa"/>
            <w:vAlign w:val="center"/>
          </w:tcPr>
          <w:p w14:paraId="6F757A6F">
            <w:pPr>
              <w:widowControl/>
              <w:adjustRightInd w:val="0"/>
              <w:snapToGrid w:val="0"/>
              <w:spacing w:line="300" w:lineRule="exact"/>
              <w:rPr>
                <w:rFonts w:ascii="宋体" w:hAnsi="宋体" w:cs="宋体"/>
                <w:color w:val="auto"/>
                <w:kern w:val="0"/>
                <w:szCs w:val="21"/>
              </w:rPr>
            </w:pPr>
            <w:r>
              <w:rPr>
                <w:rFonts w:hint="eastAsia" w:ascii="宋体" w:hAnsi="宋体" w:cs="宋体"/>
                <w:color w:val="auto"/>
                <w:kern w:val="0"/>
                <w:szCs w:val="21"/>
              </w:rPr>
              <w:t>制定本单位事故应急救援预案，与地方人民政府事故应急救援预案相衔接，并定期组织演练</w:t>
            </w:r>
          </w:p>
        </w:tc>
        <w:tc>
          <w:tcPr>
            <w:tcW w:w="4795" w:type="dxa"/>
            <w:vAlign w:val="center"/>
          </w:tcPr>
          <w:p w14:paraId="7B3E1E02">
            <w:pPr>
              <w:widowControl/>
              <w:adjustRightInd w:val="0"/>
              <w:snapToGrid w:val="0"/>
              <w:spacing w:line="300" w:lineRule="exact"/>
              <w:ind w:firstLine="420" w:firstLineChars="200"/>
              <w:rPr>
                <w:rFonts w:ascii="宋体" w:hAnsi="宋体" w:cs="宋体"/>
                <w:color w:val="auto"/>
                <w:kern w:val="0"/>
                <w:szCs w:val="21"/>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》第八十一条　生产经营单位应当制定本单位生产安全事故应急救援预案，与所在地县级以上地方人民政府组织制定的生产安全事故应急救援预案相衔接，并定期组织演练。</w:t>
            </w:r>
          </w:p>
          <w:p w14:paraId="3261EF8C">
            <w:pPr>
              <w:widowControl/>
              <w:adjustRightInd w:val="0"/>
              <w:snapToGrid w:val="0"/>
              <w:spacing w:line="300" w:lineRule="exact"/>
              <w:ind w:firstLine="420" w:firstLineChars="200"/>
              <w:rPr>
                <w:rFonts w:ascii="宋体" w:hAnsi="宋体" w:cs="宋体"/>
                <w:color w:val="auto"/>
                <w:kern w:val="0"/>
                <w:szCs w:val="21"/>
              </w:rPr>
            </w:pPr>
          </w:p>
        </w:tc>
        <w:tc>
          <w:tcPr>
            <w:tcW w:w="7277" w:type="dxa"/>
            <w:vAlign w:val="center"/>
          </w:tcPr>
          <w:p w14:paraId="4B42C431">
            <w:pPr>
              <w:widowControl/>
              <w:adjustRightInd w:val="0"/>
              <w:snapToGrid w:val="0"/>
              <w:ind w:firstLine="420" w:firstLineChars="200"/>
              <w:rPr>
                <w:rFonts w:hint="eastAsia"/>
                <w:color w:val="auto"/>
              </w:rPr>
            </w:pPr>
            <w:r>
              <w:rPr>
                <w:rFonts w:hint="eastAsia" w:ascii="宋体" w:hAnsi="宋体" w:cs="宋体"/>
                <w:color w:val="auto"/>
                <w:kern w:val="0"/>
                <w:szCs w:val="21"/>
              </w:rPr>
              <w:t>《</w:t>
            </w:r>
            <w:r>
              <w:rPr>
                <w:rFonts w:hint="eastAsia" w:ascii="宋体" w:hAnsi="宋体" w:cs="宋体"/>
                <w:color w:val="auto"/>
                <w:kern w:val="0"/>
                <w:szCs w:val="21"/>
                <w:lang w:eastAsia="zh-CN"/>
              </w:rPr>
              <w:t>中华人民共和国安全生产法</w:t>
            </w:r>
            <w:r>
              <w:rPr>
                <w:rFonts w:hint="eastAsia" w:ascii="宋体" w:hAnsi="宋体" w:cs="宋体"/>
                <w:color w:val="auto"/>
                <w:kern w:val="0"/>
                <w:szCs w:val="21"/>
              </w:rPr>
              <w:t>》</w:t>
            </w:r>
            <w:r>
              <w:rPr>
                <w:rFonts w:hint="eastAsia"/>
                <w:color w:val="auto"/>
                <w:lang w:val="en-US" w:eastAsia="zh-CN"/>
              </w:rPr>
              <w:t>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p>
          <w:p w14:paraId="17CE922E">
            <w:pPr>
              <w:widowControl/>
              <w:adjustRightInd w:val="0"/>
              <w:snapToGrid w:val="0"/>
              <w:ind w:firstLine="420" w:firstLineChars="200"/>
              <w:rPr>
                <w:rFonts w:hint="eastAsia"/>
                <w:color w:val="auto"/>
                <w:lang w:val="en-US" w:eastAsia="zh-CN"/>
              </w:rPr>
            </w:pPr>
            <w:r>
              <w:rPr>
                <w:rFonts w:hint="eastAsia"/>
                <w:color w:val="auto"/>
                <w:lang w:val="en-US" w:eastAsia="zh-CN"/>
              </w:rPr>
              <w:t>……</w:t>
            </w:r>
          </w:p>
          <w:p w14:paraId="6A438A04">
            <w:pPr>
              <w:widowControl/>
              <w:adjustRightInd w:val="0"/>
              <w:snapToGrid w:val="0"/>
              <w:ind w:firstLine="420" w:firstLineChars="200"/>
              <w:rPr>
                <w:color w:val="auto"/>
              </w:rPr>
            </w:pPr>
            <w:r>
              <w:rPr>
                <w:rFonts w:hint="eastAsia"/>
                <w:color w:val="auto"/>
                <w:lang w:val="en-US" w:eastAsia="zh-CN"/>
              </w:rPr>
              <w:t>（六）未按照规定制定生产安全事故应急救援预案或者未定期组织演练的；</w:t>
            </w:r>
          </w:p>
          <w:p w14:paraId="38BF9646">
            <w:pPr>
              <w:pStyle w:val="11"/>
              <w:ind w:left="0" w:leftChars="0" w:firstLine="0" w:firstLineChars="0"/>
              <w:rPr>
                <w:rFonts w:eastAsia="宋体"/>
                <w:color w:val="auto"/>
              </w:rPr>
            </w:pPr>
          </w:p>
        </w:tc>
        <w:tc>
          <w:tcPr>
            <w:tcW w:w="741" w:type="dxa"/>
            <w:vAlign w:val="center"/>
          </w:tcPr>
          <w:p w14:paraId="3EC762F5">
            <w:pPr>
              <w:widowControl/>
              <w:adjustRightInd w:val="0"/>
              <w:snapToGrid w:val="0"/>
              <w:rPr>
                <w:rFonts w:ascii="宋体" w:hAnsi="宋体" w:cs="宋体"/>
                <w:color w:val="auto"/>
                <w:kern w:val="0"/>
                <w:szCs w:val="21"/>
              </w:rPr>
            </w:pPr>
          </w:p>
        </w:tc>
      </w:tr>
      <w:tr w14:paraId="0239F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1011" w:hRule="atLeast"/>
          <w:jc w:val="center"/>
        </w:trPr>
        <w:tc>
          <w:tcPr>
            <w:tcW w:w="522" w:type="dxa"/>
            <w:vAlign w:val="center"/>
          </w:tcPr>
          <w:p w14:paraId="09C99216">
            <w:pPr>
              <w:jc w:val="center"/>
              <w:rPr>
                <w:rFonts w:hint="eastAsia" w:ascii="宋体" w:hAnsi="宋体" w:eastAsia="宋体"/>
                <w:color w:val="auto"/>
                <w:szCs w:val="21"/>
                <w:lang w:val="en-US" w:eastAsia="zh-CN"/>
              </w:rPr>
            </w:pPr>
            <w:r>
              <w:rPr>
                <w:rFonts w:hint="eastAsia" w:ascii="宋体" w:hAnsi="宋体"/>
                <w:color w:val="auto"/>
                <w:szCs w:val="21"/>
              </w:rPr>
              <w:t>1</w:t>
            </w:r>
            <w:r>
              <w:rPr>
                <w:rFonts w:hint="eastAsia" w:ascii="宋体" w:hAnsi="宋体"/>
                <w:color w:val="auto"/>
                <w:szCs w:val="21"/>
                <w:lang w:val="en-US" w:eastAsia="zh-CN"/>
              </w:rPr>
              <w:t>7</w:t>
            </w:r>
          </w:p>
        </w:tc>
        <w:tc>
          <w:tcPr>
            <w:tcW w:w="1341" w:type="dxa"/>
            <w:vAlign w:val="center"/>
          </w:tcPr>
          <w:p w14:paraId="6D4A16B2">
            <w:pPr>
              <w:widowControl/>
              <w:adjustRightInd w:val="0"/>
              <w:snapToGrid w:val="0"/>
              <w:rPr>
                <w:rFonts w:ascii="宋体" w:hAnsi="宋体" w:cs="宋体"/>
                <w:color w:val="auto"/>
                <w:kern w:val="0"/>
                <w:szCs w:val="21"/>
              </w:rPr>
            </w:pPr>
            <w:r>
              <w:rPr>
                <w:rFonts w:hint="eastAsia" w:ascii="宋体" w:hAnsi="宋体" w:cs="宋体"/>
                <w:color w:val="auto"/>
                <w:kern w:val="0"/>
                <w:szCs w:val="21"/>
              </w:rPr>
              <w:t>编制应急预案前风险评估和应急资源调查情况</w:t>
            </w:r>
          </w:p>
        </w:tc>
        <w:tc>
          <w:tcPr>
            <w:tcW w:w="1438" w:type="dxa"/>
            <w:vAlign w:val="center"/>
          </w:tcPr>
          <w:p w14:paraId="70F52F36">
            <w:pPr>
              <w:widowControl/>
              <w:adjustRightInd w:val="0"/>
              <w:snapToGrid w:val="0"/>
              <w:rPr>
                <w:rFonts w:ascii="宋体" w:hAnsi="宋体"/>
                <w:bCs/>
                <w:color w:val="auto"/>
                <w:szCs w:val="21"/>
              </w:rPr>
            </w:pPr>
            <w:r>
              <w:rPr>
                <w:rFonts w:hint="eastAsia" w:ascii="宋体" w:hAnsi="宋体" w:cs="宋体"/>
                <w:color w:val="auto"/>
                <w:kern w:val="0"/>
                <w:szCs w:val="21"/>
              </w:rPr>
              <w:t>编制应急预案前进行事故风险评估和应急资源调查</w:t>
            </w:r>
          </w:p>
        </w:tc>
        <w:tc>
          <w:tcPr>
            <w:tcW w:w="4795" w:type="dxa"/>
            <w:vAlign w:val="center"/>
          </w:tcPr>
          <w:p w14:paraId="1873758E">
            <w:pPr>
              <w:adjustRightInd w:val="0"/>
              <w:snapToGrid w:val="0"/>
              <w:ind w:firstLine="420" w:firstLineChars="200"/>
              <w:rPr>
                <w:rFonts w:ascii="Times New Roman" w:hAnsi="Times New Roman"/>
                <w:color w:val="auto"/>
              </w:rPr>
            </w:pPr>
            <w:r>
              <w:rPr>
                <w:rFonts w:hint="eastAsia" w:ascii="Times New Roman" w:hAnsi="Times New Roman"/>
                <w:color w:val="auto"/>
              </w:rPr>
              <w:t>《生产安全事故应急预案管理办法》第十条  编制应急预案前，编制单位应当进行事故风险辨识、评估和应急资源调查。</w:t>
            </w:r>
          </w:p>
          <w:p w14:paraId="2F55F8E8">
            <w:pPr>
              <w:adjustRightInd w:val="0"/>
              <w:snapToGrid w:val="0"/>
              <w:ind w:firstLine="420" w:firstLineChars="200"/>
              <w:rPr>
                <w:rFonts w:ascii="Times New Roman" w:hAnsi="Times New Roman"/>
                <w:color w:val="auto"/>
              </w:rPr>
            </w:pPr>
            <w:r>
              <w:rPr>
                <w:rFonts w:hint="eastAsia" w:ascii="Times New Roman" w:hAnsi="Times New Roman"/>
                <w:color w:val="auto"/>
              </w:rPr>
              <w:t>事故风险辨识、评估，是指针对不同事故种类及特点，识别存在的危险危害因素，分析事故可能产生的直接后果以及次生、衍生后果，评估各种后果的危害程度和影响范围，提出防范和控制事故风险措施的过程。</w:t>
            </w:r>
          </w:p>
          <w:p w14:paraId="5EE06819">
            <w:pPr>
              <w:adjustRightInd w:val="0"/>
              <w:snapToGrid w:val="0"/>
              <w:ind w:firstLine="420" w:firstLineChars="200"/>
              <w:rPr>
                <w:rFonts w:ascii="宋体" w:hAnsi="宋体" w:cs="宋体"/>
                <w:color w:val="auto"/>
                <w:kern w:val="0"/>
                <w:szCs w:val="21"/>
                <w:bdr w:val="single" w:color="auto" w:sz="4" w:space="0"/>
              </w:rPr>
            </w:pPr>
            <w:r>
              <w:rPr>
                <w:rFonts w:hint="eastAsia" w:ascii="Times New Roman" w:hAnsi="Times New Roman"/>
                <w:color w:val="auto"/>
              </w:rPr>
              <w:t>应急资源调查，是指全面调查本地区、本单位第一时间可以调用的应急资源状况和合作区域内可以请求援助的应急资源状况，并结合事故风险辨识评估结论制定应急措施的过程。</w:t>
            </w:r>
          </w:p>
        </w:tc>
        <w:tc>
          <w:tcPr>
            <w:tcW w:w="7277" w:type="dxa"/>
            <w:vAlign w:val="center"/>
          </w:tcPr>
          <w:p w14:paraId="4BABB5DD">
            <w:pPr>
              <w:widowControl/>
              <w:adjustRightInd w:val="0"/>
              <w:snapToGrid w:val="0"/>
              <w:ind w:firstLine="420" w:firstLineChars="200"/>
              <w:rPr>
                <w:color w:val="auto"/>
                <w:highlight w:val="none"/>
              </w:rPr>
            </w:pPr>
            <w:r>
              <w:rPr>
                <w:rFonts w:hint="eastAsia"/>
                <w:color w:val="auto"/>
              </w:rPr>
              <w:t>《生产安全事故应急预案管理办法》第四十五条  生产经营单位有下列情形之一的，由县级以上人民政府</w:t>
            </w:r>
            <w:r>
              <w:rPr>
                <w:rFonts w:hint="eastAsia"/>
                <w:color w:val="auto"/>
                <w:highlight w:val="none"/>
              </w:rPr>
              <w:t>应急管理部门责令限期改正，可以处</w:t>
            </w:r>
            <w:r>
              <w:rPr>
                <w:rFonts w:hint="eastAsia" w:asciiTheme="minorEastAsia" w:hAnsiTheme="minorEastAsia" w:eastAsiaTheme="minorEastAsia"/>
                <w:color w:val="auto"/>
                <w:highlight w:val="none"/>
              </w:rPr>
              <w:t>1</w:t>
            </w:r>
            <w:r>
              <w:rPr>
                <w:rFonts w:hint="eastAsia"/>
                <w:color w:val="auto"/>
                <w:highlight w:val="none"/>
              </w:rPr>
              <w:t>万元以上</w:t>
            </w:r>
            <w:r>
              <w:rPr>
                <w:rFonts w:hint="eastAsia" w:asciiTheme="minorEastAsia" w:hAnsiTheme="minorEastAsia" w:eastAsiaTheme="minorEastAsia"/>
                <w:color w:val="auto"/>
                <w:highlight w:val="none"/>
              </w:rPr>
              <w:t>3</w:t>
            </w:r>
            <w:r>
              <w:rPr>
                <w:rFonts w:hint="eastAsia"/>
                <w:color w:val="auto"/>
                <w:highlight w:val="none"/>
              </w:rPr>
              <w:t>万元以下的罚款：</w:t>
            </w:r>
          </w:p>
          <w:p w14:paraId="3DD145B5">
            <w:pPr>
              <w:widowControl/>
              <w:adjustRightInd w:val="0"/>
              <w:snapToGrid w:val="0"/>
              <w:ind w:firstLine="420" w:firstLineChars="200"/>
              <w:rPr>
                <w:color w:val="auto"/>
              </w:rPr>
            </w:pPr>
            <w:r>
              <w:rPr>
                <w:rFonts w:hint="eastAsia"/>
                <w:color w:val="auto"/>
                <w:highlight w:val="none"/>
              </w:rPr>
              <w:t>（一）在应急预案编制前未按照规定开展风险辨识</w:t>
            </w:r>
            <w:r>
              <w:rPr>
                <w:rFonts w:hint="eastAsia"/>
                <w:color w:val="auto"/>
              </w:rPr>
              <w:t>、评估和应急资源调查的；</w:t>
            </w:r>
          </w:p>
          <w:p w14:paraId="666D0AAF">
            <w:pPr>
              <w:pStyle w:val="11"/>
              <w:ind w:firstLine="420"/>
              <w:rPr>
                <w:rFonts w:eastAsia="宋体"/>
                <w:color w:val="auto"/>
              </w:rPr>
            </w:pPr>
            <w:r>
              <w:rPr>
                <w:rFonts w:hint="eastAsia" w:ascii="宋体" w:hAnsi="宋体" w:eastAsia="宋体" w:cs="宋体"/>
                <w:color w:val="auto"/>
                <w:kern w:val="0"/>
                <w:szCs w:val="21"/>
              </w:rPr>
              <w:t>……</w:t>
            </w:r>
          </w:p>
        </w:tc>
        <w:tc>
          <w:tcPr>
            <w:tcW w:w="741" w:type="dxa"/>
            <w:vAlign w:val="center"/>
          </w:tcPr>
          <w:p w14:paraId="57BD68D5">
            <w:pPr>
              <w:widowControl/>
              <w:adjustRightInd w:val="0"/>
              <w:snapToGrid w:val="0"/>
              <w:rPr>
                <w:rFonts w:ascii="宋体" w:hAnsi="宋体" w:cs="宋体"/>
                <w:color w:val="auto"/>
                <w:kern w:val="0"/>
                <w:szCs w:val="21"/>
              </w:rPr>
            </w:pPr>
          </w:p>
        </w:tc>
      </w:tr>
      <w:tr w14:paraId="6A9F9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1011" w:hRule="atLeast"/>
          <w:jc w:val="center"/>
        </w:trPr>
        <w:tc>
          <w:tcPr>
            <w:tcW w:w="522" w:type="dxa"/>
            <w:vAlign w:val="center"/>
          </w:tcPr>
          <w:p w14:paraId="17FEED30">
            <w:pPr>
              <w:jc w:val="center"/>
              <w:rPr>
                <w:rFonts w:hint="eastAsia" w:ascii="宋体" w:hAnsi="宋体" w:eastAsia="宋体"/>
                <w:color w:val="auto"/>
                <w:szCs w:val="21"/>
                <w:lang w:val="en-US" w:eastAsia="zh-CN"/>
              </w:rPr>
            </w:pPr>
            <w:r>
              <w:rPr>
                <w:rFonts w:hint="eastAsia" w:ascii="宋体" w:hAnsi="宋体"/>
                <w:color w:val="auto"/>
                <w:szCs w:val="21"/>
              </w:rPr>
              <w:t>1</w:t>
            </w:r>
            <w:r>
              <w:rPr>
                <w:rFonts w:hint="eastAsia" w:ascii="宋体" w:hAnsi="宋体"/>
                <w:color w:val="auto"/>
                <w:szCs w:val="21"/>
                <w:lang w:val="en-US" w:eastAsia="zh-CN"/>
              </w:rPr>
              <w:t>8</w:t>
            </w:r>
          </w:p>
        </w:tc>
        <w:tc>
          <w:tcPr>
            <w:tcW w:w="1341" w:type="dxa"/>
            <w:vAlign w:val="center"/>
          </w:tcPr>
          <w:p w14:paraId="6E94E275">
            <w:pPr>
              <w:widowControl/>
              <w:adjustRightInd w:val="0"/>
              <w:snapToGrid w:val="0"/>
              <w:rPr>
                <w:rFonts w:ascii="宋体" w:hAnsi="宋体" w:cs="宋体"/>
                <w:color w:val="auto"/>
                <w:kern w:val="0"/>
                <w:szCs w:val="21"/>
              </w:rPr>
            </w:pPr>
            <w:r>
              <w:rPr>
                <w:rFonts w:hint="eastAsia" w:ascii="宋体" w:hAnsi="宋体" w:cs="宋体"/>
                <w:color w:val="auto"/>
                <w:kern w:val="0"/>
                <w:szCs w:val="21"/>
              </w:rPr>
              <w:t>应急预案评审或者论证情况</w:t>
            </w:r>
          </w:p>
        </w:tc>
        <w:tc>
          <w:tcPr>
            <w:tcW w:w="1438" w:type="dxa"/>
            <w:vAlign w:val="center"/>
          </w:tcPr>
          <w:p w14:paraId="2FCDAE93">
            <w:pPr>
              <w:widowControl/>
              <w:adjustRightInd w:val="0"/>
              <w:snapToGrid w:val="0"/>
              <w:rPr>
                <w:rFonts w:ascii="宋体" w:hAnsi="宋体"/>
                <w:bCs/>
                <w:color w:val="auto"/>
                <w:szCs w:val="21"/>
              </w:rPr>
            </w:pPr>
            <w:r>
              <w:rPr>
                <w:rFonts w:hint="eastAsia" w:ascii="宋体" w:hAnsi="宋体"/>
                <w:bCs/>
                <w:color w:val="auto"/>
                <w:szCs w:val="21"/>
              </w:rPr>
              <w:t>高危行业生产经营单位进行应急预案评审，其他生产经营单位进行论证</w:t>
            </w:r>
          </w:p>
        </w:tc>
        <w:tc>
          <w:tcPr>
            <w:tcW w:w="4795" w:type="dxa"/>
            <w:vAlign w:val="center"/>
          </w:tcPr>
          <w:p w14:paraId="53953452">
            <w:pPr>
              <w:adjustRightInd w:val="0"/>
              <w:snapToGrid w:val="0"/>
              <w:ind w:firstLine="420" w:firstLineChars="200"/>
              <w:rPr>
                <w:rFonts w:ascii="宋体" w:hAnsi="宋体"/>
                <w:bCs/>
                <w:color w:val="auto"/>
                <w:szCs w:val="21"/>
              </w:rPr>
            </w:pPr>
            <w:r>
              <w:rPr>
                <w:rFonts w:hint="eastAsia" w:ascii="宋体" w:hAnsi="宋体"/>
                <w:bCs/>
                <w:color w:val="auto"/>
                <w:szCs w:val="21"/>
              </w:rPr>
              <w:t>《生产安全事故应急预案管理办法》第二十一条矿山、金属冶炼企业和易燃易爆物品、危险化学品的生产、经营（带储存设施的，下同）、储存、运输企业，以及使用危险化学品达到国家规定数量的化工企业、烟花爆竹生产、批发经营企业和中型规模以上的其他生产经营单位，应当对本单位编制的应急预案进行评审，并形成书面评审纪要。</w:t>
            </w:r>
          </w:p>
          <w:p w14:paraId="33AFBD0F">
            <w:pPr>
              <w:adjustRightInd w:val="0"/>
              <w:snapToGrid w:val="0"/>
              <w:ind w:firstLine="420" w:firstLineChars="200"/>
              <w:rPr>
                <w:rFonts w:ascii="宋体" w:hAnsi="宋体"/>
                <w:bCs/>
                <w:color w:val="auto"/>
                <w:szCs w:val="21"/>
              </w:rPr>
            </w:pPr>
            <w:r>
              <w:rPr>
                <w:rFonts w:hint="eastAsia" w:ascii="宋体" w:hAnsi="宋体"/>
                <w:bCs/>
                <w:color w:val="auto"/>
                <w:szCs w:val="21"/>
              </w:rPr>
              <w:t>前款规定以外的其他生产经营单位可以根据自身需要，对本单位编制的应急预案进行论证。</w:t>
            </w:r>
          </w:p>
          <w:p w14:paraId="14DC664F">
            <w:pPr>
              <w:adjustRightInd w:val="0"/>
              <w:snapToGrid w:val="0"/>
              <w:ind w:firstLine="420" w:firstLineChars="200"/>
              <w:rPr>
                <w:rFonts w:ascii="宋体" w:hAnsi="宋体"/>
                <w:bCs/>
                <w:color w:val="auto"/>
                <w:szCs w:val="21"/>
              </w:rPr>
            </w:pPr>
            <w:r>
              <w:rPr>
                <w:rFonts w:hint="eastAsia" w:ascii="宋体" w:hAnsi="宋体"/>
                <w:bCs/>
                <w:color w:val="auto"/>
                <w:szCs w:val="21"/>
              </w:rPr>
              <w:t>第二十三条  应急预案的评审或者论证应当注重基本要素的完整性、组织体系的合理性、应急处置程序和措施的针对性、应急保障措施的可行性、应急预案的衔接性等内容。</w:t>
            </w:r>
          </w:p>
        </w:tc>
        <w:tc>
          <w:tcPr>
            <w:tcW w:w="7277" w:type="dxa"/>
            <w:vAlign w:val="center"/>
          </w:tcPr>
          <w:p w14:paraId="44563195">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《生产安全事故应急预案管理办法》第四十五条  生产经营单位有下列情形之一的，由县级以上安全生产监督管理部门责令限期改正，可以处1万元以上3万元以下罚款：</w:t>
            </w:r>
          </w:p>
          <w:p w14:paraId="4AA8A38E">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p>
          <w:p w14:paraId="2CA86A5B">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（二）未按照规定开展应急预案评审的；</w:t>
            </w:r>
          </w:p>
          <w:p w14:paraId="5113FEB2">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p>
        </w:tc>
        <w:tc>
          <w:tcPr>
            <w:tcW w:w="741" w:type="dxa"/>
            <w:vAlign w:val="center"/>
          </w:tcPr>
          <w:p w14:paraId="75F5A8C1">
            <w:pPr>
              <w:widowControl/>
              <w:adjustRightInd w:val="0"/>
              <w:snapToGrid w:val="0"/>
              <w:rPr>
                <w:rFonts w:ascii="宋体" w:hAnsi="宋体" w:cs="宋体"/>
                <w:color w:val="auto"/>
                <w:kern w:val="0"/>
                <w:szCs w:val="21"/>
              </w:rPr>
            </w:pPr>
          </w:p>
        </w:tc>
      </w:tr>
      <w:tr w14:paraId="211BD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538" w:hRule="atLeast"/>
          <w:jc w:val="center"/>
        </w:trPr>
        <w:tc>
          <w:tcPr>
            <w:tcW w:w="522" w:type="dxa"/>
            <w:vAlign w:val="center"/>
          </w:tcPr>
          <w:p w14:paraId="305D0C5E">
            <w:pPr>
              <w:jc w:val="center"/>
              <w:rPr>
                <w:rFonts w:hint="default" w:ascii="宋体" w:hAnsi="宋体" w:eastAsia="宋体"/>
                <w:color w:val="auto"/>
                <w:szCs w:val="21"/>
                <w:lang w:val="en-US" w:eastAsia="zh-CN"/>
              </w:rPr>
            </w:pPr>
            <w:r>
              <w:rPr>
                <w:rFonts w:hint="eastAsia" w:ascii="宋体" w:hAnsi="宋体"/>
                <w:color w:val="auto"/>
                <w:szCs w:val="21"/>
                <w:lang w:val="en-US" w:eastAsia="zh-CN"/>
              </w:rPr>
              <w:t>19</w:t>
            </w:r>
          </w:p>
        </w:tc>
        <w:tc>
          <w:tcPr>
            <w:tcW w:w="1341" w:type="dxa"/>
            <w:vAlign w:val="center"/>
          </w:tcPr>
          <w:p w14:paraId="4A4A1DC3">
            <w:pPr>
              <w:widowControl/>
              <w:adjustRightInd w:val="0"/>
              <w:snapToGrid w:val="0"/>
              <w:rPr>
                <w:rFonts w:ascii="宋体" w:hAnsi="宋体" w:cs="宋体"/>
                <w:color w:val="auto"/>
                <w:kern w:val="0"/>
                <w:szCs w:val="21"/>
              </w:rPr>
            </w:pPr>
            <w:r>
              <w:rPr>
                <w:rFonts w:hint="eastAsia" w:ascii="宋体" w:hAnsi="宋体" w:cs="宋体"/>
                <w:color w:val="auto"/>
                <w:kern w:val="0"/>
                <w:szCs w:val="21"/>
              </w:rPr>
              <w:t>应急预案备案情况</w:t>
            </w:r>
          </w:p>
        </w:tc>
        <w:tc>
          <w:tcPr>
            <w:tcW w:w="1438" w:type="dxa"/>
            <w:vAlign w:val="center"/>
          </w:tcPr>
          <w:p w14:paraId="3B52FDBE">
            <w:pPr>
              <w:widowControl/>
              <w:adjustRightInd w:val="0"/>
              <w:snapToGrid w:val="0"/>
              <w:rPr>
                <w:rFonts w:ascii="宋体" w:hAnsi="宋体"/>
                <w:bCs/>
                <w:color w:val="auto"/>
                <w:szCs w:val="21"/>
              </w:rPr>
            </w:pPr>
            <w:r>
              <w:rPr>
                <w:rFonts w:hint="eastAsia" w:ascii="宋体" w:hAnsi="宋体"/>
                <w:bCs/>
                <w:color w:val="auto"/>
                <w:szCs w:val="21"/>
              </w:rPr>
              <w:t>按照生产经营单位隶属关系、行业领域、规模等备案</w:t>
            </w:r>
          </w:p>
        </w:tc>
        <w:tc>
          <w:tcPr>
            <w:tcW w:w="4795" w:type="dxa"/>
            <w:vAlign w:val="center"/>
          </w:tcPr>
          <w:p w14:paraId="6C187FE7">
            <w:pPr>
              <w:adjustRightInd w:val="0"/>
              <w:snapToGrid w:val="0"/>
              <w:ind w:firstLine="420" w:firstLineChars="200"/>
              <w:rPr>
                <w:rFonts w:ascii="宋体" w:hAnsi="宋体"/>
                <w:bCs/>
                <w:color w:val="auto"/>
                <w:szCs w:val="21"/>
              </w:rPr>
            </w:pPr>
            <w:r>
              <w:rPr>
                <w:rFonts w:hint="eastAsia" w:ascii="宋体" w:hAnsi="宋体"/>
                <w:bCs/>
                <w:color w:val="auto"/>
                <w:szCs w:val="21"/>
              </w:rPr>
              <w:t>《生产安全事故应急预案管理办法》第二十六条  易燃易爆物品、危险化学品等危险物品的生产、经营、储存、运输单位，矿山、金属冶炼、城市轨道交通运营、建筑施工单位，以及宾馆、商场、娱乐场所、旅游景区等人员密集场所经营单位，应当在应急预案公布之日起20个工作日内，按照分级属地原则，向县级以上人民政府应急管理部门和其他负有安全生产监督管理职责的部门进行备案，并依法向社会公布。</w:t>
            </w:r>
          </w:p>
          <w:p w14:paraId="6934F3B0">
            <w:pPr>
              <w:adjustRightInd w:val="0"/>
              <w:snapToGrid w:val="0"/>
              <w:ind w:firstLine="420" w:firstLineChars="200"/>
              <w:rPr>
                <w:rFonts w:ascii="宋体" w:hAnsi="宋体"/>
                <w:bCs/>
                <w:color w:val="auto"/>
                <w:szCs w:val="21"/>
              </w:rPr>
            </w:pPr>
            <w:r>
              <w:rPr>
                <w:rFonts w:hint="eastAsia" w:ascii="宋体" w:hAnsi="宋体"/>
                <w:bCs/>
                <w:color w:val="auto"/>
                <w:szCs w:val="21"/>
              </w:rPr>
              <w:t>前款所列单位属于中央企业的，其总部（上市公司）的应急预案，报国务院主管的负有安全生产监督管理职责的部门备案，并抄送应急管理部；其所属单位的应急预案报所在地的省、自治区、直辖市或者设区的市级人民政府主管的负有安全生产监督管理职责的部门备案，并抄送同级人民政府应急管理部门。</w:t>
            </w:r>
          </w:p>
          <w:p w14:paraId="5F22817F">
            <w:pPr>
              <w:adjustRightInd w:val="0"/>
              <w:snapToGrid w:val="0"/>
              <w:ind w:firstLine="420" w:firstLineChars="200"/>
              <w:rPr>
                <w:rFonts w:ascii="宋体" w:hAnsi="宋体"/>
                <w:bCs/>
                <w:color w:val="auto"/>
                <w:szCs w:val="21"/>
              </w:rPr>
            </w:pPr>
            <w:r>
              <w:rPr>
                <w:rFonts w:hint="eastAsia" w:ascii="宋体" w:hAnsi="宋体"/>
                <w:bCs/>
                <w:color w:val="auto"/>
                <w:szCs w:val="21"/>
              </w:rPr>
              <w:t>本条第一款所列单位不属于中央企业的，其中非煤矿山、金属冶炼和危险化学品生产、经营、储存、运输企业，以及使用危险化学品达到国家规定数量的化工企业、烟花爆竹生产、批发经营企业的应急预案，按照隶属关系报所在地县级以上地方人民政府应急管理部门备案；本款前述单位以外的其他生产经营单位应急预案的备案，由省、自治区、直辖市人民政府负有安全生产监督管理职责的部门确定。</w:t>
            </w:r>
          </w:p>
          <w:p w14:paraId="3AC71056">
            <w:pPr>
              <w:adjustRightInd w:val="0"/>
              <w:snapToGrid w:val="0"/>
              <w:ind w:firstLine="420" w:firstLineChars="200"/>
              <w:rPr>
                <w:rFonts w:ascii="宋体" w:hAnsi="宋体"/>
                <w:bCs/>
                <w:color w:val="auto"/>
                <w:szCs w:val="21"/>
              </w:rPr>
            </w:pPr>
            <w:r>
              <w:rPr>
                <w:rFonts w:hint="eastAsia" w:ascii="宋体" w:hAnsi="宋体"/>
                <w:bCs/>
                <w:color w:val="auto"/>
                <w:szCs w:val="21"/>
              </w:rPr>
              <w:t>油气输送管道运营单位的应急预案，除按照本条第一款、第二款的规定备案外，还应当抄送所经行政区域的县级人民政府应急管理部门。</w:t>
            </w:r>
          </w:p>
          <w:p w14:paraId="7F8857ED">
            <w:pPr>
              <w:adjustRightInd w:val="0"/>
              <w:snapToGrid w:val="0"/>
              <w:ind w:firstLine="420" w:firstLineChars="200"/>
              <w:rPr>
                <w:rFonts w:ascii="宋体" w:hAnsi="宋体"/>
                <w:bCs/>
                <w:color w:val="auto"/>
                <w:szCs w:val="21"/>
              </w:rPr>
            </w:pPr>
            <w:r>
              <w:rPr>
                <w:rFonts w:hint="eastAsia" w:ascii="宋体" w:hAnsi="宋体"/>
                <w:bCs/>
                <w:color w:val="auto"/>
                <w:szCs w:val="21"/>
              </w:rPr>
              <w:t>海洋石油开采企业的应急预案，除按照本条第一款、第二款的规定备案外，还应当抄送所经行政区域的县级人民政府应急管理部门和海洋石油安全监管机构。</w:t>
            </w:r>
          </w:p>
          <w:p w14:paraId="123B19BF">
            <w:pPr>
              <w:adjustRightInd w:val="0"/>
              <w:snapToGrid w:val="0"/>
              <w:ind w:firstLine="420" w:firstLineChars="200"/>
              <w:rPr>
                <w:rFonts w:ascii="宋体" w:hAnsi="宋体"/>
                <w:bCs/>
                <w:color w:val="auto"/>
                <w:szCs w:val="21"/>
              </w:rPr>
            </w:pPr>
            <w:r>
              <w:rPr>
                <w:rFonts w:hint="eastAsia" w:ascii="宋体" w:hAnsi="宋体"/>
                <w:bCs/>
                <w:color w:val="auto"/>
                <w:szCs w:val="21"/>
              </w:rPr>
              <w:t>煤矿企业的应急预案除按照本条第一款、第二款的规定备案外，还应当抄送所在地的煤矿安全监察机构。</w:t>
            </w:r>
          </w:p>
        </w:tc>
        <w:tc>
          <w:tcPr>
            <w:tcW w:w="7277" w:type="dxa"/>
            <w:vAlign w:val="center"/>
          </w:tcPr>
          <w:p w14:paraId="1D4AB803">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《生产安全事故应急预案管理办法》第四十五条  生产经营单位有下列情形之一的，由县级以上安全生产监督管理部门责令限期改正，可以处1万元以上3万元以下罚款：</w:t>
            </w:r>
          </w:p>
          <w:p w14:paraId="140D186B">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p>
          <w:p w14:paraId="3C7CF04A">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生产经营单位未按照规定进行应急预案备案的，由县级以上人民政府应急管理等部门依照职责责令限期改正；逾期未改正的，处3万元以上5万元以下的罚款，对直接负责的主管人员和其他直接责任人员处1万元以上2万元以下的罚款。</w:t>
            </w:r>
          </w:p>
        </w:tc>
        <w:tc>
          <w:tcPr>
            <w:tcW w:w="741" w:type="dxa"/>
            <w:vAlign w:val="center"/>
          </w:tcPr>
          <w:p w14:paraId="34FD6F91">
            <w:pPr>
              <w:widowControl/>
              <w:adjustRightInd w:val="0"/>
              <w:snapToGrid w:val="0"/>
              <w:rPr>
                <w:rFonts w:ascii="宋体" w:hAnsi="宋体" w:cs="宋体"/>
                <w:color w:val="auto"/>
                <w:kern w:val="0"/>
                <w:szCs w:val="21"/>
              </w:rPr>
            </w:pPr>
          </w:p>
        </w:tc>
      </w:tr>
      <w:tr w14:paraId="7D0DF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586" w:hRule="atLeast"/>
          <w:jc w:val="center"/>
        </w:trPr>
        <w:tc>
          <w:tcPr>
            <w:tcW w:w="522" w:type="dxa"/>
            <w:vAlign w:val="center"/>
          </w:tcPr>
          <w:p w14:paraId="45D1279E">
            <w:pPr>
              <w:jc w:val="center"/>
              <w:rPr>
                <w:rFonts w:hint="eastAsia" w:ascii="宋体" w:hAnsi="宋体" w:eastAsia="宋体"/>
                <w:color w:val="auto"/>
                <w:szCs w:val="21"/>
                <w:lang w:val="en-US" w:eastAsia="zh-CN"/>
              </w:rPr>
            </w:pPr>
            <w:r>
              <w:rPr>
                <w:rFonts w:hint="eastAsia" w:ascii="宋体" w:hAnsi="宋体"/>
                <w:color w:val="auto"/>
                <w:szCs w:val="21"/>
              </w:rPr>
              <w:t>2</w:t>
            </w:r>
            <w:r>
              <w:rPr>
                <w:rFonts w:hint="eastAsia" w:ascii="宋体" w:hAnsi="宋体"/>
                <w:color w:val="auto"/>
                <w:szCs w:val="21"/>
                <w:lang w:val="en-US" w:eastAsia="zh-CN"/>
              </w:rPr>
              <w:t>0</w:t>
            </w:r>
          </w:p>
        </w:tc>
        <w:tc>
          <w:tcPr>
            <w:tcW w:w="1341" w:type="dxa"/>
            <w:vAlign w:val="center"/>
          </w:tcPr>
          <w:p w14:paraId="3665FD31">
            <w:pPr>
              <w:widowControl/>
              <w:adjustRightInd w:val="0"/>
              <w:snapToGrid w:val="0"/>
              <w:rPr>
                <w:rFonts w:ascii="宋体" w:hAnsi="宋体" w:cs="宋体"/>
                <w:color w:val="auto"/>
                <w:kern w:val="0"/>
                <w:szCs w:val="21"/>
              </w:rPr>
            </w:pPr>
            <w:r>
              <w:rPr>
                <w:rFonts w:hint="eastAsia" w:ascii="宋体" w:hAnsi="宋体" w:cs="宋体"/>
                <w:color w:val="auto"/>
                <w:kern w:val="0"/>
                <w:szCs w:val="21"/>
              </w:rPr>
              <w:t>事故风险及应急措施告知情况</w:t>
            </w:r>
          </w:p>
        </w:tc>
        <w:tc>
          <w:tcPr>
            <w:tcW w:w="1438" w:type="dxa"/>
            <w:vAlign w:val="center"/>
          </w:tcPr>
          <w:p w14:paraId="4A1D8865">
            <w:pPr>
              <w:widowControl/>
              <w:adjustRightInd w:val="0"/>
              <w:snapToGrid w:val="0"/>
              <w:rPr>
                <w:rFonts w:ascii="宋体" w:hAnsi="宋体"/>
                <w:bCs/>
                <w:color w:val="auto"/>
                <w:szCs w:val="21"/>
              </w:rPr>
            </w:pPr>
            <w:r>
              <w:rPr>
                <w:rFonts w:hint="eastAsia" w:ascii="宋体" w:hAnsi="宋体"/>
                <w:bCs/>
                <w:color w:val="auto"/>
                <w:szCs w:val="21"/>
              </w:rPr>
              <w:t>将有关事故风险的性质、影响范围和应急防范措施告知周边的其他单位和人员</w:t>
            </w:r>
          </w:p>
        </w:tc>
        <w:tc>
          <w:tcPr>
            <w:tcW w:w="4795" w:type="dxa"/>
            <w:vAlign w:val="center"/>
          </w:tcPr>
          <w:p w14:paraId="264CD2A4">
            <w:pPr>
              <w:adjustRightInd w:val="0"/>
              <w:snapToGrid w:val="0"/>
              <w:ind w:firstLine="420" w:firstLineChars="200"/>
              <w:rPr>
                <w:rFonts w:ascii="Times New Roman" w:hAnsi="Times New Roman"/>
                <w:color w:val="auto"/>
              </w:rPr>
            </w:pPr>
            <w:r>
              <w:rPr>
                <w:rFonts w:hint="eastAsia" w:ascii="Times New Roman" w:hAnsi="Times New Roman"/>
                <w:color w:val="auto"/>
              </w:rPr>
              <w:t>《生产安全事故应急预案管理办法》第二十四条  ……</w:t>
            </w:r>
          </w:p>
          <w:p w14:paraId="0FD2D282">
            <w:pPr>
              <w:adjustRightInd w:val="0"/>
              <w:snapToGrid w:val="0"/>
              <w:ind w:firstLine="420" w:firstLineChars="200"/>
              <w:rPr>
                <w:rFonts w:ascii="宋体" w:hAnsi="宋体"/>
                <w:bCs/>
                <w:color w:val="auto"/>
                <w:szCs w:val="21"/>
              </w:rPr>
            </w:pPr>
            <w:r>
              <w:rPr>
                <w:rFonts w:hint="eastAsia" w:ascii="宋体" w:hAnsi="宋体"/>
                <w:bCs/>
                <w:color w:val="auto"/>
                <w:szCs w:val="21"/>
              </w:rPr>
              <w:t>事故风险可能影响周边其他单位、人员的，生产经营单位应当将有关事故风险的性质、影响范围和应急防范措施告知周边的其他单位和人员。</w:t>
            </w:r>
          </w:p>
        </w:tc>
        <w:tc>
          <w:tcPr>
            <w:tcW w:w="7277" w:type="dxa"/>
            <w:vAlign w:val="center"/>
          </w:tcPr>
          <w:p w14:paraId="496161BB">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《生产安全事故应急预案管理办法》第四十五条  生产经营单位有下列情形之一的，由县级以上安全生产监督管理部门责令限期改正，可以处1万元以上3万元以下罚款：</w:t>
            </w:r>
          </w:p>
          <w:p w14:paraId="23020CBF">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p>
          <w:p w14:paraId="7F04E5CF">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（三）事故风险可能影响周边单位、人员的，未将事故风险的性质、影响范围和应急防范措施告知周边单位和人员的；</w:t>
            </w:r>
          </w:p>
          <w:p w14:paraId="16C40949">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p>
        </w:tc>
        <w:tc>
          <w:tcPr>
            <w:tcW w:w="741" w:type="dxa"/>
            <w:vAlign w:val="center"/>
          </w:tcPr>
          <w:p w14:paraId="7BA445DB">
            <w:pPr>
              <w:widowControl/>
              <w:adjustRightInd w:val="0"/>
              <w:snapToGrid w:val="0"/>
              <w:rPr>
                <w:rFonts w:ascii="宋体" w:hAnsi="宋体" w:cs="宋体"/>
                <w:color w:val="auto"/>
                <w:kern w:val="0"/>
                <w:szCs w:val="21"/>
              </w:rPr>
            </w:pPr>
          </w:p>
        </w:tc>
      </w:tr>
      <w:tr w14:paraId="257AC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602" w:hRule="atLeast"/>
          <w:jc w:val="center"/>
        </w:trPr>
        <w:tc>
          <w:tcPr>
            <w:tcW w:w="522" w:type="dxa"/>
            <w:vAlign w:val="center"/>
          </w:tcPr>
          <w:p w14:paraId="7BCBF73A">
            <w:pPr>
              <w:jc w:val="center"/>
              <w:rPr>
                <w:rFonts w:hint="eastAsia" w:ascii="宋体" w:hAnsi="宋体" w:eastAsia="宋体"/>
                <w:color w:val="auto"/>
                <w:szCs w:val="21"/>
                <w:lang w:val="en-US" w:eastAsia="zh-CN"/>
              </w:rPr>
            </w:pPr>
            <w:r>
              <w:rPr>
                <w:rFonts w:hint="eastAsia" w:ascii="宋体" w:hAnsi="宋体"/>
                <w:color w:val="auto"/>
                <w:szCs w:val="21"/>
              </w:rPr>
              <w:t>2</w:t>
            </w:r>
            <w:r>
              <w:rPr>
                <w:rFonts w:hint="eastAsia" w:ascii="宋体" w:hAnsi="宋体"/>
                <w:color w:val="auto"/>
                <w:szCs w:val="21"/>
                <w:lang w:val="en-US" w:eastAsia="zh-CN"/>
              </w:rPr>
              <w:t>1</w:t>
            </w:r>
          </w:p>
        </w:tc>
        <w:tc>
          <w:tcPr>
            <w:tcW w:w="1341" w:type="dxa"/>
            <w:vAlign w:val="center"/>
          </w:tcPr>
          <w:p w14:paraId="3A418114">
            <w:pPr>
              <w:widowControl/>
              <w:adjustRightInd w:val="0"/>
              <w:snapToGrid w:val="0"/>
              <w:rPr>
                <w:rFonts w:ascii="宋体" w:hAnsi="宋体" w:cs="宋体"/>
                <w:color w:val="auto"/>
                <w:kern w:val="0"/>
                <w:szCs w:val="21"/>
              </w:rPr>
            </w:pPr>
            <w:r>
              <w:rPr>
                <w:rFonts w:hint="eastAsia" w:ascii="宋体" w:hAnsi="宋体" w:cs="宋体"/>
                <w:color w:val="auto"/>
                <w:kern w:val="0"/>
                <w:szCs w:val="21"/>
              </w:rPr>
              <w:t>应急预案评估情况</w:t>
            </w:r>
          </w:p>
        </w:tc>
        <w:tc>
          <w:tcPr>
            <w:tcW w:w="1438" w:type="dxa"/>
            <w:vAlign w:val="center"/>
          </w:tcPr>
          <w:p w14:paraId="171BFF7D">
            <w:pPr>
              <w:adjustRightInd w:val="0"/>
              <w:snapToGrid w:val="0"/>
              <w:rPr>
                <w:rFonts w:ascii="宋体" w:hAnsi="宋体"/>
                <w:bCs/>
                <w:color w:val="auto"/>
                <w:szCs w:val="21"/>
              </w:rPr>
            </w:pPr>
            <w:r>
              <w:rPr>
                <w:rFonts w:hint="eastAsia" w:ascii="Times New Roman" w:hAnsi="Times New Roman"/>
                <w:color w:val="auto"/>
              </w:rPr>
              <w:t>建立应急预案定期评估制度，高危行业领域及中型规模以上生产经营单位每三年进行一次评估</w:t>
            </w:r>
          </w:p>
        </w:tc>
        <w:tc>
          <w:tcPr>
            <w:tcW w:w="4795" w:type="dxa"/>
            <w:vAlign w:val="center"/>
          </w:tcPr>
          <w:p w14:paraId="5CC1E4D2">
            <w:pPr>
              <w:adjustRightInd w:val="0"/>
              <w:snapToGrid w:val="0"/>
              <w:spacing w:line="240" w:lineRule="exact"/>
              <w:ind w:firstLine="420" w:firstLineChars="200"/>
              <w:rPr>
                <w:rFonts w:ascii="Times New Roman" w:hAnsi="Times New Roman"/>
                <w:color w:val="auto"/>
              </w:rPr>
            </w:pPr>
            <w:r>
              <w:rPr>
                <w:rFonts w:hint="eastAsia" w:ascii="Times New Roman" w:hAnsi="Times New Roman"/>
                <w:color w:val="auto"/>
              </w:rPr>
              <w:t>《生产安全事故应急预案管理办法》第三十五条  应急预案编制单位应当建立应急预案定期评估制度，对预案内容的针对性和实用性进行分析，并对应急预案是否需要修订作出结论。</w:t>
            </w:r>
          </w:p>
          <w:p w14:paraId="2F6F536C">
            <w:pPr>
              <w:adjustRightInd w:val="0"/>
              <w:snapToGrid w:val="0"/>
              <w:spacing w:line="240" w:lineRule="exact"/>
              <w:ind w:firstLine="420" w:firstLineChars="200"/>
              <w:rPr>
                <w:rFonts w:ascii="Times New Roman" w:hAnsi="Times New Roman"/>
                <w:color w:val="auto"/>
              </w:rPr>
            </w:pPr>
            <w:r>
              <w:rPr>
                <w:rFonts w:hint="eastAsia" w:ascii="Times New Roman" w:hAnsi="Times New Roman"/>
                <w:color w:val="auto"/>
              </w:rPr>
              <w:t>矿山、金属冶炼、建筑施工企业和易燃易爆物品、危险化学品等危险物品的生产、经营、储存、运输企业、使用危险化学品达到国家规定数量的化工企业、烟花爆竹生产、批发经营企业和中型规模以上的其他生产经营单位，应当每三年进行一次应急预案评估。</w:t>
            </w:r>
          </w:p>
          <w:p w14:paraId="5DC88999">
            <w:pPr>
              <w:adjustRightInd w:val="0"/>
              <w:snapToGrid w:val="0"/>
              <w:spacing w:line="240" w:lineRule="exact"/>
              <w:ind w:firstLine="420" w:firstLineChars="200"/>
              <w:rPr>
                <w:rFonts w:ascii="宋体" w:hAnsi="宋体"/>
                <w:bCs/>
                <w:color w:val="auto"/>
                <w:szCs w:val="21"/>
              </w:rPr>
            </w:pPr>
            <w:r>
              <w:rPr>
                <w:rFonts w:hint="eastAsia" w:ascii="Times New Roman" w:hAnsi="Times New Roman"/>
                <w:color w:val="auto"/>
              </w:rPr>
              <w:t>应急预案评估可以邀请相关专业机构或者有关专家、有实际应急救援工作经验的人员参加，必要时可以委托安全生产技术服务机构实施。</w:t>
            </w:r>
          </w:p>
        </w:tc>
        <w:tc>
          <w:tcPr>
            <w:tcW w:w="7277" w:type="dxa"/>
            <w:vAlign w:val="center"/>
          </w:tcPr>
          <w:p w14:paraId="1FA8F717">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《生产安全事故应急预案管理办法》第四十五条  生产经营单位有下列情形之一的，由县级以上安全生产监督管理部门责令限期改正，可以处1万元以上3万元以下罚款：</w:t>
            </w:r>
          </w:p>
          <w:p w14:paraId="50A44F18">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p>
          <w:p w14:paraId="51F66B5D">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（四）未按照规定开展应急预案评估的；</w:t>
            </w:r>
          </w:p>
          <w:p w14:paraId="2B82560D">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p>
        </w:tc>
        <w:tc>
          <w:tcPr>
            <w:tcW w:w="741" w:type="dxa"/>
            <w:vAlign w:val="center"/>
          </w:tcPr>
          <w:p w14:paraId="7C28E0C8">
            <w:pPr>
              <w:widowControl/>
              <w:adjustRightInd w:val="0"/>
              <w:snapToGrid w:val="0"/>
              <w:rPr>
                <w:rFonts w:ascii="宋体" w:hAnsi="宋体" w:cs="宋体"/>
                <w:color w:val="auto"/>
                <w:kern w:val="0"/>
                <w:szCs w:val="21"/>
              </w:rPr>
            </w:pPr>
          </w:p>
        </w:tc>
      </w:tr>
      <w:tr w14:paraId="74D08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4288" w:hRule="atLeast"/>
          <w:jc w:val="center"/>
        </w:trPr>
        <w:tc>
          <w:tcPr>
            <w:tcW w:w="522" w:type="dxa"/>
            <w:vAlign w:val="center"/>
          </w:tcPr>
          <w:p w14:paraId="71503280">
            <w:pPr>
              <w:jc w:val="center"/>
              <w:rPr>
                <w:rFonts w:hint="eastAsia" w:ascii="宋体" w:hAnsi="宋体" w:eastAsia="宋体"/>
                <w:color w:val="auto"/>
                <w:szCs w:val="21"/>
                <w:lang w:val="en-US" w:eastAsia="zh-CN"/>
              </w:rPr>
            </w:pPr>
            <w:r>
              <w:rPr>
                <w:rFonts w:hint="eastAsia" w:ascii="宋体" w:hAnsi="宋体"/>
                <w:color w:val="auto"/>
                <w:szCs w:val="21"/>
              </w:rPr>
              <w:t>2</w:t>
            </w:r>
            <w:r>
              <w:rPr>
                <w:rFonts w:hint="eastAsia" w:ascii="宋体" w:hAnsi="宋体"/>
                <w:color w:val="auto"/>
                <w:szCs w:val="21"/>
                <w:lang w:val="en-US" w:eastAsia="zh-CN"/>
              </w:rPr>
              <w:t>2</w:t>
            </w:r>
          </w:p>
        </w:tc>
        <w:tc>
          <w:tcPr>
            <w:tcW w:w="1341" w:type="dxa"/>
            <w:vAlign w:val="center"/>
          </w:tcPr>
          <w:p w14:paraId="2891DF7E">
            <w:pPr>
              <w:widowControl/>
              <w:adjustRightInd w:val="0"/>
              <w:snapToGrid w:val="0"/>
              <w:rPr>
                <w:rFonts w:ascii="宋体" w:hAnsi="宋体" w:cs="宋体"/>
                <w:color w:val="auto"/>
                <w:kern w:val="0"/>
                <w:szCs w:val="21"/>
              </w:rPr>
            </w:pPr>
            <w:r>
              <w:rPr>
                <w:rFonts w:hint="eastAsia" w:ascii="宋体" w:hAnsi="宋体" w:cs="宋体"/>
                <w:color w:val="auto"/>
                <w:kern w:val="0"/>
                <w:szCs w:val="21"/>
              </w:rPr>
              <w:t>应急预案修订和重新备案情况</w:t>
            </w:r>
          </w:p>
        </w:tc>
        <w:tc>
          <w:tcPr>
            <w:tcW w:w="1438" w:type="dxa"/>
            <w:vAlign w:val="center"/>
          </w:tcPr>
          <w:p w14:paraId="7B0E8C97">
            <w:pPr>
              <w:widowControl/>
              <w:adjustRightInd w:val="0"/>
              <w:snapToGrid w:val="0"/>
              <w:rPr>
                <w:rFonts w:ascii="宋体" w:hAnsi="宋体"/>
                <w:bCs/>
                <w:color w:val="auto"/>
                <w:szCs w:val="21"/>
              </w:rPr>
            </w:pPr>
            <w:r>
              <w:rPr>
                <w:rFonts w:hint="eastAsia" w:ascii="Times New Roman" w:hAnsi="Times New Roman"/>
                <w:color w:val="auto"/>
              </w:rPr>
              <w:t>应急预案应当及时修订并归档，并按要求进行备案</w:t>
            </w:r>
          </w:p>
        </w:tc>
        <w:tc>
          <w:tcPr>
            <w:tcW w:w="4795" w:type="dxa"/>
            <w:vAlign w:val="center"/>
          </w:tcPr>
          <w:p w14:paraId="7E3BBF32">
            <w:pPr>
              <w:adjustRightInd w:val="0"/>
              <w:snapToGrid w:val="0"/>
              <w:spacing w:line="240" w:lineRule="exact"/>
              <w:ind w:firstLine="420" w:firstLineChars="200"/>
              <w:rPr>
                <w:rFonts w:ascii="Times New Roman" w:hAnsi="Times New Roman"/>
                <w:color w:val="auto"/>
              </w:rPr>
            </w:pPr>
            <w:r>
              <w:rPr>
                <w:rFonts w:hint="eastAsia" w:ascii="Times New Roman" w:hAnsi="Times New Roman"/>
                <w:color w:val="auto"/>
              </w:rPr>
              <w:t>《生产安全事故应急预案管理办法》第三十六条  有下列情形之一的，应急预案应当及时修订并归档：</w:t>
            </w:r>
          </w:p>
          <w:p w14:paraId="174E9710">
            <w:pPr>
              <w:adjustRightInd w:val="0"/>
              <w:snapToGrid w:val="0"/>
              <w:spacing w:line="240" w:lineRule="exact"/>
              <w:ind w:firstLine="420" w:firstLineChars="200"/>
              <w:rPr>
                <w:rFonts w:ascii="Times New Roman" w:hAnsi="Times New Roman"/>
                <w:color w:val="auto"/>
              </w:rPr>
            </w:pPr>
            <w:r>
              <w:rPr>
                <w:rFonts w:hint="eastAsia" w:ascii="Times New Roman" w:hAnsi="Times New Roman"/>
                <w:color w:val="auto"/>
              </w:rPr>
              <w:t>（一）依据的法律、法规、规章、标准及上位预案中的有关规定发生重大变化的；</w:t>
            </w:r>
          </w:p>
          <w:p w14:paraId="1B2E7587">
            <w:pPr>
              <w:adjustRightInd w:val="0"/>
              <w:snapToGrid w:val="0"/>
              <w:spacing w:line="240" w:lineRule="exact"/>
              <w:ind w:firstLine="420" w:firstLineChars="200"/>
              <w:rPr>
                <w:rFonts w:ascii="Times New Roman" w:hAnsi="Times New Roman"/>
                <w:color w:val="auto"/>
              </w:rPr>
            </w:pPr>
            <w:r>
              <w:rPr>
                <w:rFonts w:hint="eastAsia" w:ascii="Times New Roman" w:hAnsi="Times New Roman"/>
                <w:color w:val="auto"/>
              </w:rPr>
              <w:t>（二）应急指挥机构及其职责发生调整的；</w:t>
            </w:r>
          </w:p>
          <w:p w14:paraId="1D7CB5E6">
            <w:pPr>
              <w:adjustRightInd w:val="0"/>
              <w:snapToGrid w:val="0"/>
              <w:spacing w:line="240" w:lineRule="exact"/>
              <w:ind w:firstLine="420" w:firstLineChars="200"/>
              <w:rPr>
                <w:rFonts w:ascii="Times New Roman" w:hAnsi="Times New Roman"/>
                <w:color w:val="auto"/>
              </w:rPr>
            </w:pPr>
            <w:r>
              <w:rPr>
                <w:rFonts w:hint="eastAsia" w:ascii="Times New Roman" w:hAnsi="Times New Roman"/>
                <w:color w:val="auto"/>
              </w:rPr>
              <w:t>（三）安全生产面临的风险发生重大变化的；</w:t>
            </w:r>
          </w:p>
          <w:p w14:paraId="6D335FD8">
            <w:pPr>
              <w:adjustRightInd w:val="0"/>
              <w:snapToGrid w:val="0"/>
              <w:spacing w:line="240" w:lineRule="exact"/>
              <w:ind w:firstLine="420" w:firstLineChars="200"/>
              <w:rPr>
                <w:rFonts w:ascii="Times New Roman" w:hAnsi="Times New Roman"/>
                <w:color w:val="auto"/>
              </w:rPr>
            </w:pPr>
            <w:r>
              <w:rPr>
                <w:rFonts w:hint="eastAsia" w:ascii="Times New Roman" w:hAnsi="Times New Roman"/>
                <w:color w:val="auto"/>
              </w:rPr>
              <w:t>（四）重要应急资源发生重大变化的；</w:t>
            </w:r>
          </w:p>
          <w:p w14:paraId="6E7B2A10">
            <w:pPr>
              <w:adjustRightInd w:val="0"/>
              <w:snapToGrid w:val="0"/>
              <w:spacing w:line="240" w:lineRule="exact"/>
              <w:ind w:firstLine="420" w:firstLineChars="200"/>
              <w:rPr>
                <w:rFonts w:ascii="Times New Roman" w:hAnsi="Times New Roman"/>
                <w:color w:val="auto"/>
              </w:rPr>
            </w:pPr>
            <w:r>
              <w:rPr>
                <w:rFonts w:hint="eastAsia" w:ascii="Times New Roman" w:hAnsi="Times New Roman"/>
                <w:color w:val="auto"/>
              </w:rPr>
              <w:t>（五）在应急演练和事故应急救援中发现需要修订预案的重大问题的；</w:t>
            </w:r>
          </w:p>
          <w:p w14:paraId="31C3AB35">
            <w:pPr>
              <w:adjustRightInd w:val="0"/>
              <w:snapToGrid w:val="0"/>
              <w:spacing w:line="240" w:lineRule="exact"/>
              <w:ind w:firstLine="420" w:firstLineChars="200"/>
              <w:rPr>
                <w:rFonts w:ascii="Times New Roman" w:hAnsi="Times New Roman"/>
                <w:color w:val="auto"/>
              </w:rPr>
            </w:pPr>
            <w:r>
              <w:rPr>
                <w:rFonts w:hint="eastAsia" w:ascii="Times New Roman" w:hAnsi="Times New Roman"/>
                <w:color w:val="auto"/>
              </w:rPr>
              <w:t>（六）编制单位认为应当修订的其他情况。</w:t>
            </w:r>
          </w:p>
          <w:p w14:paraId="34759289">
            <w:pPr>
              <w:adjustRightInd w:val="0"/>
              <w:snapToGrid w:val="0"/>
              <w:spacing w:line="240" w:lineRule="exact"/>
              <w:ind w:firstLine="420" w:firstLineChars="200"/>
              <w:rPr>
                <w:rFonts w:ascii="宋体" w:hAnsi="宋体"/>
                <w:bCs/>
                <w:color w:val="auto"/>
                <w:szCs w:val="21"/>
              </w:rPr>
            </w:pPr>
            <w:r>
              <w:rPr>
                <w:rFonts w:hint="eastAsia" w:ascii="宋体" w:hAnsi="宋体"/>
                <w:bCs/>
                <w:color w:val="auto"/>
                <w:szCs w:val="21"/>
              </w:rPr>
              <w:t>第三十七条　应急预案修订涉及组织指挥体系与职责、应急处置程序、主要处置措施、应急响应分级等内容变更的，修订工作应当参照本办法规定的应急预案编制程序进行，并按照有关应急预案报备程序重新备案。</w:t>
            </w:r>
          </w:p>
        </w:tc>
        <w:tc>
          <w:tcPr>
            <w:tcW w:w="7277" w:type="dxa"/>
            <w:vAlign w:val="center"/>
          </w:tcPr>
          <w:p w14:paraId="3C2C2377">
            <w:pPr>
              <w:widowControl/>
              <w:adjustRightInd w:val="0"/>
              <w:snapToGrid w:val="0"/>
              <w:ind w:firstLine="420" w:firstLineChars="200"/>
              <w:rPr>
                <w:rFonts w:ascii="宋体" w:hAnsi="宋体" w:cs="宋体"/>
                <w:color w:val="auto"/>
                <w:kern w:val="0"/>
                <w:szCs w:val="21"/>
              </w:rPr>
            </w:pPr>
            <w:r>
              <w:rPr>
                <w:rFonts w:hint="eastAsia" w:ascii="Times New Roman" w:hAnsi="Times New Roman"/>
                <w:color w:val="auto"/>
              </w:rPr>
              <w:t>《生产安全事故应急预案管理办法》</w:t>
            </w:r>
            <w:r>
              <w:rPr>
                <w:rFonts w:hint="eastAsia" w:ascii="宋体" w:hAnsi="宋体" w:cs="宋体"/>
                <w:color w:val="auto"/>
                <w:kern w:val="0"/>
                <w:szCs w:val="21"/>
              </w:rPr>
              <w:t>第四十五条  生产经营单位有下列情形之一的，由县级以上安全生产监督管理部门责令限期改正，可以处1万元以上3万元以下罚款：</w:t>
            </w:r>
          </w:p>
          <w:p w14:paraId="4A309232">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w:t>
            </w:r>
          </w:p>
          <w:p w14:paraId="4A929E52">
            <w:pPr>
              <w:widowControl/>
              <w:numPr>
                <w:ilvl w:val="255"/>
                <w:numId w:val="0"/>
              </w:numPr>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（五）未按照规定进行应急预案修订的；</w:t>
            </w:r>
          </w:p>
          <w:p w14:paraId="11166543">
            <w:pPr>
              <w:widowControl/>
              <w:adjustRightInd w:val="0"/>
              <w:snapToGrid w:val="0"/>
              <w:ind w:left="420" w:leftChars="200"/>
              <w:rPr>
                <w:rFonts w:ascii="宋体" w:hAnsi="宋体" w:cs="宋体"/>
                <w:color w:val="auto"/>
                <w:kern w:val="0"/>
                <w:szCs w:val="21"/>
              </w:rPr>
            </w:pPr>
            <w:r>
              <w:rPr>
                <w:rFonts w:hint="eastAsia" w:ascii="宋体" w:hAnsi="宋体" w:cs="宋体"/>
                <w:color w:val="auto"/>
                <w:kern w:val="0"/>
                <w:szCs w:val="21"/>
              </w:rPr>
              <w:t>……</w:t>
            </w:r>
          </w:p>
          <w:p w14:paraId="22C17BBD">
            <w:pPr>
              <w:widowControl/>
              <w:adjustRightInd w:val="0"/>
              <w:snapToGrid w:val="0"/>
              <w:ind w:firstLine="420" w:firstLineChars="200"/>
              <w:rPr>
                <w:rFonts w:ascii="宋体" w:hAnsi="宋体" w:cs="宋体"/>
                <w:color w:val="auto"/>
                <w:kern w:val="0"/>
                <w:szCs w:val="21"/>
              </w:rPr>
            </w:pPr>
            <w:r>
              <w:rPr>
                <w:rFonts w:hint="eastAsia" w:ascii="宋体" w:hAnsi="宋体" w:cs="宋体"/>
                <w:color w:val="auto"/>
                <w:kern w:val="0"/>
                <w:szCs w:val="21"/>
              </w:rPr>
              <w:t>生产经营单位未按照规定进行应急预案备案的，由县级以上人民政府应急管理等部门依照职责责令限期改正；逾期未改正的，处3万元以上5万元以下的罚款，对直接负责的主管人员和其他直接责任人员处1万元以上2万元以下的罚款。</w:t>
            </w:r>
          </w:p>
        </w:tc>
        <w:tc>
          <w:tcPr>
            <w:tcW w:w="741" w:type="dxa"/>
            <w:vAlign w:val="center"/>
          </w:tcPr>
          <w:p w14:paraId="567869AC">
            <w:pPr>
              <w:widowControl/>
              <w:adjustRightInd w:val="0"/>
              <w:snapToGrid w:val="0"/>
              <w:rPr>
                <w:rFonts w:ascii="宋体" w:hAnsi="宋体" w:cs="宋体"/>
                <w:color w:val="auto"/>
                <w:kern w:val="0"/>
                <w:szCs w:val="21"/>
              </w:rPr>
            </w:pPr>
          </w:p>
        </w:tc>
      </w:tr>
      <w:tr w14:paraId="09907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020" w:hRule="atLeast"/>
          <w:jc w:val="center"/>
        </w:trPr>
        <w:tc>
          <w:tcPr>
            <w:tcW w:w="522" w:type="dxa"/>
            <w:vAlign w:val="center"/>
          </w:tcPr>
          <w:p w14:paraId="01DB4EF5">
            <w:pPr>
              <w:jc w:val="center"/>
              <w:rPr>
                <w:rFonts w:hint="eastAsia" w:ascii="宋体" w:hAnsi="宋体" w:eastAsia="宋体"/>
                <w:color w:val="auto"/>
                <w:szCs w:val="21"/>
                <w:lang w:val="en-US" w:eastAsia="zh-CN"/>
              </w:rPr>
            </w:pPr>
            <w:r>
              <w:rPr>
                <w:rFonts w:hint="eastAsia" w:ascii="宋体" w:hAnsi="宋体"/>
                <w:color w:val="auto"/>
                <w:szCs w:val="21"/>
              </w:rPr>
              <w:t>2</w:t>
            </w:r>
            <w:r>
              <w:rPr>
                <w:rFonts w:hint="eastAsia" w:ascii="宋体" w:hAnsi="宋体"/>
                <w:color w:val="auto"/>
                <w:szCs w:val="21"/>
                <w:lang w:val="en-US" w:eastAsia="zh-CN"/>
              </w:rPr>
              <w:t>3</w:t>
            </w:r>
          </w:p>
        </w:tc>
        <w:tc>
          <w:tcPr>
            <w:tcW w:w="1341" w:type="dxa"/>
            <w:vAlign w:val="center"/>
          </w:tcPr>
          <w:p w14:paraId="63D40C94">
            <w:pPr>
              <w:widowControl/>
              <w:adjustRightInd w:val="0"/>
              <w:snapToGrid w:val="0"/>
              <w:rPr>
                <w:rFonts w:ascii="宋体" w:hAnsi="宋体" w:cs="宋体"/>
                <w:color w:val="auto"/>
                <w:kern w:val="0"/>
                <w:szCs w:val="21"/>
              </w:rPr>
            </w:pPr>
            <w:r>
              <w:rPr>
                <w:rFonts w:hint="eastAsia" w:ascii="宋体" w:hAnsi="宋体" w:cs="宋体"/>
                <w:color w:val="auto"/>
                <w:kern w:val="0"/>
                <w:szCs w:val="21"/>
              </w:rPr>
              <w:t>应急物资及装备情况</w:t>
            </w:r>
          </w:p>
        </w:tc>
        <w:tc>
          <w:tcPr>
            <w:tcW w:w="1438" w:type="dxa"/>
            <w:vAlign w:val="center"/>
          </w:tcPr>
          <w:p w14:paraId="69FB6186">
            <w:pPr>
              <w:widowControl/>
              <w:adjustRightInd w:val="0"/>
              <w:snapToGrid w:val="0"/>
              <w:rPr>
                <w:rFonts w:ascii="宋体" w:hAnsi="宋体"/>
                <w:bCs/>
                <w:color w:val="auto"/>
                <w:szCs w:val="21"/>
              </w:rPr>
            </w:pPr>
            <w:r>
              <w:rPr>
                <w:rFonts w:hint="eastAsia" w:ascii="宋体" w:hAnsi="宋体"/>
                <w:bCs/>
                <w:color w:val="auto"/>
                <w:szCs w:val="21"/>
              </w:rPr>
              <w:t>按照应急预案的规定，落实应急物资及装备</w:t>
            </w:r>
          </w:p>
        </w:tc>
        <w:tc>
          <w:tcPr>
            <w:tcW w:w="4795" w:type="dxa"/>
            <w:vAlign w:val="center"/>
          </w:tcPr>
          <w:p w14:paraId="37235DCE">
            <w:pPr>
              <w:adjustRightInd w:val="0"/>
              <w:snapToGrid w:val="0"/>
              <w:spacing w:line="240" w:lineRule="exact"/>
              <w:ind w:firstLine="420" w:firstLineChars="200"/>
              <w:rPr>
                <w:rFonts w:ascii="宋体" w:hAnsi="宋体"/>
                <w:bCs/>
                <w:color w:val="auto"/>
                <w:szCs w:val="21"/>
              </w:rPr>
            </w:pPr>
            <w:r>
              <w:rPr>
                <w:rFonts w:hint="eastAsia" w:ascii="Times New Roman" w:hAnsi="Times New Roman"/>
                <w:color w:val="auto"/>
              </w:rPr>
              <w:t>《生产安全事故应急预案管理办法》第三十八条　生产经营单位应当按照应急预案的规定，落实应急指挥体系、应急救援队伍、应急物资及装备，建立应急物资、装备配备及其使用档案，并对应急物资、装备进行定期检测和维护，使其处于适用状态。</w:t>
            </w:r>
          </w:p>
        </w:tc>
        <w:tc>
          <w:tcPr>
            <w:tcW w:w="7277" w:type="dxa"/>
            <w:vAlign w:val="center"/>
          </w:tcPr>
          <w:p w14:paraId="3D7A7BEB">
            <w:pPr>
              <w:widowControl/>
              <w:adjustRightInd w:val="0"/>
              <w:snapToGrid w:val="0"/>
              <w:spacing w:line="240" w:lineRule="exact"/>
              <w:ind w:firstLine="420" w:firstLineChars="200"/>
              <w:rPr>
                <w:rFonts w:ascii="宋体" w:hAnsi="宋体" w:cs="宋体"/>
                <w:color w:val="auto"/>
                <w:kern w:val="0"/>
                <w:szCs w:val="21"/>
              </w:rPr>
            </w:pPr>
            <w:r>
              <w:rPr>
                <w:rFonts w:hint="eastAsia" w:ascii="Times New Roman" w:hAnsi="Times New Roman"/>
                <w:color w:val="auto"/>
              </w:rPr>
              <w:t>《生产安全事故应急预案管理办法》</w:t>
            </w:r>
            <w:r>
              <w:rPr>
                <w:rFonts w:hint="eastAsia" w:ascii="宋体" w:hAnsi="宋体" w:cs="宋体"/>
                <w:color w:val="auto"/>
                <w:kern w:val="0"/>
                <w:szCs w:val="21"/>
              </w:rPr>
              <w:t>第四十五条  生产经营单位有下列情形之一的，由县级以上安全生产监督管理部门责令限期改正，可以处1万元以上3万元以下罚款：</w:t>
            </w:r>
          </w:p>
          <w:p w14:paraId="71018A11">
            <w:pPr>
              <w:widowControl/>
              <w:adjustRightInd w:val="0"/>
              <w:snapToGrid w:val="0"/>
              <w:spacing w:line="240" w:lineRule="exact"/>
              <w:ind w:firstLine="420" w:firstLineChars="200"/>
              <w:rPr>
                <w:rFonts w:ascii="宋体" w:hAnsi="宋体" w:cs="宋体"/>
                <w:color w:val="auto"/>
                <w:kern w:val="0"/>
                <w:szCs w:val="21"/>
              </w:rPr>
            </w:pPr>
            <w:r>
              <w:rPr>
                <w:rFonts w:hint="eastAsia" w:ascii="宋体" w:hAnsi="宋体" w:cs="宋体"/>
                <w:color w:val="auto"/>
                <w:kern w:val="0"/>
                <w:szCs w:val="21"/>
              </w:rPr>
              <w:t>……</w:t>
            </w:r>
          </w:p>
          <w:p w14:paraId="17394C33">
            <w:pPr>
              <w:widowControl/>
              <w:numPr>
                <w:ilvl w:val="255"/>
                <w:numId w:val="0"/>
              </w:numPr>
              <w:adjustRightInd w:val="0"/>
              <w:snapToGrid w:val="0"/>
              <w:spacing w:line="240" w:lineRule="exact"/>
              <w:ind w:firstLine="420" w:firstLineChars="200"/>
              <w:rPr>
                <w:rFonts w:ascii="Times New Roman" w:hAnsi="Times New Roman"/>
                <w:color w:val="auto"/>
              </w:rPr>
            </w:pPr>
            <w:r>
              <w:rPr>
                <w:rFonts w:hint="eastAsia" w:ascii="Times New Roman" w:hAnsi="Times New Roman"/>
                <w:color w:val="auto"/>
              </w:rPr>
              <w:t>（六）未落实应急预案规定的应急物资及装备的。</w:t>
            </w:r>
          </w:p>
          <w:p w14:paraId="358CDFF3">
            <w:pPr>
              <w:widowControl/>
              <w:adjustRightInd w:val="0"/>
              <w:snapToGrid w:val="0"/>
              <w:spacing w:line="240" w:lineRule="exact"/>
              <w:ind w:left="420" w:leftChars="200" w:firstLine="210" w:firstLineChars="100"/>
              <w:rPr>
                <w:rFonts w:ascii="Times New Roman" w:hAnsi="Times New Roman"/>
                <w:color w:val="auto"/>
              </w:rPr>
            </w:pPr>
            <w:r>
              <w:rPr>
                <w:rFonts w:hint="eastAsia" w:ascii="Times New Roman" w:hAnsi="Times New Roman"/>
                <w:color w:val="auto"/>
              </w:rPr>
              <w:t>……</w:t>
            </w:r>
          </w:p>
        </w:tc>
        <w:tc>
          <w:tcPr>
            <w:tcW w:w="741" w:type="dxa"/>
            <w:vAlign w:val="center"/>
          </w:tcPr>
          <w:p w14:paraId="2D7F70AA">
            <w:pPr>
              <w:widowControl/>
              <w:adjustRightInd w:val="0"/>
              <w:snapToGrid w:val="0"/>
              <w:rPr>
                <w:rFonts w:ascii="宋体" w:hAnsi="宋体" w:cs="宋体"/>
                <w:color w:val="auto"/>
                <w:kern w:val="0"/>
                <w:szCs w:val="21"/>
              </w:rPr>
            </w:pPr>
          </w:p>
        </w:tc>
      </w:tr>
      <w:tr w14:paraId="1486A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020" w:hRule="atLeast"/>
          <w:jc w:val="center"/>
        </w:trPr>
        <w:tc>
          <w:tcPr>
            <w:tcW w:w="522" w:type="dxa"/>
            <w:vMerge w:val="restart"/>
            <w:vAlign w:val="center"/>
          </w:tcPr>
          <w:p w14:paraId="49683D2C">
            <w:pPr>
              <w:jc w:val="center"/>
              <w:rPr>
                <w:rFonts w:hint="eastAsia" w:ascii="宋体" w:hAnsi="宋体"/>
                <w:color w:val="auto"/>
                <w:szCs w:val="21"/>
                <w:lang w:val="en-US" w:eastAsia="zh-CN"/>
              </w:rPr>
            </w:pPr>
            <w:r>
              <w:rPr>
                <w:rFonts w:hint="eastAsia" w:ascii="宋体" w:hAnsi="宋体"/>
                <w:color w:val="auto"/>
                <w:szCs w:val="21"/>
                <w:lang w:val="en-US" w:eastAsia="zh-CN"/>
              </w:rPr>
              <w:t>24</w:t>
            </w:r>
          </w:p>
        </w:tc>
        <w:tc>
          <w:tcPr>
            <w:tcW w:w="1341" w:type="dxa"/>
            <w:vMerge w:val="restart"/>
            <w:vAlign w:val="center"/>
          </w:tcPr>
          <w:p w14:paraId="2F4FF2E7">
            <w:pPr>
              <w:jc w:val="both"/>
              <w:rPr>
                <w:rFonts w:hint="eastAsia" w:ascii="宋体" w:hAnsi="宋体"/>
                <w:color w:val="auto"/>
                <w:szCs w:val="21"/>
              </w:rPr>
            </w:pPr>
            <w:r>
              <w:rPr>
                <w:rFonts w:hint="eastAsia" w:ascii="宋体" w:hAnsi="宋体"/>
                <w:color w:val="auto"/>
                <w:szCs w:val="21"/>
              </w:rPr>
              <w:t>承担安全评价、认证、检测、检验职责的机构出具报告</w:t>
            </w:r>
            <w:r>
              <w:rPr>
                <w:rFonts w:hint="eastAsia" w:ascii="宋体" w:hAnsi="宋体"/>
                <w:color w:val="auto"/>
                <w:szCs w:val="21"/>
                <w:lang w:eastAsia="zh-CN"/>
              </w:rPr>
              <w:t>情况</w:t>
            </w:r>
          </w:p>
        </w:tc>
        <w:tc>
          <w:tcPr>
            <w:tcW w:w="1438" w:type="dxa"/>
            <w:vAlign w:val="center"/>
          </w:tcPr>
          <w:p w14:paraId="0FDDBA36">
            <w:pPr>
              <w:jc w:val="both"/>
              <w:rPr>
                <w:rFonts w:hint="eastAsia" w:ascii="宋体" w:hAnsi="宋体"/>
                <w:color w:val="auto"/>
                <w:szCs w:val="21"/>
              </w:rPr>
            </w:pPr>
            <w:r>
              <w:rPr>
                <w:rFonts w:hint="eastAsia" w:ascii="宋体" w:hAnsi="宋体"/>
                <w:color w:val="auto"/>
                <w:szCs w:val="21"/>
                <w:lang w:val="en-US" w:eastAsia="zh-CN"/>
              </w:rPr>
              <w:t>24.1</w:t>
            </w:r>
            <w:r>
              <w:rPr>
                <w:rFonts w:hint="eastAsia" w:ascii="宋体" w:hAnsi="宋体"/>
                <w:color w:val="auto"/>
                <w:szCs w:val="21"/>
              </w:rPr>
              <w:t>承担安全评价、认证、检测、检验职责的机构应当具备国家规定的资质条件，并对其作出的安全评价、认证、检测、检验结果的合法性、真实性负责。</w:t>
            </w:r>
          </w:p>
        </w:tc>
        <w:tc>
          <w:tcPr>
            <w:tcW w:w="4795" w:type="dxa"/>
            <w:vAlign w:val="center"/>
          </w:tcPr>
          <w:p w14:paraId="7FD5A18B">
            <w:pPr>
              <w:ind w:firstLine="420" w:firstLineChars="200"/>
              <w:jc w:val="both"/>
              <w:rPr>
                <w:rFonts w:hint="eastAsia" w:ascii="宋体" w:hAnsi="宋体"/>
                <w:color w:val="auto"/>
                <w:szCs w:val="21"/>
              </w:rPr>
            </w:pPr>
            <w:r>
              <w:rPr>
                <w:rFonts w:hint="eastAsia" w:ascii="宋体" w:hAnsi="宋体"/>
                <w:color w:val="auto"/>
                <w:szCs w:val="21"/>
                <w:lang w:eastAsia="zh-CN"/>
              </w:rPr>
              <w:t>《中华人民共和国安全生产法》</w:t>
            </w:r>
            <w:r>
              <w:rPr>
                <w:rFonts w:hint="eastAsia" w:ascii="宋体" w:hAnsi="宋体"/>
                <w:color w:val="auto"/>
                <w:szCs w:val="21"/>
              </w:rPr>
              <w:t>第七十二条　承担安全评价、认证、检测、检验职责的机构应当具备国家规定的资质条件，并对其作出的安全评价、认证、检测、检验结果的合法性、真实性负责。资质条件由国务院应急管理部门会同国务院有关部门制定。</w:t>
            </w:r>
          </w:p>
          <w:p w14:paraId="14BCB571">
            <w:pPr>
              <w:jc w:val="both"/>
              <w:rPr>
                <w:rFonts w:hint="eastAsia" w:ascii="宋体" w:hAnsi="宋体"/>
                <w:color w:val="auto"/>
                <w:szCs w:val="21"/>
              </w:rPr>
            </w:pPr>
          </w:p>
        </w:tc>
        <w:tc>
          <w:tcPr>
            <w:tcW w:w="7277" w:type="dxa"/>
            <w:vAlign w:val="center"/>
          </w:tcPr>
          <w:p w14:paraId="0BDAE05F">
            <w:pPr>
              <w:ind w:firstLine="420" w:firstLineChars="200"/>
              <w:jc w:val="both"/>
              <w:rPr>
                <w:rFonts w:hint="eastAsia" w:ascii="宋体" w:hAnsi="宋体"/>
                <w:color w:val="auto"/>
                <w:szCs w:val="21"/>
              </w:rPr>
            </w:pPr>
            <w:r>
              <w:rPr>
                <w:rFonts w:hint="eastAsia" w:ascii="宋体" w:hAnsi="宋体"/>
                <w:color w:val="auto"/>
                <w:szCs w:val="21"/>
                <w:lang w:eastAsia="zh-CN"/>
              </w:rPr>
              <w:t>《中华人民共和国安全生产法》</w:t>
            </w:r>
            <w:r>
              <w:rPr>
                <w:rFonts w:hint="eastAsia" w:ascii="宋体" w:hAnsi="宋体"/>
                <w:color w:val="auto"/>
                <w:szCs w:val="21"/>
              </w:rPr>
              <w:t>第九十二条　承担安全评价、认证、检测、检验职责的机构出具失实报告的，责令停业整顿，并处三万元以上十万元以下的罚款；给他人造成损害的，依法承担赔偿责任。</w:t>
            </w:r>
          </w:p>
        </w:tc>
        <w:tc>
          <w:tcPr>
            <w:tcW w:w="741" w:type="dxa"/>
            <w:vAlign w:val="center"/>
          </w:tcPr>
          <w:p w14:paraId="011FFADD">
            <w:pPr>
              <w:jc w:val="both"/>
              <w:rPr>
                <w:rFonts w:hint="eastAsia" w:ascii="宋体" w:hAnsi="宋体"/>
                <w:color w:val="auto"/>
                <w:szCs w:val="21"/>
              </w:rPr>
            </w:pPr>
          </w:p>
        </w:tc>
      </w:tr>
      <w:tr w14:paraId="757C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020" w:hRule="atLeast"/>
          <w:jc w:val="center"/>
        </w:trPr>
        <w:tc>
          <w:tcPr>
            <w:tcW w:w="522" w:type="dxa"/>
            <w:vMerge w:val="continue"/>
            <w:vAlign w:val="center"/>
          </w:tcPr>
          <w:p w14:paraId="5BE23931">
            <w:pPr>
              <w:jc w:val="center"/>
              <w:rPr>
                <w:rFonts w:hint="eastAsia" w:ascii="宋体" w:hAnsi="宋体"/>
                <w:color w:val="auto"/>
                <w:szCs w:val="21"/>
                <w:lang w:val="en-US" w:eastAsia="zh-CN"/>
              </w:rPr>
            </w:pPr>
          </w:p>
        </w:tc>
        <w:tc>
          <w:tcPr>
            <w:tcW w:w="1341" w:type="dxa"/>
            <w:vMerge w:val="continue"/>
            <w:vAlign w:val="center"/>
          </w:tcPr>
          <w:p w14:paraId="2F40A729">
            <w:pPr>
              <w:jc w:val="both"/>
              <w:rPr>
                <w:rFonts w:hint="eastAsia" w:ascii="宋体" w:hAnsi="宋体"/>
                <w:color w:val="auto"/>
                <w:szCs w:val="21"/>
              </w:rPr>
            </w:pPr>
          </w:p>
        </w:tc>
        <w:tc>
          <w:tcPr>
            <w:tcW w:w="1438" w:type="dxa"/>
            <w:vAlign w:val="center"/>
          </w:tcPr>
          <w:p w14:paraId="0E36AF8A">
            <w:pPr>
              <w:jc w:val="both"/>
              <w:rPr>
                <w:rFonts w:hint="eastAsia" w:ascii="宋体" w:hAnsi="宋体"/>
                <w:color w:val="auto"/>
                <w:szCs w:val="21"/>
              </w:rPr>
            </w:pPr>
            <w:r>
              <w:rPr>
                <w:rFonts w:hint="eastAsia" w:ascii="宋体" w:hAnsi="宋体"/>
                <w:color w:val="auto"/>
                <w:szCs w:val="21"/>
                <w:lang w:val="en-US" w:eastAsia="zh-CN"/>
              </w:rPr>
              <w:t>24.2</w:t>
            </w:r>
            <w:r>
              <w:rPr>
                <w:rFonts w:hint="eastAsia" w:ascii="宋体" w:hAnsi="宋体"/>
                <w:color w:val="auto"/>
                <w:szCs w:val="21"/>
              </w:rPr>
              <w:t>承担安全评价、认证、检测、检验职责的机构不得租借资质、挂靠、出具虚假报告。</w:t>
            </w:r>
          </w:p>
          <w:p w14:paraId="3DBD0713">
            <w:pPr>
              <w:jc w:val="both"/>
              <w:rPr>
                <w:rFonts w:hint="eastAsia" w:ascii="宋体" w:hAnsi="宋体" w:eastAsia="宋体"/>
                <w:color w:val="auto"/>
                <w:szCs w:val="21"/>
                <w:lang w:val="en-US" w:eastAsia="zh-CN"/>
              </w:rPr>
            </w:pPr>
          </w:p>
        </w:tc>
        <w:tc>
          <w:tcPr>
            <w:tcW w:w="4795" w:type="dxa"/>
            <w:vAlign w:val="center"/>
          </w:tcPr>
          <w:p w14:paraId="056A4CB0">
            <w:pPr>
              <w:ind w:firstLine="420" w:firstLineChars="200"/>
              <w:jc w:val="both"/>
              <w:rPr>
                <w:rFonts w:hint="eastAsia" w:ascii="宋体" w:hAnsi="宋体"/>
                <w:color w:val="auto"/>
                <w:szCs w:val="21"/>
                <w:lang w:val="en-US" w:eastAsia="zh-CN"/>
              </w:rPr>
            </w:pPr>
            <w:r>
              <w:rPr>
                <w:rFonts w:hint="eastAsia" w:ascii="宋体" w:hAnsi="宋体"/>
                <w:color w:val="auto"/>
                <w:szCs w:val="21"/>
                <w:lang w:eastAsia="zh-CN"/>
              </w:rPr>
              <w:t>《中华人民共和国安全生产法》</w:t>
            </w:r>
            <w:r>
              <w:rPr>
                <w:rFonts w:hint="eastAsia" w:ascii="宋体" w:hAnsi="宋体"/>
                <w:color w:val="auto"/>
                <w:szCs w:val="21"/>
              </w:rPr>
              <w:t>第七十二条</w:t>
            </w:r>
            <w:r>
              <w:rPr>
                <w:rFonts w:hint="eastAsia" w:ascii="宋体" w:hAnsi="宋体"/>
                <w:color w:val="auto"/>
                <w:szCs w:val="21"/>
                <w:lang w:val="en-US" w:eastAsia="zh-CN"/>
              </w:rPr>
              <w:t xml:space="preserve">  ……</w:t>
            </w:r>
          </w:p>
          <w:p w14:paraId="49E83BF2">
            <w:pPr>
              <w:ind w:firstLine="420" w:firstLineChars="200"/>
              <w:jc w:val="both"/>
              <w:rPr>
                <w:rFonts w:hint="eastAsia" w:ascii="宋体" w:hAnsi="宋体"/>
                <w:color w:val="auto"/>
                <w:szCs w:val="21"/>
              </w:rPr>
            </w:pPr>
            <w:r>
              <w:rPr>
                <w:rFonts w:hint="eastAsia" w:ascii="宋体" w:hAnsi="宋体"/>
                <w:color w:val="auto"/>
                <w:szCs w:val="21"/>
              </w:rPr>
              <w:t>承担安全评价、认证、检测、检验职责的机构应当建立并实施服务公开和报告公开制度，不得租借资质、挂靠、出具虚假报告。</w:t>
            </w:r>
          </w:p>
          <w:p w14:paraId="5C722CEC">
            <w:pPr>
              <w:jc w:val="both"/>
              <w:rPr>
                <w:rFonts w:hint="eastAsia" w:ascii="宋体" w:hAnsi="宋体"/>
                <w:color w:val="auto"/>
                <w:szCs w:val="21"/>
              </w:rPr>
            </w:pPr>
          </w:p>
        </w:tc>
        <w:tc>
          <w:tcPr>
            <w:tcW w:w="7277" w:type="dxa"/>
            <w:vAlign w:val="center"/>
          </w:tcPr>
          <w:p w14:paraId="7D37194D">
            <w:pPr>
              <w:ind w:firstLine="420" w:firstLineChars="200"/>
              <w:jc w:val="both"/>
              <w:rPr>
                <w:rFonts w:hint="eastAsia" w:ascii="宋体" w:hAnsi="宋体"/>
                <w:color w:val="auto"/>
                <w:szCs w:val="21"/>
                <w:lang w:val="en-US" w:eastAsia="zh-CN"/>
              </w:rPr>
            </w:pPr>
            <w:r>
              <w:rPr>
                <w:rFonts w:hint="eastAsia" w:ascii="宋体" w:hAnsi="宋体"/>
                <w:color w:val="auto"/>
                <w:szCs w:val="21"/>
                <w:lang w:eastAsia="zh-CN"/>
              </w:rPr>
              <w:t>《中华人民共和国安全生产法》</w:t>
            </w:r>
            <w:r>
              <w:rPr>
                <w:rFonts w:hint="eastAsia" w:ascii="宋体" w:hAnsi="宋体"/>
                <w:color w:val="auto"/>
                <w:szCs w:val="21"/>
              </w:rPr>
              <w:t>第九十二条</w:t>
            </w:r>
            <w:r>
              <w:rPr>
                <w:rFonts w:hint="eastAsia" w:ascii="宋体" w:hAnsi="宋体"/>
                <w:color w:val="auto"/>
                <w:szCs w:val="21"/>
                <w:lang w:val="en-US" w:eastAsia="zh-CN"/>
              </w:rPr>
              <w:t xml:space="preserve"> ……</w:t>
            </w:r>
          </w:p>
          <w:p w14:paraId="0AFCED63">
            <w:pPr>
              <w:ind w:firstLine="420" w:firstLineChars="200"/>
              <w:jc w:val="both"/>
              <w:rPr>
                <w:rFonts w:hint="eastAsia" w:ascii="宋体" w:hAnsi="宋体"/>
                <w:color w:val="auto"/>
                <w:szCs w:val="21"/>
              </w:rPr>
            </w:pPr>
            <w:r>
              <w:rPr>
                <w:rFonts w:hint="eastAsia" w:ascii="宋体" w:hAnsi="宋体"/>
                <w:color w:val="auto"/>
                <w:szCs w:val="21"/>
              </w:rPr>
              <w:t>承担安全评价、认证、检测、检验职责的机构租借资质、挂靠、出具虚假报告的，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给他人造成损害的，与生产经营单位承担连带赔偿责任；构成犯罪的，依照刑法有关规定追究刑事责任。</w:t>
            </w:r>
            <w:r>
              <w:rPr>
                <w:rFonts w:hint="eastAsia" w:ascii="宋体" w:hAnsi="宋体"/>
                <w:color w:val="auto"/>
                <w:szCs w:val="21"/>
                <w:lang w:val="en-US" w:eastAsia="zh-CN"/>
              </w:rPr>
              <w:t xml:space="preserve">     </w:t>
            </w:r>
            <w:r>
              <w:rPr>
                <w:rFonts w:hint="eastAsia" w:ascii="宋体" w:hAnsi="宋体"/>
                <w:color w:val="auto"/>
                <w:szCs w:val="21"/>
              </w:rPr>
              <w:t>　　</w:t>
            </w:r>
            <w:r>
              <w:rPr>
                <w:rFonts w:hint="eastAsia" w:ascii="宋体" w:hAnsi="宋体"/>
                <w:color w:val="auto"/>
                <w:szCs w:val="21"/>
                <w:lang w:val="en-US" w:eastAsia="zh-CN"/>
              </w:rPr>
              <w:t xml:space="preserve">                </w:t>
            </w:r>
            <w:r>
              <w:rPr>
                <w:rFonts w:hint="eastAsia" w:ascii="宋体" w:hAnsi="宋体"/>
                <w:color w:val="auto"/>
                <w:szCs w:val="21"/>
              </w:rPr>
              <w:t>对有前款违法行为的机构及其直接责任人员，吊销其相应资质和资格，五年内不得从事安全评价、认证、检测、检验等工作；情节严重的，实行终身行业和职业禁入。</w:t>
            </w:r>
          </w:p>
          <w:p w14:paraId="33DBD632">
            <w:pPr>
              <w:ind w:firstLine="420" w:firstLineChars="200"/>
              <w:jc w:val="both"/>
              <w:rPr>
                <w:rFonts w:hint="eastAsia" w:ascii="宋体" w:hAnsi="宋体"/>
                <w:color w:val="auto"/>
                <w:szCs w:val="21"/>
              </w:rPr>
            </w:pPr>
          </w:p>
          <w:p w14:paraId="5C618110">
            <w:pPr>
              <w:ind w:firstLine="420" w:firstLineChars="200"/>
              <w:jc w:val="both"/>
              <w:rPr>
                <w:rFonts w:hint="eastAsia" w:ascii="宋体" w:hAnsi="宋体"/>
                <w:color w:val="auto"/>
                <w:szCs w:val="21"/>
              </w:rPr>
            </w:pPr>
          </w:p>
        </w:tc>
        <w:tc>
          <w:tcPr>
            <w:tcW w:w="741" w:type="dxa"/>
            <w:vAlign w:val="center"/>
          </w:tcPr>
          <w:p w14:paraId="5C2C2528">
            <w:pPr>
              <w:jc w:val="both"/>
              <w:rPr>
                <w:rFonts w:hint="eastAsia" w:ascii="宋体" w:hAnsi="宋体"/>
                <w:color w:val="auto"/>
                <w:szCs w:val="21"/>
              </w:rPr>
            </w:pPr>
          </w:p>
        </w:tc>
      </w:tr>
      <w:tr w14:paraId="61066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020" w:hRule="atLeast"/>
          <w:jc w:val="center"/>
        </w:trPr>
        <w:tc>
          <w:tcPr>
            <w:tcW w:w="522" w:type="dxa"/>
            <w:vAlign w:val="center"/>
          </w:tcPr>
          <w:p w14:paraId="21C6F167">
            <w:pPr>
              <w:jc w:val="center"/>
              <w:rPr>
                <w:rFonts w:hint="eastAsia" w:ascii="宋体" w:hAnsi="宋体"/>
                <w:color w:val="auto"/>
                <w:szCs w:val="21"/>
                <w:lang w:val="en-US" w:eastAsia="zh-CN"/>
              </w:rPr>
            </w:pPr>
          </w:p>
          <w:p w14:paraId="23E32387">
            <w:pPr>
              <w:jc w:val="center"/>
              <w:rPr>
                <w:rFonts w:hint="eastAsia" w:ascii="宋体" w:hAnsi="宋体"/>
                <w:color w:val="auto"/>
                <w:szCs w:val="21"/>
                <w:lang w:val="en-US" w:eastAsia="zh-CN"/>
              </w:rPr>
            </w:pPr>
          </w:p>
          <w:p w14:paraId="56CE961F">
            <w:pPr>
              <w:jc w:val="center"/>
              <w:rPr>
                <w:rFonts w:hint="eastAsia" w:ascii="宋体" w:hAnsi="宋体"/>
                <w:color w:val="auto"/>
                <w:szCs w:val="21"/>
                <w:lang w:val="en-US" w:eastAsia="zh-CN"/>
              </w:rPr>
            </w:pPr>
          </w:p>
          <w:p w14:paraId="04D20F35">
            <w:pPr>
              <w:jc w:val="center"/>
              <w:rPr>
                <w:rFonts w:hint="eastAsia" w:ascii="宋体" w:hAnsi="宋体"/>
                <w:color w:val="auto"/>
                <w:szCs w:val="21"/>
                <w:lang w:val="en-US" w:eastAsia="zh-CN"/>
              </w:rPr>
            </w:pPr>
            <w:r>
              <w:rPr>
                <w:rFonts w:hint="eastAsia" w:ascii="宋体" w:hAnsi="宋体"/>
                <w:color w:val="auto"/>
                <w:szCs w:val="21"/>
                <w:lang w:val="en-US" w:eastAsia="zh-CN"/>
              </w:rPr>
              <w:t>25</w:t>
            </w:r>
          </w:p>
        </w:tc>
        <w:tc>
          <w:tcPr>
            <w:tcW w:w="1341" w:type="dxa"/>
            <w:vAlign w:val="center"/>
          </w:tcPr>
          <w:p w14:paraId="0370D487">
            <w:pPr>
              <w:jc w:val="both"/>
              <w:rPr>
                <w:rFonts w:hint="eastAsia" w:ascii="宋体" w:hAnsi="宋体"/>
                <w:color w:val="auto"/>
                <w:szCs w:val="21"/>
                <w:lang w:eastAsia="zh-CN"/>
              </w:rPr>
            </w:pPr>
            <w:r>
              <w:rPr>
                <w:rFonts w:hint="eastAsia" w:ascii="宋体" w:hAnsi="宋体"/>
                <w:color w:val="auto"/>
                <w:szCs w:val="21"/>
                <w:lang w:eastAsia="zh-CN"/>
              </w:rPr>
              <w:t>高危行业配备注册安全工程师情况</w:t>
            </w:r>
          </w:p>
        </w:tc>
        <w:tc>
          <w:tcPr>
            <w:tcW w:w="1438" w:type="dxa"/>
            <w:vAlign w:val="center"/>
          </w:tcPr>
          <w:p w14:paraId="0C4C7CED">
            <w:pPr>
              <w:jc w:val="both"/>
              <w:rPr>
                <w:rFonts w:hint="eastAsia" w:ascii="宋体" w:hAnsi="宋体"/>
                <w:color w:val="auto"/>
                <w:szCs w:val="21"/>
                <w:lang w:val="en-US" w:eastAsia="zh-CN"/>
              </w:rPr>
            </w:pPr>
            <w:r>
              <w:rPr>
                <w:rFonts w:hint="eastAsia" w:ascii="宋体" w:hAnsi="宋体"/>
                <w:color w:val="auto"/>
                <w:szCs w:val="21"/>
              </w:rPr>
              <w:t>危险物品的生产、储存、装卸单位以及矿山、金属冶炼单位应当有注册安全工程师从事安全生产管理工作。</w:t>
            </w:r>
          </w:p>
        </w:tc>
        <w:tc>
          <w:tcPr>
            <w:tcW w:w="4795" w:type="dxa"/>
            <w:vAlign w:val="center"/>
          </w:tcPr>
          <w:p w14:paraId="590463D8">
            <w:pPr>
              <w:ind w:firstLine="420" w:firstLineChars="200"/>
              <w:jc w:val="both"/>
              <w:rPr>
                <w:rFonts w:hint="eastAsia" w:ascii="宋体" w:hAnsi="宋体"/>
                <w:color w:val="auto"/>
                <w:szCs w:val="21"/>
              </w:rPr>
            </w:pPr>
            <w:r>
              <w:rPr>
                <w:rFonts w:hint="eastAsia" w:ascii="宋体" w:hAnsi="宋体"/>
                <w:color w:val="auto"/>
                <w:szCs w:val="21"/>
                <w:lang w:eastAsia="zh-CN"/>
              </w:rPr>
              <w:t>《中华人民共和国安全生产法》</w:t>
            </w:r>
            <w:r>
              <w:rPr>
                <w:rFonts w:hint="eastAsia" w:ascii="宋体" w:hAnsi="宋体"/>
                <w:color w:val="auto"/>
                <w:szCs w:val="21"/>
              </w:rPr>
              <w:t>第二十七条</w:t>
            </w:r>
            <w:r>
              <w:rPr>
                <w:rFonts w:hint="eastAsia" w:ascii="宋体" w:hAnsi="宋体"/>
                <w:color w:val="auto"/>
                <w:szCs w:val="21"/>
                <w:lang w:val="en-US" w:eastAsia="zh-CN"/>
              </w:rPr>
              <w:t xml:space="preserve">  </w:t>
            </w:r>
            <w:r>
              <w:rPr>
                <w:rFonts w:hint="eastAsia" w:ascii="宋体" w:hAnsi="宋体"/>
                <w:color w:val="auto"/>
                <w:szCs w:val="21"/>
                <w:lang w:eastAsia="zh-CN"/>
              </w:rPr>
              <w:t>……</w:t>
            </w:r>
          </w:p>
          <w:p w14:paraId="583E964C">
            <w:pPr>
              <w:ind w:firstLine="420" w:firstLineChars="200"/>
              <w:jc w:val="both"/>
              <w:rPr>
                <w:rFonts w:hint="eastAsia" w:ascii="宋体" w:hAnsi="宋体"/>
                <w:color w:val="auto"/>
                <w:szCs w:val="21"/>
              </w:rPr>
            </w:pPr>
            <w:r>
              <w:rPr>
                <w:rFonts w:hint="eastAsia" w:ascii="宋体" w:hAnsi="宋体"/>
                <w:color w:val="auto"/>
                <w:szCs w:val="21"/>
              </w:rPr>
              <w:t>危险物品的生产、储存、装卸单位以及矿山、金属冶炼单位应当有注册安全工程师从事安全生产管理工作。鼓励其他生产经营单位聘用注册安全工程师从事安全生产管理工作。注册安全工程师按专业分类管理，具体办法由国务院人力资源和社会保障部门、国务院应急管理部门会同国务院有关部门制定。</w:t>
            </w:r>
          </w:p>
          <w:p w14:paraId="30F7319D">
            <w:pPr>
              <w:jc w:val="both"/>
              <w:rPr>
                <w:rFonts w:hint="eastAsia" w:ascii="宋体" w:hAnsi="宋体"/>
                <w:color w:val="auto"/>
                <w:szCs w:val="21"/>
              </w:rPr>
            </w:pPr>
          </w:p>
        </w:tc>
        <w:tc>
          <w:tcPr>
            <w:tcW w:w="7277" w:type="dxa"/>
            <w:vAlign w:val="center"/>
          </w:tcPr>
          <w:p w14:paraId="76BD8C54">
            <w:pPr>
              <w:jc w:val="both"/>
              <w:rPr>
                <w:rFonts w:hint="eastAsia" w:ascii="宋体" w:hAnsi="宋体"/>
                <w:color w:val="auto"/>
                <w:szCs w:val="21"/>
              </w:rPr>
            </w:pPr>
            <w:r>
              <w:rPr>
                <w:rFonts w:hint="eastAsia" w:ascii="宋体" w:hAnsi="宋体"/>
                <w:color w:val="auto"/>
                <w:szCs w:val="21"/>
              </w:rPr>
              <w:t>　　</w:t>
            </w:r>
            <w:r>
              <w:rPr>
                <w:rFonts w:hint="eastAsia" w:ascii="宋体" w:hAnsi="宋体"/>
                <w:color w:val="auto"/>
                <w:szCs w:val="21"/>
                <w:lang w:eastAsia="zh-CN"/>
              </w:rPr>
              <w:t>《中华人民共和国安全生产法》</w:t>
            </w:r>
            <w:r>
              <w:rPr>
                <w:rFonts w:hint="eastAsia" w:ascii="宋体" w:hAnsi="宋体"/>
                <w:color w:val="auto"/>
                <w:szCs w:val="21"/>
              </w:rPr>
              <w:t>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p>
          <w:p w14:paraId="38C35AC4">
            <w:pPr>
              <w:jc w:val="both"/>
              <w:rPr>
                <w:rFonts w:hint="eastAsia" w:ascii="宋体" w:hAnsi="宋体"/>
                <w:color w:val="auto"/>
                <w:szCs w:val="21"/>
              </w:rPr>
            </w:pPr>
            <w:r>
              <w:rPr>
                <w:rFonts w:hint="eastAsia" w:ascii="宋体" w:hAnsi="宋体"/>
                <w:color w:val="auto"/>
                <w:szCs w:val="21"/>
              </w:rPr>
              <w:t>　　（一）未按照规定设置安全生产管理机构或者配备安全生产管理人员、注册安全工程师的；</w:t>
            </w:r>
          </w:p>
          <w:p w14:paraId="7226C675">
            <w:pPr>
              <w:jc w:val="both"/>
              <w:rPr>
                <w:rFonts w:hint="eastAsia" w:ascii="宋体" w:hAnsi="宋体"/>
                <w:color w:val="auto"/>
                <w:szCs w:val="21"/>
              </w:rPr>
            </w:pPr>
          </w:p>
        </w:tc>
        <w:tc>
          <w:tcPr>
            <w:tcW w:w="741" w:type="dxa"/>
            <w:vAlign w:val="center"/>
          </w:tcPr>
          <w:p w14:paraId="47C9AF03">
            <w:pPr>
              <w:jc w:val="both"/>
              <w:rPr>
                <w:rFonts w:hint="eastAsia" w:ascii="宋体" w:hAnsi="宋体"/>
                <w:color w:val="auto"/>
                <w:szCs w:val="21"/>
              </w:rPr>
            </w:pPr>
          </w:p>
        </w:tc>
      </w:tr>
      <w:tr w14:paraId="7BF33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020" w:hRule="atLeast"/>
          <w:jc w:val="center"/>
        </w:trPr>
        <w:tc>
          <w:tcPr>
            <w:tcW w:w="522" w:type="dxa"/>
            <w:vAlign w:val="center"/>
          </w:tcPr>
          <w:p w14:paraId="46689A3F">
            <w:pPr>
              <w:jc w:val="center"/>
              <w:rPr>
                <w:rFonts w:hint="eastAsia" w:ascii="宋体" w:hAnsi="宋体"/>
                <w:color w:val="auto"/>
                <w:szCs w:val="21"/>
                <w:lang w:val="en-US" w:eastAsia="zh-CN"/>
              </w:rPr>
            </w:pPr>
            <w:r>
              <w:rPr>
                <w:rFonts w:hint="eastAsia" w:ascii="宋体" w:hAnsi="宋体"/>
                <w:color w:val="auto"/>
                <w:szCs w:val="21"/>
                <w:lang w:val="en-US" w:eastAsia="zh-CN"/>
              </w:rPr>
              <w:t>26</w:t>
            </w:r>
          </w:p>
        </w:tc>
        <w:tc>
          <w:tcPr>
            <w:tcW w:w="1341" w:type="dxa"/>
            <w:vAlign w:val="center"/>
          </w:tcPr>
          <w:p w14:paraId="470D72D1">
            <w:pPr>
              <w:jc w:val="both"/>
              <w:rPr>
                <w:rFonts w:hint="eastAsia" w:ascii="宋体" w:hAnsi="宋体" w:eastAsia="宋体"/>
                <w:color w:val="auto"/>
                <w:szCs w:val="21"/>
                <w:lang w:eastAsia="zh-CN"/>
              </w:rPr>
            </w:pPr>
            <w:r>
              <w:rPr>
                <w:rFonts w:hint="eastAsia" w:ascii="宋体" w:hAnsi="宋体"/>
                <w:color w:val="auto"/>
                <w:szCs w:val="21"/>
                <w:lang w:eastAsia="zh-CN"/>
              </w:rPr>
              <w:t>设备的维护情况</w:t>
            </w:r>
          </w:p>
        </w:tc>
        <w:tc>
          <w:tcPr>
            <w:tcW w:w="1438" w:type="dxa"/>
            <w:vAlign w:val="center"/>
          </w:tcPr>
          <w:p w14:paraId="342BD7C4">
            <w:pPr>
              <w:jc w:val="both"/>
              <w:rPr>
                <w:rFonts w:hint="eastAsia" w:ascii="宋体" w:hAnsi="宋体" w:eastAsia="宋体"/>
                <w:color w:val="auto"/>
                <w:szCs w:val="21"/>
                <w:lang w:eastAsia="zh-CN"/>
              </w:rPr>
            </w:pPr>
            <w:r>
              <w:rPr>
                <w:rFonts w:hint="eastAsia" w:ascii="宋体" w:hAnsi="宋体"/>
                <w:color w:val="auto"/>
                <w:szCs w:val="21"/>
                <w:lang w:eastAsia="zh-CN"/>
              </w:rPr>
              <w:t>不得关闭、破坏直接关系生产安全的设备等</w:t>
            </w:r>
          </w:p>
        </w:tc>
        <w:tc>
          <w:tcPr>
            <w:tcW w:w="4795" w:type="dxa"/>
            <w:vAlign w:val="center"/>
          </w:tcPr>
          <w:p w14:paraId="29CD6E83">
            <w:pPr>
              <w:ind w:firstLine="420" w:firstLineChars="200"/>
              <w:jc w:val="both"/>
              <w:rPr>
                <w:rFonts w:hint="eastAsia" w:ascii="宋体" w:hAnsi="宋体"/>
                <w:color w:val="auto"/>
                <w:szCs w:val="21"/>
              </w:rPr>
            </w:pPr>
            <w:r>
              <w:rPr>
                <w:rFonts w:hint="eastAsia" w:ascii="宋体" w:hAnsi="宋体"/>
                <w:color w:val="auto"/>
                <w:szCs w:val="21"/>
                <w:lang w:eastAsia="zh-CN"/>
              </w:rPr>
              <w:t>《中华人民共和国安全生产法》</w:t>
            </w:r>
            <w:r>
              <w:rPr>
                <w:rFonts w:hint="eastAsia" w:ascii="宋体" w:hAnsi="宋体"/>
                <w:color w:val="auto"/>
                <w:szCs w:val="21"/>
              </w:rPr>
              <w:t>第三十六条　</w:t>
            </w:r>
            <w:r>
              <w:rPr>
                <w:rFonts w:hint="eastAsia" w:ascii="宋体" w:hAnsi="宋体"/>
                <w:color w:val="auto"/>
                <w:szCs w:val="21"/>
                <w:lang w:eastAsia="zh-CN"/>
              </w:rPr>
              <w:t>……</w:t>
            </w:r>
          </w:p>
          <w:p w14:paraId="39964C4D">
            <w:pPr>
              <w:ind w:firstLine="420" w:firstLineChars="200"/>
              <w:jc w:val="both"/>
              <w:rPr>
                <w:rFonts w:hint="eastAsia" w:ascii="宋体" w:hAnsi="宋体"/>
                <w:color w:val="auto"/>
                <w:szCs w:val="21"/>
              </w:rPr>
            </w:pPr>
            <w:r>
              <w:rPr>
                <w:rFonts w:hint="eastAsia" w:ascii="宋体" w:hAnsi="宋体"/>
                <w:color w:val="auto"/>
                <w:szCs w:val="21"/>
              </w:rPr>
              <w:t>生产经营单位不得关闭、破坏直接关系生产安全的监控、报警、防护、救生设备、设施，或者篡改、隐瞒、销毁其相关数据、信息。</w:t>
            </w:r>
          </w:p>
          <w:p w14:paraId="5B59F218">
            <w:pPr>
              <w:jc w:val="both"/>
              <w:rPr>
                <w:rFonts w:hint="eastAsia" w:ascii="宋体" w:hAnsi="宋体"/>
                <w:color w:val="auto"/>
                <w:szCs w:val="21"/>
              </w:rPr>
            </w:pPr>
          </w:p>
        </w:tc>
        <w:tc>
          <w:tcPr>
            <w:tcW w:w="7277" w:type="dxa"/>
            <w:vAlign w:val="center"/>
          </w:tcPr>
          <w:p w14:paraId="54DADA71">
            <w:pPr>
              <w:ind w:firstLine="420" w:firstLineChars="200"/>
              <w:jc w:val="both"/>
              <w:rPr>
                <w:rFonts w:hint="eastAsia" w:ascii="宋体" w:hAnsi="宋体"/>
                <w:color w:val="auto"/>
                <w:szCs w:val="21"/>
              </w:rPr>
            </w:pPr>
            <w:r>
              <w:rPr>
                <w:rFonts w:hint="eastAsia" w:ascii="宋体" w:hAnsi="宋体"/>
                <w:color w:val="auto"/>
                <w:szCs w:val="21"/>
                <w:lang w:eastAsia="zh-CN"/>
              </w:rPr>
              <w:t>《中华人民共和国安全生产法》</w:t>
            </w:r>
            <w:r>
              <w:rPr>
                <w:rFonts w:hint="eastAsia" w:ascii="宋体" w:hAnsi="宋体"/>
                <w:color w:val="auto"/>
                <w:szCs w:val="21"/>
              </w:rPr>
              <w:t>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14:paraId="02FC9921">
            <w:pPr>
              <w:ind w:firstLine="420" w:firstLineChars="200"/>
              <w:jc w:val="both"/>
              <w:rPr>
                <w:rFonts w:hint="eastAsia" w:ascii="宋体" w:hAnsi="宋体"/>
                <w:color w:val="auto"/>
                <w:szCs w:val="21"/>
              </w:rPr>
            </w:pPr>
            <w:r>
              <w:rPr>
                <w:rFonts w:hint="eastAsia" w:ascii="宋体" w:hAnsi="宋体"/>
                <w:color w:val="auto"/>
                <w:szCs w:val="21"/>
              </w:rPr>
              <w:t>（四）关闭、破坏直接关系生产安全的监控、报警、防护、救生设备、设施，或者篡改、隐瞒、销毁其相关数据、信息的；</w:t>
            </w:r>
          </w:p>
        </w:tc>
        <w:tc>
          <w:tcPr>
            <w:tcW w:w="741" w:type="dxa"/>
            <w:vAlign w:val="center"/>
          </w:tcPr>
          <w:p w14:paraId="3E5D90A3">
            <w:pPr>
              <w:jc w:val="both"/>
              <w:rPr>
                <w:rFonts w:hint="eastAsia" w:ascii="宋体" w:hAnsi="宋体"/>
                <w:color w:val="auto"/>
                <w:szCs w:val="21"/>
              </w:rPr>
            </w:pPr>
          </w:p>
        </w:tc>
      </w:tr>
      <w:tr w14:paraId="12367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020" w:hRule="atLeast"/>
          <w:jc w:val="center"/>
        </w:trPr>
        <w:tc>
          <w:tcPr>
            <w:tcW w:w="522" w:type="dxa"/>
            <w:vAlign w:val="center"/>
          </w:tcPr>
          <w:p w14:paraId="576CBBC7">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27</w:t>
            </w:r>
          </w:p>
        </w:tc>
        <w:tc>
          <w:tcPr>
            <w:tcW w:w="1341" w:type="dxa"/>
            <w:vAlign w:val="center"/>
          </w:tcPr>
          <w:p w14:paraId="20CC2C33">
            <w:pPr>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可燃气体报警装置</w:t>
            </w:r>
            <w:r>
              <w:rPr>
                <w:rFonts w:hint="eastAsia" w:asciiTheme="minorEastAsia" w:hAnsiTheme="minorEastAsia" w:eastAsiaTheme="minorEastAsia" w:cstheme="minorEastAsia"/>
                <w:color w:val="auto"/>
                <w:sz w:val="21"/>
                <w:szCs w:val="21"/>
                <w:lang w:eastAsia="zh-CN"/>
              </w:rPr>
              <w:t>情况</w:t>
            </w:r>
          </w:p>
        </w:tc>
        <w:tc>
          <w:tcPr>
            <w:tcW w:w="1438" w:type="dxa"/>
            <w:vAlign w:val="center"/>
          </w:tcPr>
          <w:p w14:paraId="669E61E8">
            <w:pPr>
              <w:widowControl w:val="0"/>
              <w:numPr>
                <w:ilvl w:val="0"/>
                <w:numId w:val="0"/>
              </w:numPr>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使用燃气的生产经营单位可燃气体报警装置</w:t>
            </w:r>
          </w:p>
          <w:p w14:paraId="580C0A48">
            <w:pPr>
              <w:jc w:val="both"/>
              <w:rPr>
                <w:rFonts w:hint="eastAsia" w:asciiTheme="minorEastAsia" w:hAnsiTheme="minorEastAsia" w:eastAsiaTheme="minorEastAsia" w:cstheme="minorEastAsia"/>
                <w:color w:val="auto"/>
                <w:sz w:val="21"/>
                <w:szCs w:val="21"/>
              </w:rPr>
            </w:pPr>
          </w:p>
        </w:tc>
        <w:tc>
          <w:tcPr>
            <w:tcW w:w="4795" w:type="dxa"/>
            <w:vAlign w:val="center"/>
          </w:tcPr>
          <w:p w14:paraId="737F8AD7">
            <w:pPr>
              <w:jc w:val="both"/>
              <w:rPr>
                <w:rFonts w:hint="eastAsia" w:asciiTheme="minorEastAsia" w:hAnsiTheme="minorEastAsia" w:eastAsiaTheme="minorEastAsia" w:cstheme="minorEastAsia"/>
                <w:color w:val="auto"/>
                <w:sz w:val="21"/>
                <w:szCs w:val="21"/>
              </w:rPr>
            </w:pPr>
          </w:p>
          <w:p w14:paraId="7DFE9CE7">
            <w:pPr>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eastAsia="zh-CN"/>
              </w:rPr>
              <w:t>《中华人民共和国安全生产法》第三十六条</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餐饮等行业的生产经营单位使用燃气的，应当安装可燃气体报警装置，并保障其正常使用。</w:t>
            </w:r>
          </w:p>
          <w:p w14:paraId="4DA557A3">
            <w:pPr>
              <w:jc w:val="both"/>
              <w:rPr>
                <w:rFonts w:hint="eastAsia" w:asciiTheme="minorEastAsia" w:hAnsiTheme="minorEastAsia" w:eastAsiaTheme="minorEastAsia" w:cstheme="minorEastAsia"/>
                <w:color w:val="auto"/>
                <w:sz w:val="21"/>
                <w:szCs w:val="21"/>
              </w:rPr>
            </w:pPr>
          </w:p>
        </w:tc>
        <w:tc>
          <w:tcPr>
            <w:tcW w:w="7277" w:type="dxa"/>
            <w:vAlign w:val="center"/>
          </w:tcPr>
          <w:p w14:paraId="1C85A8D5">
            <w:pPr>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eastAsia="zh-CN"/>
              </w:rPr>
              <w:t>《中华人民共和国安全生产法》</w:t>
            </w:r>
            <w:r>
              <w:rPr>
                <w:rFonts w:hint="eastAsia" w:asciiTheme="minorEastAsia" w:hAnsiTheme="minorEastAsia" w:eastAsiaTheme="minorEastAsia" w:cstheme="minorEastAsia"/>
                <w:color w:val="auto"/>
                <w:sz w:val="21"/>
                <w:szCs w:val="21"/>
              </w:rPr>
              <w:t>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14:paraId="55C9FF09">
            <w:pPr>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（八）餐饮等行业的生产经营单位使用燃气未安装可燃气体报警装置的。 </w:t>
            </w:r>
          </w:p>
          <w:p w14:paraId="7D5E104F">
            <w:pPr>
              <w:jc w:val="both"/>
              <w:rPr>
                <w:rFonts w:hint="eastAsia" w:asciiTheme="minorEastAsia" w:hAnsiTheme="minorEastAsia" w:eastAsiaTheme="minorEastAsia" w:cstheme="minorEastAsia"/>
                <w:color w:val="auto"/>
                <w:sz w:val="21"/>
                <w:szCs w:val="21"/>
              </w:rPr>
            </w:pPr>
          </w:p>
        </w:tc>
        <w:tc>
          <w:tcPr>
            <w:tcW w:w="741" w:type="dxa"/>
            <w:vAlign w:val="center"/>
          </w:tcPr>
          <w:p w14:paraId="6F6D127F">
            <w:pPr>
              <w:jc w:val="both"/>
              <w:rPr>
                <w:rFonts w:hint="eastAsia" w:asciiTheme="minorEastAsia" w:hAnsiTheme="minorEastAsia" w:eastAsiaTheme="minorEastAsia" w:cstheme="minorEastAsia"/>
                <w:color w:val="auto"/>
                <w:sz w:val="21"/>
                <w:szCs w:val="21"/>
              </w:rPr>
            </w:pPr>
          </w:p>
        </w:tc>
      </w:tr>
      <w:tr w14:paraId="3608A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405" w:hRule="atLeast"/>
          <w:jc w:val="center"/>
        </w:trPr>
        <w:tc>
          <w:tcPr>
            <w:tcW w:w="522" w:type="dxa"/>
            <w:vAlign w:val="center"/>
          </w:tcPr>
          <w:p w14:paraId="3ECCA1F2">
            <w:pPr>
              <w:jc w:val="center"/>
              <w:rPr>
                <w:rFonts w:hint="eastAsia" w:ascii="宋体" w:hAnsi="宋体"/>
                <w:color w:val="auto"/>
                <w:szCs w:val="21"/>
                <w:lang w:val="en-US" w:eastAsia="zh-CN"/>
              </w:rPr>
            </w:pPr>
            <w:r>
              <w:rPr>
                <w:rFonts w:hint="eastAsia" w:ascii="宋体" w:hAnsi="宋体"/>
                <w:color w:val="auto"/>
                <w:szCs w:val="21"/>
                <w:lang w:val="en-US" w:eastAsia="zh-CN"/>
              </w:rPr>
              <w:t>28</w:t>
            </w:r>
          </w:p>
        </w:tc>
        <w:tc>
          <w:tcPr>
            <w:tcW w:w="1341" w:type="dxa"/>
            <w:vAlign w:val="center"/>
          </w:tcPr>
          <w:p w14:paraId="25F42551">
            <w:pPr>
              <w:jc w:val="both"/>
              <w:rPr>
                <w:rFonts w:hint="eastAsia" w:ascii="宋体" w:hAnsi="宋体"/>
                <w:color w:val="auto"/>
                <w:szCs w:val="21"/>
              </w:rPr>
            </w:pPr>
            <w:r>
              <w:rPr>
                <w:rFonts w:hint="eastAsia" w:ascii="宋体" w:hAnsi="宋体"/>
                <w:color w:val="auto"/>
                <w:szCs w:val="21"/>
              </w:rPr>
              <w:t>建立安全风险分级管控制度</w:t>
            </w:r>
            <w:r>
              <w:rPr>
                <w:rFonts w:hint="eastAsia" w:ascii="宋体" w:hAnsi="宋体"/>
                <w:color w:val="auto"/>
                <w:szCs w:val="21"/>
                <w:lang w:eastAsia="zh-CN"/>
              </w:rPr>
              <w:t>情况</w:t>
            </w:r>
          </w:p>
        </w:tc>
        <w:tc>
          <w:tcPr>
            <w:tcW w:w="1438" w:type="dxa"/>
            <w:vAlign w:val="center"/>
          </w:tcPr>
          <w:p w14:paraId="74496CC6">
            <w:pPr>
              <w:jc w:val="both"/>
              <w:rPr>
                <w:rFonts w:hint="eastAsia" w:ascii="宋体" w:hAnsi="宋体"/>
                <w:color w:val="auto"/>
                <w:szCs w:val="21"/>
              </w:rPr>
            </w:pPr>
            <w:r>
              <w:rPr>
                <w:rFonts w:hint="eastAsia" w:ascii="宋体" w:hAnsi="宋体"/>
                <w:color w:val="auto"/>
                <w:szCs w:val="21"/>
              </w:rPr>
              <w:t>建立安全风险分级管控制度</w:t>
            </w:r>
            <w:r>
              <w:rPr>
                <w:rFonts w:hint="eastAsia" w:ascii="宋体" w:hAnsi="宋体"/>
                <w:color w:val="auto"/>
                <w:szCs w:val="21"/>
                <w:lang w:eastAsia="zh-CN"/>
              </w:rPr>
              <w:t>，采取管控措施</w:t>
            </w:r>
          </w:p>
        </w:tc>
        <w:tc>
          <w:tcPr>
            <w:tcW w:w="4795" w:type="dxa"/>
            <w:vAlign w:val="center"/>
          </w:tcPr>
          <w:p w14:paraId="2AB5F3C0">
            <w:pPr>
              <w:ind w:firstLine="420" w:firstLineChars="200"/>
              <w:jc w:val="both"/>
              <w:rPr>
                <w:rFonts w:hint="eastAsia" w:ascii="宋体" w:hAnsi="宋体"/>
                <w:color w:val="auto"/>
                <w:szCs w:val="21"/>
              </w:rPr>
            </w:pPr>
            <w:r>
              <w:rPr>
                <w:rFonts w:hint="eastAsia" w:ascii="宋体" w:hAnsi="宋体"/>
                <w:color w:val="auto"/>
                <w:szCs w:val="21"/>
                <w:lang w:eastAsia="zh-CN"/>
              </w:rPr>
              <w:t>《中华人民共和国安全生产法》</w:t>
            </w:r>
            <w:r>
              <w:rPr>
                <w:rFonts w:hint="eastAsia" w:ascii="宋体" w:hAnsi="宋体"/>
                <w:color w:val="auto"/>
                <w:szCs w:val="21"/>
              </w:rPr>
              <w:t>第四十一条　生产经营单位应当建立安全风险分级管控制度，按照安全风险分级采取相应的管控措施。</w:t>
            </w:r>
          </w:p>
          <w:p w14:paraId="2F842FAD">
            <w:pPr>
              <w:jc w:val="both"/>
              <w:rPr>
                <w:rFonts w:hint="eastAsia" w:ascii="宋体" w:hAnsi="宋体"/>
                <w:color w:val="auto"/>
                <w:szCs w:val="21"/>
              </w:rPr>
            </w:pPr>
          </w:p>
        </w:tc>
        <w:tc>
          <w:tcPr>
            <w:tcW w:w="7277" w:type="dxa"/>
            <w:vAlign w:val="center"/>
          </w:tcPr>
          <w:p w14:paraId="3E7E6CBE">
            <w:pPr>
              <w:ind w:firstLine="420" w:firstLineChars="200"/>
              <w:jc w:val="both"/>
              <w:rPr>
                <w:rFonts w:hint="eastAsia" w:ascii="宋体" w:hAnsi="宋体"/>
                <w:color w:val="auto"/>
                <w:szCs w:val="21"/>
              </w:rPr>
            </w:pPr>
            <w:r>
              <w:rPr>
                <w:rFonts w:hint="eastAsia" w:ascii="宋体" w:hAnsi="宋体"/>
                <w:color w:val="auto"/>
                <w:szCs w:val="21"/>
                <w:lang w:eastAsia="zh-CN"/>
              </w:rPr>
              <w:t>《中华人民共和国安全生产法》</w:t>
            </w:r>
            <w:r>
              <w:rPr>
                <w:rFonts w:hint="eastAsia" w:ascii="宋体" w:hAnsi="宋体"/>
                <w:color w:val="auto"/>
                <w:szCs w:val="21"/>
              </w:rPr>
              <w:t>第一百零一条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p w14:paraId="20B17F91">
            <w:pPr>
              <w:ind w:firstLine="420" w:firstLineChars="200"/>
              <w:jc w:val="both"/>
              <w:rPr>
                <w:rFonts w:hint="eastAsia" w:ascii="宋体" w:hAnsi="宋体"/>
                <w:color w:val="auto"/>
                <w:szCs w:val="21"/>
              </w:rPr>
            </w:pPr>
            <w:r>
              <w:rPr>
                <w:rFonts w:hint="eastAsia" w:ascii="宋体" w:hAnsi="宋体"/>
                <w:color w:val="auto"/>
                <w:szCs w:val="21"/>
              </w:rPr>
              <w:t>（四）未建立安全风险分级管控制度或者未按照安全风险分级采取相应管控措施的；</w:t>
            </w:r>
          </w:p>
        </w:tc>
        <w:tc>
          <w:tcPr>
            <w:tcW w:w="741" w:type="dxa"/>
            <w:vAlign w:val="center"/>
          </w:tcPr>
          <w:p w14:paraId="494E136C">
            <w:pPr>
              <w:jc w:val="both"/>
              <w:rPr>
                <w:rFonts w:hint="eastAsia" w:ascii="宋体" w:hAnsi="宋体"/>
                <w:color w:val="auto"/>
                <w:szCs w:val="21"/>
              </w:rPr>
            </w:pPr>
          </w:p>
        </w:tc>
      </w:tr>
      <w:tr w14:paraId="18F44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020" w:hRule="atLeast"/>
          <w:jc w:val="center"/>
        </w:trPr>
        <w:tc>
          <w:tcPr>
            <w:tcW w:w="522" w:type="dxa"/>
            <w:vAlign w:val="center"/>
          </w:tcPr>
          <w:p w14:paraId="7CE605AF">
            <w:pPr>
              <w:jc w:val="center"/>
              <w:rPr>
                <w:rFonts w:hint="eastAsia" w:ascii="宋体" w:hAnsi="宋体"/>
                <w:color w:val="auto"/>
                <w:szCs w:val="21"/>
                <w:lang w:val="en-US" w:eastAsia="zh-CN"/>
              </w:rPr>
            </w:pPr>
            <w:r>
              <w:rPr>
                <w:rFonts w:hint="eastAsia" w:ascii="宋体" w:hAnsi="宋体"/>
                <w:color w:val="auto"/>
                <w:szCs w:val="21"/>
                <w:lang w:val="en-US" w:eastAsia="zh-CN"/>
              </w:rPr>
              <w:t>29</w:t>
            </w:r>
          </w:p>
        </w:tc>
        <w:tc>
          <w:tcPr>
            <w:tcW w:w="1341" w:type="dxa"/>
            <w:vAlign w:val="center"/>
          </w:tcPr>
          <w:p w14:paraId="26D9A2D1">
            <w:pPr>
              <w:jc w:val="both"/>
              <w:rPr>
                <w:rFonts w:hint="eastAsia" w:ascii="宋体" w:hAnsi="宋体" w:eastAsia="宋体"/>
                <w:color w:val="auto"/>
                <w:szCs w:val="21"/>
                <w:lang w:eastAsia="zh-CN"/>
              </w:rPr>
            </w:pPr>
            <w:r>
              <w:rPr>
                <w:rFonts w:hint="eastAsia" w:ascii="宋体" w:hAnsi="宋体"/>
                <w:color w:val="auto"/>
                <w:szCs w:val="21"/>
                <w:lang w:eastAsia="zh-CN"/>
              </w:rPr>
              <w:t>高危行业施工单位对施工项目的安全管理情况</w:t>
            </w:r>
          </w:p>
        </w:tc>
        <w:tc>
          <w:tcPr>
            <w:tcW w:w="1438" w:type="dxa"/>
            <w:vAlign w:val="center"/>
          </w:tcPr>
          <w:p w14:paraId="6AD66971">
            <w:pPr>
              <w:jc w:val="both"/>
              <w:rPr>
                <w:rFonts w:hint="eastAsia" w:ascii="宋体" w:hAnsi="宋体"/>
                <w:color w:val="auto"/>
                <w:szCs w:val="21"/>
              </w:rPr>
            </w:pPr>
            <w:r>
              <w:rPr>
                <w:rFonts w:hint="eastAsia" w:ascii="宋体" w:hAnsi="宋体"/>
                <w:color w:val="auto"/>
                <w:szCs w:val="21"/>
              </w:rPr>
              <w:t>施工单位应当加强对施工项目的安全管理</w:t>
            </w:r>
          </w:p>
        </w:tc>
        <w:tc>
          <w:tcPr>
            <w:tcW w:w="4795" w:type="dxa"/>
            <w:vAlign w:val="center"/>
          </w:tcPr>
          <w:p w14:paraId="650627DE">
            <w:pPr>
              <w:jc w:val="both"/>
              <w:rPr>
                <w:rFonts w:hint="eastAsia" w:ascii="宋体" w:hAnsi="宋体"/>
                <w:color w:val="auto"/>
                <w:szCs w:val="21"/>
              </w:rPr>
            </w:pPr>
            <w:r>
              <w:rPr>
                <w:rFonts w:hint="eastAsia" w:ascii="宋体" w:hAnsi="宋体"/>
                <w:color w:val="auto"/>
                <w:szCs w:val="21"/>
              </w:rPr>
              <w:t>　</w:t>
            </w:r>
            <w:r>
              <w:rPr>
                <w:rFonts w:hint="eastAsia" w:ascii="宋体" w:hAnsi="宋体"/>
                <w:color w:val="auto"/>
                <w:szCs w:val="21"/>
                <w:lang w:val="en-US" w:eastAsia="zh-CN"/>
              </w:rPr>
              <w:t xml:space="preserve"> </w:t>
            </w:r>
            <w:r>
              <w:rPr>
                <w:rFonts w:hint="eastAsia" w:ascii="宋体" w:hAnsi="宋体"/>
                <w:color w:val="auto"/>
                <w:szCs w:val="21"/>
                <w:lang w:eastAsia="zh-CN"/>
              </w:rPr>
              <w:t>《中华人民共和国安全生产法》</w:t>
            </w:r>
            <w:r>
              <w:rPr>
                <w:rFonts w:hint="eastAsia" w:ascii="宋体" w:hAnsi="宋体"/>
                <w:color w:val="auto"/>
                <w:szCs w:val="21"/>
              </w:rPr>
              <w:t>第四十九条</w:t>
            </w:r>
            <w:r>
              <w:rPr>
                <w:rFonts w:hint="eastAsia" w:ascii="宋体" w:hAnsi="宋体"/>
                <w:color w:val="auto"/>
                <w:szCs w:val="21"/>
                <w:lang w:val="en-US" w:eastAsia="zh-CN"/>
              </w:rPr>
              <w:t xml:space="preserve">  ……</w:t>
            </w:r>
          </w:p>
          <w:p w14:paraId="4135F8F8">
            <w:pPr>
              <w:ind w:firstLine="420" w:firstLineChars="200"/>
              <w:jc w:val="both"/>
              <w:rPr>
                <w:rFonts w:hint="eastAsia" w:ascii="宋体" w:hAnsi="宋体"/>
                <w:color w:val="auto"/>
                <w:szCs w:val="21"/>
              </w:rPr>
            </w:pPr>
            <w:r>
              <w:rPr>
                <w:rFonts w:hint="eastAsia" w:ascii="宋体" w:hAnsi="宋体"/>
                <w:color w:val="auto"/>
                <w:szCs w:val="21"/>
              </w:rPr>
              <w:t>矿山、金属冶炼建设项目和用于生产、储存、装卸危险物品的建设项目的施工单位应当加强对施工项目的安全管理，不得倒卖、出租、出借、挂靠或者以其他形式非法转让施工资质，不得将其承包的全部建设工程转包给第三人或者将其承包的全部建设工程支解以后以分包的名义分别转包给第三人，不得将工程分包给不具备相应资质条件的单位。</w:t>
            </w:r>
          </w:p>
          <w:p w14:paraId="64479754">
            <w:pPr>
              <w:jc w:val="both"/>
              <w:rPr>
                <w:rFonts w:hint="eastAsia" w:ascii="宋体" w:hAnsi="宋体"/>
                <w:color w:val="auto"/>
                <w:szCs w:val="21"/>
              </w:rPr>
            </w:pPr>
          </w:p>
        </w:tc>
        <w:tc>
          <w:tcPr>
            <w:tcW w:w="7277" w:type="dxa"/>
            <w:vAlign w:val="center"/>
          </w:tcPr>
          <w:p w14:paraId="01AE28D2">
            <w:pPr>
              <w:ind w:firstLine="420" w:firstLineChars="200"/>
              <w:jc w:val="both"/>
              <w:rPr>
                <w:rFonts w:hint="eastAsia" w:ascii="宋体" w:hAnsi="宋体"/>
                <w:color w:val="auto"/>
                <w:szCs w:val="21"/>
                <w:lang w:val="en-US" w:eastAsia="zh-CN"/>
              </w:rPr>
            </w:pPr>
            <w:r>
              <w:rPr>
                <w:rFonts w:hint="eastAsia" w:ascii="宋体" w:hAnsi="宋体"/>
                <w:color w:val="auto"/>
                <w:szCs w:val="21"/>
                <w:lang w:eastAsia="zh-CN"/>
              </w:rPr>
              <w:t>《中华人民共和国安全生产法》第一百零三条</w:t>
            </w:r>
            <w:r>
              <w:rPr>
                <w:rFonts w:hint="eastAsia" w:ascii="宋体" w:hAnsi="宋体"/>
                <w:color w:val="auto"/>
                <w:szCs w:val="21"/>
                <w:lang w:val="en-US" w:eastAsia="zh-CN"/>
              </w:rPr>
              <w:t xml:space="preserve"> ……</w:t>
            </w:r>
          </w:p>
          <w:p w14:paraId="059D96A5">
            <w:pPr>
              <w:ind w:firstLine="420" w:firstLineChars="200"/>
              <w:jc w:val="both"/>
              <w:rPr>
                <w:rFonts w:hint="eastAsia" w:ascii="宋体" w:hAnsi="宋体"/>
                <w:color w:val="auto"/>
                <w:szCs w:val="21"/>
              </w:rPr>
            </w:pPr>
            <w:r>
              <w:rPr>
                <w:rFonts w:hint="eastAsia" w:ascii="宋体" w:hAnsi="宋体"/>
                <w:color w:val="auto"/>
                <w:szCs w:val="21"/>
              </w:rPr>
              <w:t>矿山、金属冶炼建设项目和用于生产、储存、装卸危险物品的建设项目的施工单位未按照规定对施工项目进行安全管理的，责令限期改正，处十万元以下的罚款，对其直接负责的主管人员和其他直接责任人员处二万元以下的罚款；逾期未改正的，责令停产停业整顿。以上施工单位倒卖、出租、出借、挂靠或者以其他形式非法转让施工资质的，责令停产停业整顿，吊销资质证书，没收违法所得；违法所得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构成犯罪的，依照刑法有关规定追究刑事责任。</w:t>
            </w:r>
          </w:p>
          <w:p w14:paraId="0BA34B1E">
            <w:pPr>
              <w:jc w:val="both"/>
              <w:rPr>
                <w:rFonts w:hint="eastAsia" w:ascii="宋体" w:hAnsi="宋体"/>
                <w:color w:val="auto"/>
                <w:szCs w:val="21"/>
              </w:rPr>
            </w:pPr>
          </w:p>
        </w:tc>
        <w:tc>
          <w:tcPr>
            <w:tcW w:w="741" w:type="dxa"/>
            <w:vAlign w:val="center"/>
          </w:tcPr>
          <w:p w14:paraId="471F15BA">
            <w:pPr>
              <w:jc w:val="both"/>
              <w:rPr>
                <w:rFonts w:hint="eastAsia" w:ascii="宋体" w:hAnsi="宋体"/>
                <w:color w:val="auto"/>
                <w:szCs w:val="21"/>
              </w:rPr>
            </w:pPr>
          </w:p>
        </w:tc>
      </w:tr>
      <w:tr w14:paraId="7D200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020" w:hRule="atLeast"/>
          <w:jc w:val="center"/>
        </w:trPr>
        <w:tc>
          <w:tcPr>
            <w:tcW w:w="522" w:type="dxa"/>
            <w:vAlign w:val="center"/>
          </w:tcPr>
          <w:p w14:paraId="36C3CEFB">
            <w:pPr>
              <w:jc w:val="center"/>
              <w:rPr>
                <w:rFonts w:hint="eastAsia" w:ascii="宋体" w:hAnsi="宋体"/>
                <w:color w:val="auto"/>
                <w:szCs w:val="21"/>
                <w:lang w:val="en-US" w:eastAsia="zh-CN"/>
              </w:rPr>
            </w:pPr>
            <w:r>
              <w:rPr>
                <w:rFonts w:hint="eastAsia" w:ascii="宋体" w:hAnsi="宋体"/>
                <w:color w:val="auto"/>
                <w:szCs w:val="21"/>
                <w:lang w:val="en-US" w:eastAsia="zh-CN"/>
              </w:rPr>
              <w:t>30</w:t>
            </w:r>
          </w:p>
        </w:tc>
        <w:tc>
          <w:tcPr>
            <w:tcW w:w="1341" w:type="dxa"/>
            <w:vAlign w:val="center"/>
          </w:tcPr>
          <w:p w14:paraId="0C29EF7B">
            <w:pPr>
              <w:jc w:val="both"/>
              <w:rPr>
                <w:rFonts w:hint="eastAsia" w:ascii="宋体" w:hAnsi="宋体" w:eastAsia="宋体"/>
                <w:color w:val="auto"/>
                <w:szCs w:val="21"/>
                <w:lang w:eastAsia="zh-CN"/>
              </w:rPr>
            </w:pPr>
            <w:r>
              <w:rPr>
                <w:rFonts w:hint="eastAsia" w:ascii="宋体" w:hAnsi="宋体"/>
                <w:color w:val="auto"/>
                <w:szCs w:val="21"/>
                <w:lang w:eastAsia="zh-CN"/>
              </w:rPr>
              <w:t>高危行业投保安全生产责任保险情况</w:t>
            </w:r>
          </w:p>
        </w:tc>
        <w:tc>
          <w:tcPr>
            <w:tcW w:w="1438" w:type="dxa"/>
            <w:vAlign w:val="center"/>
          </w:tcPr>
          <w:p w14:paraId="08B9F11B">
            <w:pPr>
              <w:jc w:val="both"/>
              <w:rPr>
                <w:rFonts w:hint="eastAsia" w:ascii="宋体" w:hAnsi="宋体"/>
                <w:color w:val="auto"/>
                <w:szCs w:val="21"/>
              </w:rPr>
            </w:pPr>
            <w:r>
              <w:rPr>
                <w:rFonts w:hint="eastAsia" w:ascii="宋体" w:hAnsi="宋体"/>
                <w:color w:val="auto"/>
                <w:szCs w:val="21"/>
              </w:rPr>
              <w:t>高危行业、领域的生产经营单位应当投保安全生产责任保险</w:t>
            </w:r>
          </w:p>
        </w:tc>
        <w:tc>
          <w:tcPr>
            <w:tcW w:w="4795" w:type="dxa"/>
            <w:vAlign w:val="center"/>
          </w:tcPr>
          <w:p w14:paraId="4963849B">
            <w:pPr>
              <w:ind w:firstLine="420" w:firstLineChars="200"/>
              <w:jc w:val="both"/>
              <w:rPr>
                <w:rFonts w:hint="eastAsia" w:ascii="宋体" w:hAnsi="宋体"/>
                <w:color w:val="auto"/>
                <w:szCs w:val="21"/>
              </w:rPr>
            </w:pPr>
            <w:r>
              <w:rPr>
                <w:rFonts w:hint="eastAsia" w:ascii="宋体" w:hAnsi="宋体"/>
                <w:color w:val="auto"/>
                <w:szCs w:val="21"/>
                <w:lang w:eastAsia="zh-CN"/>
              </w:rPr>
              <w:t>《中华人民共和国安全生产法》</w:t>
            </w:r>
            <w:r>
              <w:rPr>
                <w:rFonts w:hint="eastAsia" w:ascii="宋体" w:hAnsi="宋体"/>
                <w:color w:val="auto"/>
                <w:szCs w:val="21"/>
              </w:rPr>
              <w:t>第五十一条</w:t>
            </w:r>
            <w:r>
              <w:rPr>
                <w:rFonts w:hint="eastAsia" w:ascii="宋体" w:hAnsi="宋体"/>
                <w:color w:val="auto"/>
                <w:szCs w:val="21"/>
                <w:lang w:val="en-US" w:eastAsia="zh-CN"/>
              </w:rPr>
              <w:t xml:space="preserve"> </w:t>
            </w:r>
            <w:r>
              <w:rPr>
                <w:rFonts w:hint="eastAsia" w:ascii="宋体" w:hAnsi="宋体"/>
                <w:color w:val="auto"/>
                <w:szCs w:val="21"/>
                <w:lang w:eastAsia="zh-CN"/>
              </w:rPr>
              <w:t>……</w:t>
            </w:r>
          </w:p>
          <w:p w14:paraId="2F4D77A0">
            <w:pPr>
              <w:jc w:val="both"/>
              <w:rPr>
                <w:rFonts w:hint="eastAsia" w:ascii="宋体" w:hAnsi="宋体"/>
                <w:color w:val="auto"/>
                <w:szCs w:val="21"/>
              </w:rPr>
            </w:pPr>
            <w:r>
              <w:rPr>
                <w:rFonts w:hint="eastAsia" w:ascii="宋体" w:hAnsi="宋体"/>
                <w:color w:val="auto"/>
                <w:szCs w:val="21"/>
              </w:rPr>
              <w:t>　　国家鼓励生产经营单位投保安全生产责任保险；属于国家规定的高危行业、领域的生产经营单位，应当投保安全生产责任保险。具体范围和实施办法由国务院应急管理部门会同国务院财政部门、国务院保险监督管理机构和相关行业主管部门制定。</w:t>
            </w:r>
          </w:p>
          <w:p w14:paraId="6602228B">
            <w:pPr>
              <w:jc w:val="both"/>
              <w:rPr>
                <w:rFonts w:hint="eastAsia" w:ascii="宋体" w:hAnsi="宋体"/>
                <w:color w:val="auto"/>
                <w:szCs w:val="21"/>
              </w:rPr>
            </w:pPr>
          </w:p>
        </w:tc>
        <w:tc>
          <w:tcPr>
            <w:tcW w:w="7277" w:type="dxa"/>
            <w:vAlign w:val="center"/>
          </w:tcPr>
          <w:p w14:paraId="7E2A0EDC">
            <w:pPr>
              <w:ind w:firstLine="420" w:firstLineChars="200"/>
              <w:jc w:val="both"/>
              <w:rPr>
                <w:rFonts w:hint="eastAsia" w:ascii="宋体" w:hAnsi="宋体"/>
                <w:color w:val="auto"/>
                <w:szCs w:val="21"/>
              </w:rPr>
            </w:pPr>
            <w:r>
              <w:rPr>
                <w:rFonts w:hint="eastAsia" w:ascii="宋体" w:hAnsi="宋体"/>
                <w:color w:val="auto"/>
                <w:szCs w:val="21"/>
                <w:lang w:eastAsia="zh-CN"/>
              </w:rPr>
              <w:t>《中华人民共和国安全生产法》</w:t>
            </w:r>
            <w:r>
              <w:rPr>
                <w:rFonts w:hint="eastAsia" w:ascii="宋体" w:hAnsi="宋体"/>
                <w:color w:val="auto"/>
                <w:szCs w:val="21"/>
              </w:rPr>
              <w:t>第一百零九条  高危行业、领域的生产经营单位未按照国家规定投保安全生产责任保险的，责令限期改正，处五万元以上十万元以下的罚款；逾期未改正的，处十万元以上二十万元以下的罚款。</w:t>
            </w:r>
          </w:p>
          <w:p w14:paraId="094B2C37">
            <w:pPr>
              <w:jc w:val="both"/>
              <w:rPr>
                <w:rFonts w:hint="eastAsia" w:ascii="宋体" w:hAnsi="宋体"/>
                <w:color w:val="auto"/>
                <w:szCs w:val="21"/>
              </w:rPr>
            </w:pPr>
          </w:p>
        </w:tc>
        <w:tc>
          <w:tcPr>
            <w:tcW w:w="741" w:type="dxa"/>
            <w:vAlign w:val="center"/>
          </w:tcPr>
          <w:p w14:paraId="3A943C96">
            <w:pPr>
              <w:jc w:val="both"/>
              <w:rPr>
                <w:rFonts w:hint="eastAsia" w:ascii="宋体" w:hAnsi="宋体"/>
                <w:color w:val="auto"/>
                <w:szCs w:val="21"/>
              </w:rPr>
            </w:pPr>
          </w:p>
        </w:tc>
      </w:tr>
    </w:tbl>
    <w:p w14:paraId="526800F8"/>
    <w:p w14:paraId="362792FF">
      <w:pPr>
        <w:pStyle w:val="11"/>
      </w:pPr>
    </w:p>
    <w:p w14:paraId="62DE0F4F"/>
    <w:p w14:paraId="403C0BEC">
      <w:pPr>
        <w:pStyle w:val="11"/>
      </w:pPr>
    </w:p>
    <w:p w14:paraId="72CD0804"/>
    <w:p w14:paraId="058029D7">
      <w:pPr>
        <w:pStyle w:val="11"/>
      </w:pPr>
    </w:p>
    <w:p w14:paraId="1A8372AC">
      <w:pPr>
        <w:spacing w:before="146" w:line="219" w:lineRule="auto"/>
        <w:jc w:val="center"/>
        <w:rPr>
          <w:rFonts w:ascii="Arial"/>
          <w:sz w:val="21"/>
        </w:rPr>
      </w:pPr>
      <w:r>
        <w:rPr>
          <w:rFonts w:hint="eastAsia" w:ascii="方正小标宋简体" w:hAnsi="方正小标宋简体" w:eastAsia="方正小标宋简体" w:cs="方正小标宋简体"/>
          <w:b w:val="0"/>
          <w:bCs w:val="0"/>
          <w:spacing w:val="-10"/>
          <w:sz w:val="44"/>
          <w:szCs w:val="44"/>
          <w:lang w:val="en-US" w:eastAsia="zh-CN"/>
        </w:rPr>
        <w:t>自治区</w:t>
      </w:r>
      <w:r>
        <w:rPr>
          <w:rFonts w:hint="eastAsia" w:ascii="方正小标宋简体" w:hAnsi="方正小标宋简体" w:eastAsia="方正小标宋简体" w:cs="方正小标宋简体"/>
          <w:b w:val="0"/>
          <w:bCs w:val="0"/>
          <w:spacing w:val="-10"/>
          <w:sz w:val="44"/>
          <w:szCs w:val="44"/>
        </w:rPr>
        <w:t>安全生产执法检查</w:t>
      </w:r>
      <w:r>
        <w:rPr>
          <w:rFonts w:hint="eastAsia" w:ascii="方正小标宋简体" w:hAnsi="方正小标宋简体" w:eastAsia="方正小标宋简体" w:cs="方正小标宋简体"/>
          <w:b w:val="0"/>
          <w:bCs w:val="0"/>
          <w:spacing w:val="-11"/>
          <w:sz w:val="44"/>
          <w:szCs w:val="44"/>
        </w:rPr>
        <w:t>重点事项指导目录</w:t>
      </w:r>
      <w:r>
        <w:rPr>
          <w:rFonts w:hint="eastAsia" w:ascii="方正小标宋简体" w:hAnsi="方正小标宋简体" w:eastAsia="方正小标宋简体" w:cs="方正小标宋简体"/>
          <w:b w:val="0"/>
          <w:bCs w:val="0"/>
          <w:spacing w:val="-11"/>
          <w:sz w:val="44"/>
          <w:szCs w:val="44"/>
          <w:lang w:eastAsia="zh-CN"/>
        </w:rPr>
        <w:t>（</w:t>
      </w:r>
      <w:r>
        <w:rPr>
          <w:rFonts w:hint="eastAsia" w:ascii="方正小标宋简体" w:hAnsi="方正小标宋简体" w:eastAsia="方正小标宋简体" w:cs="方正小标宋简体"/>
          <w:b w:val="0"/>
          <w:bCs w:val="0"/>
          <w:spacing w:val="-10"/>
          <w:sz w:val="44"/>
          <w:szCs w:val="44"/>
        </w:rPr>
        <w:t>危险化学品</w:t>
      </w:r>
      <w:r>
        <w:rPr>
          <w:rFonts w:hint="eastAsia" w:ascii="方正小标宋简体" w:hAnsi="方正小标宋简体" w:eastAsia="方正小标宋简体" w:cs="方正小标宋简体"/>
          <w:b w:val="0"/>
          <w:bCs w:val="0"/>
          <w:spacing w:val="-10"/>
          <w:sz w:val="44"/>
          <w:szCs w:val="44"/>
          <w:lang w:eastAsia="zh-CN"/>
        </w:rPr>
        <w:t>企业</w:t>
      </w:r>
      <w:r>
        <w:rPr>
          <w:rFonts w:hint="eastAsia" w:ascii="方正小标宋简体" w:hAnsi="方正小标宋简体" w:eastAsia="方正小标宋简体" w:cs="方正小标宋简体"/>
          <w:b w:val="0"/>
          <w:bCs w:val="0"/>
          <w:spacing w:val="-11"/>
          <w:sz w:val="44"/>
          <w:szCs w:val="44"/>
          <w:lang w:eastAsia="zh-CN"/>
        </w:rPr>
        <w:t>）</w:t>
      </w:r>
    </w:p>
    <w:p w14:paraId="13E01ACD"/>
    <w:p w14:paraId="5BFDACA8">
      <w:pPr>
        <w:spacing w:line="79" w:lineRule="exact"/>
      </w:pPr>
    </w:p>
    <w:tbl>
      <w:tblPr>
        <w:tblStyle w:val="12"/>
        <w:tblW w:w="15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43"/>
        <w:gridCol w:w="2460"/>
        <w:gridCol w:w="3977"/>
        <w:gridCol w:w="3006"/>
        <w:gridCol w:w="3361"/>
        <w:gridCol w:w="1624"/>
      </w:tblGrid>
      <w:tr w14:paraId="69F603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blHeader/>
          <w:jc w:val="center"/>
        </w:trPr>
        <w:tc>
          <w:tcPr>
            <w:tcW w:w="643" w:type="dxa"/>
            <w:noWrap w:val="0"/>
            <w:vAlign w:val="center"/>
          </w:tcPr>
          <w:p w14:paraId="3F712739">
            <w:pPr>
              <w:spacing w:before="212" w:line="221" w:lineRule="auto"/>
              <w:ind w:left="188"/>
              <w:jc w:val="both"/>
              <w:rPr>
                <w:rFonts w:ascii="宋体" w:hAnsi="宋体" w:eastAsia="宋体" w:cs="宋体"/>
                <w:b/>
                <w:bCs/>
                <w:sz w:val="24"/>
                <w:szCs w:val="24"/>
              </w:rPr>
            </w:pPr>
            <w:r>
              <w:rPr>
                <w:rFonts w:ascii="宋体" w:hAnsi="宋体" w:eastAsia="宋体" w:cs="宋体"/>
                <w:b/>
                <w:bCs/>
                <w:spacing w:val="-5"/>
                <w:sz w:val="24"/>
                <w:szCs w:val="24"/>
              </w:rPr>
              <w:t>序号</w:t>
            </w:r>
          </w:p>
        </w:tc>
        <w:tc>
          <w:tcPr>
            <w:tcW w:w="2460" w:type="dxa"/>
            <w:noWrap w:val="0"/>
            <w:vAlign w:val="center"/>
          </w:tcPr>
          <w:p w14:paraId="58133FF7">
            <w:pPr>
              <w:spacing w:before="81" w:line="219" w:lineRule="auto"/>
              <w:ind w:left="643"/>
              <w:jc w:val="both"/>
              <w:rPr>
                <w:rFonts w:ascii="宋体" w:hAnsi="宋体" w:eastAsia="宋体" w:cs="宋体"/>
                <w:b/>
                <w:bCs/>
                <w:sz w:val="24"/>
                <w:szCs w:val="24"/>
              </w:rPr>
            </w:pPr>
            <w:r>
              <w:rPr>
                <w:rFonts w:ascii="宋体" w:hAnsi="宋体" w:eastAsia="宋体" w:cs="宋体"/>
                <w:b/>
                <w:bCs/>
                <w:spacing w:val="-5"/>
                <w:sz w:val="24"/>
                <w:szCs w:val="24"/>
              </w:rPr>
              <w:t>执法检查</w:t>
            </w:r>
          </w:p>
          <w:p w14:paraId="13D1E58D">
            <w:pPr>
              <w:spacing w:before="24" w:line="210" w:lineRule="auto"/>
              <w:ind w:left="403"/>
              <w:jc w:val="both"/>
              <w:rPr>
                <w:rFonts w:ascii="宋体" w:hAnsi="宋体" w:eastAsia="宋体" w:cs="宋体"/>
                <w:b/>
                <w:bCs/>
                <w:sz w:val="24"/>
                <w:szCs w:val="24"/>
              </w:rPr>
            </w:pPr>
            <w:r>
              <w:rPr>
                <w:rFonts w:ascii="宋体" w:hAnsi="宋体" w:eastAsia="宋体" w:cs="宋体"/>
                <w:b/>
                <w:bCs/>
                <w:spacing w:val="-4"/>
                <w:sz w:val="24"/>
                <w:szCs w:val="24"/>
              </w:rPr>
              <w:t>重点事项内容</w:t>
            </w:r>
          </w:p>
        </w:tc>
        <w:tc>
          <w:tcPr>
            <w:tcW w:w="3977" w:type="dxa"/>
            <w:noWrap w:val="0"/>
            <w:vAlign w:val="center"/>
          </w:tcPr>
          <w:p w14:paraId="684A0063">
            <w:pPr>
              <w:spacing w:before="210" w:line="219" w:lineRule="auto"/>
              <w:ind w:left="1055"/>
              <w:jc w:val="both"/>
              <w:rPr>
                <w:rFonts w:ascii="宋体" w:hAnsi="宋体" w:eastAsia="宋体" w:cs="宋体"/>
                <w:b/>
                <w:bCs/>
                <w:sz w:val="24"/>
                <w:szCs w:val="24"/>
              </w:rPr>
            </w:pPr>
            <w:r>
              <w:rPr>
                <w:rFonts w:ascii="宋体" w:hAnsi="宋体" w:eastAsia="宋体" w:cs="宋体"/>
                <w:b/>
                <w:bCs/>
                <w:spacing w:val="-4"/>
                <w:sz w:val="24"/>
                <w:szCs w:val="24"/>
              </w:rPr>
              <w:t>执法检查依据</w:t>
            </w:r>
          </w:p>
        </w:tc>
        <w:tc>
          <w:tcPr>
            <w:tcW w:w="3006" w:type="dxa"/>
            <w:noWrap w:val="0"/>
            <w:vAlign w:val="center"/>
          </w:tcPr>
          <w:p w14:paraId="2553018E">
            <w:pPr>
              <w:spacing w:before="82" w:line="220" w:lineRule="auto"/>
              <w:ind w:left="848"/>
              <w:jc w:val="both"/>
              <w:rPr>
                <w:rFonts w:ascii="宋体" w:hAnsi="宋体" w:eastAsia="宋体" w:cs="宋体"/>
                <w:b/>
                <w:bCs/>
                <w:sz w:val="24"/>
                <w:szCs w:val="24"/>
              </w:rPr>
            </w:pPr>
            <w:r>
              <w:rPr>
                <w:rFonts w:ascii="宋体" w:hAnsi="宋体" w:eastAsia="宋体" w:cs="宋体"/>
                <w:b/>
                <w:bCs/>
                <w:spacing w:val="-5"/>
                <w:sz w:val="24"/>
                <w:szCs w:val="24"/>
              </w:rPr>
              <w:t>有关规范性</w:t>
            </w:r>
          </w:p>
          <w:p w14:paraId="54416B0A">
            <w:pPr>
              <w:spacing w:before="22" w:line="210" w:lineRule="auto"/>
              <w:ind w:left="588"/>
              <w:jc w:val="both"/>
              <w:rPr>
                <w:rFonts w:ascii="宋体" w:hAnsi="宋体" w:eastAsia="宋体" w:cs="宋体"/>
                <w:b/>
                <w:bCs/>
                <w:sz w:val="24"/>
                <w:szCs w:val="24"/>
              </w:rPr>
            </w:pPr>
            <w:r>
              <w:rPr>
                <w:rFonts w:ascii="宋体" w:hAnsi="宋体" w:eastAsia="宋体" w:cs="宋体"/>
                <w:b/>
                <w:bCs/>
                <w:spacing w:val="3"/>
                <w:sz w:val="24"/>
                <w:szCs w:val="24"/>
              </w:rPr>
              <w:t>文件及标准要求</w:t>
            </w:r>
          </w:p>
        </w:tc>
        <w:tc>
          <w:tcPr>
            <w:tcW w:w="3361" w:type="dxa"/>
            <w:noWrap w:val="0"/>
            <w:vAlign w:val="center"/>
          </w:tcPr>
          <w:p w14:paraId="7A41CB4A">
            <w:pPr>
              <w:spacing w:before="213" w:line="219" w:lineRule="auto"/>
              <w:ind w:left="967"/>
              <w:jc w:val="both"/>
              <w:rPr>
                <w:rFonts w:ascii="宋体" w:hAnsi="宋体" w:eastAsia="宋体" w:cs="宋体"/>
                <w:b/>
                <w:bCs/>
                <w:sz w:val="24"/>
                <w:szCs w:val="24"/>
              </w:rPr>
            </w:pPr>
            <w:r>
              <w:rPr>
                <w:rFonts w:ascii="宋体" w:hAnsi="宋体" w:eastAsia="宋体" w:cs="宋体"/>
                <w:b/>
                <w:bCs/>
                <w:spacing w:val="8"/>
                <w:sz w:val="24"/>
                <w:szCs w:val="24"/>
              </w:rPr>
              <w:t>处罚依据</w:t>
            </w:r>
          </w:p>
        </w:tc>
        <w:tc>
          <w:tcPr>
            <w:tcW w:w="1624" w:type="dxa"/>
            <w:noWrap w:val="0"/>
            <w:vAlign w:val="center"/>
          </w:tcPr>
          <w:p w14:paraId="685CED0F">
            <w:pPr>
              <w:spacing w:before="212" w:line="221" w:lineRule="auto"/>
              <w:ind w:left="402"/>
              <w:jc w:val="both"/>
              <w:rPr>
                <w:rFonts w:ascii="宋体" w:hAnsi="宋体" w:eastAsia="宋体" w:cs="宋体"/>
                <w:b/>
                <w:bCs/>
                <w:sz w:val="24"/>
                <w:szCs w:val="24"/>
              </w:rPr>
            </w:pPr>
            <w:r>
              <w:rPr>
                <w:rFonts w:ascii="宋体" w:hAnsi="宋体" w:eastAsia="宋体" w:cs="宋体"/>
                <w:b/>
                <w:bCs/>
                <w:spacing w:val="-6"/>
                <w:sz w:val="24"/>
                <w:szCs w:val="24"/>
              </w:rPr>
              <w:t>备注</w:t>
            </w:r>
          </w:p>
        </w:tc>
      </w:tr>
      <w:tr w14:paraId="5C1CDF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2" w:hRule="atLeast"/>
          <w:jc w:val="center"/>
        </w:trPr>
        <w:tc>
          <w:tcPr>
            <w:tcW w:w="643" w:type="dxa"/>
            <w:noWrap w:val="0"/>
            <w:vAlign w:val="center"/>
          </w:tcPr>
          <w:p w14:paraId="219E0EAF">
            <w:pPr>
              <w:spacing w:line="257" w:lineRule="auto"/>
              <w:jc w:val="both"/>
              <w:rPr>
                <w:rFonts w:ascii="Arial"/>
                <w:sz w:val="21"/>
                <w:szCs w:val="21"/>
              </w:rPr>
            </w:pPr>
          </w:p>
          <w:p w14:paraId="20E174C9">
            <w:pPr>
              <w:spacing w:line="258" w:lineRule="auto"/>
              <w:jc w:val="both"/>
              <w:rPr>
                <w:rFonts w:ascii="Arial"/>
                <w:sz w:val="21"/>
                <w:szCs w:val="21"/>
              </w:rPr>
            </w:pPr>
          </w:p>
          <w:p w14:paraId="619273E9">
            <w:pPr>
              <w:spacing w:line="258" w:lineRule="auto"/>
              <w:jc w:val="both"/>
              <w:rPr>
                <w:rFonts w:ascii="Arial"/>
                <w:sz w:val="21"/>
                <w:szCs w:val="21"/>
              </w:rPr>
            </w:pPr>
          </w:p>
          <w:p w14:paraId="34D1E630">
            <w:pPr>
              <w:spacing w:line="258" w:lineRule="auto"/>
              <w:jc w:val="both"/>
              <w:rPr>
                <w:rFonts w:ascii="Arial"/>
                <w:sz w:val="21"/>
                <w:szCs w:val="21"/>
              </w:rPr>
            </w:pPr>
          </w:p>
          <w:p w14:paraId="28D16E5F">
            <w:pPr>
              <w:spacing w:line="258" w:lineRule="auto"/>
              <w:jc w:val="both"/>
              <w:rPr>
                <w:rFonts w:ascii="Arial"/>
                <w:sz w:val="21"/>
                <w:szCs w:val="21"/>
              </w:rPr>
            </w:pPr>
          </w:p>
          <w:p w14:paraId="35650648">
            <w:pPr>
              <w:spacing w:line="258" w:lineRule="auto"/>
              <w:jc w:val="both"/>
              <w:rPr>
                <w:rFonts w:ascii="Arial"/>
                <w:sz w:val="21"/>
                <w:szCs w:val="21"/>
              </w:rPr>
            </w:pPr>
          </w:p>
          <w:p w14:paraId="225EB494">
            <w:pPr>
              <w:spacing w:line="258" w:lineRule="auto"/>
              <w:jc w:val="both"/>
              <w:rPr>
                <w:rFonts w:ascii="Arial"/>
                <w:sz w:val="21"/>
                <w:szCs w:val="21"/>
              </w:rPr>
            </w:pPr>
          </w:p>
          <w:p w14:paraId="623B0F5F">
            <w:pPr>
              <w:spacing w:line="258" w:lineRule="auto"/>
              <w:jc w:val="both"/>
              <w:rPr>
                <w:rFonts w:ascii="Arial"/>
                <w:sz w:val="21"/>
                <w:szCs w:val="21"/>
              </w:rPr>
            </w:pPr>
          </w:p>
          <w:p w14:paraId="5F8D6362">
            <w:pPr>
              <w:spacing w:line="258" w:lineRule="auto"/>
              <w:jc w:val="both"/>
              <w:rPr>
                <w:rFonts w:ascii="Arial"/>
                <w:sz w:val="21"/>
                <w:szCs w:val="21"/>
              </w:rPr>
            </w:pPr>
          </w:p>
          <w:p w14:paraId="70CD47A6">
            <w:pPr>
              <w:spacing w:line="258" w:lineRule="auto"/>
              <w:jc w:val="both"/>
              <w:rPr>
                <w:rFonts w:ascii="Arial"/>
                <w:sz w:val="21"/>
                <w:szCs w:val="21"/>
              </w:rPr>
            </w:pPr>
          </w:p>
          <w:p w14:paraId="57807881">
            <w:pPr>
              <w:spacing w:before="78" w:line="183" w:lineRule="auto"/>
              <w:ind w:left="365"/>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2460" w:type="dxa"/>
            <w:noWrap w:val="0"/>
            <w:vAlign w:val="center"/>
          </w:tcPr>
          <w:p w14:paraId="7A383115">
            <w:pPr>
              <w:widowControl/>
              <w:adjustRightInd w:val="0"/>
              <w:snapToGrid w:val="0"/>
              <w:ind w:firstLine="420" w:firstLineChars="200"/>
              <w:rPr>
                <w:rFonts w:hint="eastAsia" w:ascii="宋体" w:hAnsi="宋体" w:cs="宋体"/>
                <w:color w:val="auto"/>
                <w:kern w:val="0"/>
                <w:sz w:val="21"/>
                <w:szCs w:val="21"/>
              </w:rPr>
            </w:pPr>
          </w:p>
          <w:p w14:paraId="7B8DE9A1">
            <w:pPr>
              <w:widowControl/>
              <w:adjustRightInd w:val="0"/>
              <w:snapToGrid w:val="0"/>
              <w:ind w:firstLine="420" w:firstLineChars="200"/>
              <w:rPr>
                <w:rFonts w:hint="eastAsia" w:ascii="宋体" w:hAnsi="宋体" w:cs="宋体"/>
                <w:color w:val="auto"/>
                <w:kern w:val="0"/>
                <w:sz w:val="21"/>
                <w:szCs w:val="21"/>
              </w:rPr>
            </w:pPr>
          </w:p>
          <w:p w14:paraId="107C5065">
            <w:pPr>
              <w:widowControl/>
              <w:adjustRightInd w:val="0"/>
              <w:snapToGrid w:val="0"/>
              <w:ind w:firstLine="420" w:firstLineChars="200"/>
              <w:rPr>
                <w:rFonts w:hint="eastAsia" w:ascii="宋体" w:hAnsi="宋体" w:cs="宋体"/>
                <w:color w:val="auto"/>
                <w:kern w:val="0"/>
                <w:sz w:val="21"/>
                <w:szCs w:val="21"/>
              </w:rPr>
            </w:pPr>
          </w:p>
          <w:p w14:paraId="763B5B88">
            <w:pPr>
              <w:widowControl/>
              <w:adjustRightInd w:val="0"/>
              <w:snapToGrid w:val="0"/>
              <w:ind w:firstLine="420" w:firstLineChars="200"/>
              <w:rPr>
                <w:rFonts w:hint="eastAsia" w:ascii="宋体" w:hAnsi="宋体" w:cs="宋体"/>
                <w:color w:val="auto"/>
                <w:kern w:val="0"/>
                <w:sz w:val="21"/>
                <w:szCs w:val="21"/>
              </w:rPr>
            </w:pPr>
          </w:p>
          <w:p w14:paraId="0A9BFDCB">
            <w:pPr>
              <w:widowControl/>
              <w:adjustRightInd w:val="0"/>
              <w:snapToGrid w:val="0"/>
              <w:ind w:firstLine="420" w:firstLineChars="200"/>
              <w:rPr>
                <w:rFonts w:hint="eastAsia" w:ascii="宋体" w:hAnsi="宋体" w:cs="宋体"/>
                <w:color w:val="auto"/>
                <w:kern w:val="0"/>
                <w:sz w:val="21"/>
                <w:szCs w:val="21"/>
              </w:rPr>
            </w:pPr>
          </w:p>
          <w:p w14:paraId="48B8AAA1">
            <w:pPr>
              <w:widowControl/>
              <w:adjustRightInd w:val="0"/>
              <w:snapToGrid w:val="0"/>
              <w:ind w:firstLine="420" w:firstLineChars="200"/>
              <w:rPr>
                <w:rFonts w:hint="eastAsia" w:ascii="宋体" w:hAnsi="宋体" w:cs="宋体"/>
                <w:color w:val="auto"/>
                <w:kern w:val="0"/>
                <w:sz w:val="21"/>
                <w:szCs w:val="21"/>
              </w:rPr>
            </w:pPr>
            <w:r>
              <w:rPr>
                <w:rFonts w:hint="eastAsia" w:ascii="宋体" w:hAnsi="宋体" w:cs="宋体"/>
                <w:color w:val="auto"/>
                <w:kern w:val="0"/>
                <w:sz w:val="21"/>
                <w:szCs w:val="21"/>
              </w:rPr>
              <w:t>未将事故隐患排查治理情况如实记录或者未向从业人员通报(包括主要负责人未进行安全风险承诺公告，或者承诺公告与现场情</w:t>
            </w:r>
          </w:p>
          <w:p w14:paraId="0924018F">
            <w:pPr>
              <w:widowControl/>
              <w:adjustRightInd w:val="0"/>
              <w:snapToGrid w:val="0"/>
              <w:ind w:firstLine="420" w:firstLineChars="200"/>
              <w:rPr>
                <w:rFonts w:hint="eastAsia" w:ascii="宋体" w:hAnsi="宋体" w:cs="宋体"/>
                <w:color w:val="auto"/>
                <w:kern w:val="0"/>
                <w:sz w:val="21"/>
                <w:szCs w:val="21"/>
              </w:rPr>
            </w:pPr>
            <w:r>
              <w:rPr>
                <w:rFonts w:hint="eastAsia" w:ascii="宋体" w:hAnsi="宋体" w:cs="宋体"/>
                <w:color w:val="auto"/>
                <w:kern w:val="0"/>
                <w:sz w:val="21"/>
                <w:szCs w:val="21"/>
              </w:rPr>
              <w:t>况不相符合、虚假承诺等相关情形)。</w:t>
            </w:r>
          </w:p>
        </w:tc>
        <w:tc>
          <w:tcPr>
            <w:tcW w:w="3977" w:type="dxa"/>
            <w:noWrap w:val="0"/>
            <w:vAlign w:val="center"/>
          </w:tcPr>
          <w:p w14:paraId="0BF7FBA6">
            <w:pPr>
              <w:widowControl/>
              <w:adjustRightInd w:val="0"/>
              <w:snapToGrid w:val="0"/>
              <w:ind w:firstLine="420" w:firstLineChars="200"/>
              <w:rPr>
                <w:rFonts w:hint="eastAsia" w:ascii="宋体" w:hAnsi="宋体" w:cs="宋体"/>
                <w:color w:val="auto"/>
                <w:kern w:val="0"/>
                <w:sz w:val="21"/>
                <w:szCs w:val="21"/>
              </w:rPr>
            </w:pPr>
            <w:r>
              <w:rPr>
                <w:rFonts w:hint="eastAsia" w:ascii="宋体" w:hAnsi="宋体" w:cs="宋体"/>
                <w:color w:val="auto"/>
                <w:kern w:val="0"/>
                <w:sz w:val="21"/>
                <w:szCs w:val="21"/>
              </w:rPr>
              <w:t>《中华人民共和国安全生产法》第四十一条第一款、第二款生产经营单位应当建立安全风险分级管控制度，按照安全风险分级采取相应的管控措施。</w:t>
            </w:r>
          </w:p>
          <w:p w14:paraId="6FE1784B">
            <w:pPr>
              <w:widowControl/>
              <w:adjustRightInd w:val="0"/>
              <w:snapToGrid w:val="0"/>
              <w:ind w:firstLine="420" w:firstLineChars="200"/>
              <w:rPr>
                <w:rFonts w:hint="eastAsia" w:ascii="宋体" w:hAnsi="宋体" w:cs="宋体"/>
                <w:color w:val="auto"/>
                <w:kern w:val="0"/>
                <w:sz w:val="21"/>
                <w:szCs w:val="21"/>
              </w:rPr>
            </w:pPr>
            <w:r>
              <w:rPr>
                <w:rFonts w:hint="eastAsia" w:ascii="宋体" w:hAnsi="宋体" w:cs="宋体"/>
                <w:color w:val="auto"/>
                <w:kern w:val="0"/>
                <w:sz w:val="21"/>
                <w:szCs w:val="21"/>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tc>
        <w:tc>
          <w:tcPr>
            <w:tcW w:w="3006" w:type="dxa"/>
            <w:noWrap w:val="0"/>
            <w:vAlign w:val="center"/>
          </w:tcPr>
          <w:p w14:paraId="74437569">
            <w:pPr>
              <w:widowControl/>
              <w:adjustRightInd w:val="0"/>
              <w:snapToGrid w:val="0"/>
              <w:ind w:firstLine="420" w:firstLineChars="200"/>
              <w:rPr>
                <w:rFonts w:hint="eastAsia" w:ascii="宋体" w:hAnsi="宋体" w:cs="宋体"/>
                <w:color w:val="auto"/>
                <w:kern w:val="0"/>
                <w:sz w:val="21"/>
                <w:szCs w:val="21"/>
              </w:rPr>
            </w:pPr>
          </w:p>
          <w:p w14:paraId="7DDD0010">
            <w:pPr>
              <w:widowControl/>
              <w:adjustRightInd w:val="0"/>
              <w:snapToGrid w:val="0"/>
              <w:ind w:firstLine="420" w:firstLineChars="200"/>
              <w:rPr>
                <w:rFonts w:hint="eastAsia" w:ascii="宋体" w:hAnsi="宋体" w:cs="宋体"/>
                <w:color w:val="auto"/>
                <w:kern w:val="0"/>
                <w:sz w:val="21"/>
                <w:szCs w:val="21"/>
              </w:rPr>
            </w:pPr>
          </w:p>
          <w:p w14:paraId="1FAFB013">
            <w:pPr>
              <w:widowControl/>
              <w:adjustRightInd w:val="0"/>
              <w:snapToGrid w:val="0"/>
              <w:ind w:firstLine="420" w:firstLineChars="200"/>
              <w:rPr>
                <w:rFonts w:hint="eastAsia" w:ascii="宋体" w:hAnsi="宋体" w:cs="宋体"/>
                <w:color w:val="auto"/>
                <w:kern w:val="0"/>
                <w:sz w:val="21"/>
                <w:szCs w:val="21"/>
              </w:rPr>
            </w:pPr>
            <w:r>
              <w:rPr>
                <w:rFonts w:hint="eastAsia" w:ascii="宋体" w:hAnsi="宋体" w:cs="宋体"/>
                <w:color w:val="auto"/>
                <w:kern w:val="0"/>
                <w:sz w:val="21"/>
                <w:szCs w:val="21"/>
              </w:rPr>
              <w:t>《关于全面实施危险化学品企业安全风险研判与承诺公告制度的通知》(应急〔2018〕74号)五、安全承诺公告企业安全承诺：企业在进行全面安全风险研判的基础上，落实相关的安全风险管控措施，由企业主要负责人承诺当日所有装置、罐区是否处于安全运行状态，安全风险是否得到有效管控。</w:t>
            </w:r>
          </w:p>
        </w:tc>
        <w:tc>
          <w:tcPr>
            <w:tcW w:w="3361" w:type="dxa"/>
            <w:noWrap w:val="0"/>
            <w:vAlign w:val="center"/>
          </w:tcPr>
          <w:p w14:paraId="7F491C68">
            <w:pPr>
              <w:widowControl/>
              <w:adjustRightInd w:val="0"/>
              <w:snapToGrid w:val="0"/>
              <w:ind w:firstLine="420" w:firstLineChars="200"/>
              <w:rPr>
                <w:rFonts w:hint="eastAsia" w:ascii="宋体" w:hAnsi="宋体" w:cs="宋体"/>
                <w:color w:val="auto"/>
                <w:kern w:val="0"/>
                <w:sz w:val="21"/>
                <w:szCs w:val="21"/>
              </w:rPr>
            </w:pPr>
            <w:r>
              <w:rPr>
                <w:rFonts w:hint="eastAsia" w:ascii="宋体" w:hAnsi="宋体" w:cs="宋体"/>
                <w:color w:val="auto"/>
                <w:kern w:val="0"/>
                <w:sz w:val="21"/>
                <w:szCs w:val="21"/>
              </w:rPr>
              <w:t>《中华人民共和国安全生产法》第九十七条第五项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p>
          <w:p w14:paraId="646CBB1B">
            <w:pPr>
              <w:widowControl/>
              <w:adjustRightInd w:val="0"/>
              <w:snapToGrid w:val="0"/>
              <w:ind w:firstLine="420" w:firstLineChars="200"/>
              <w:rPr>
                <w:rFonts w:hint="eastAsia" w:ascii="宋体" w:hAnsi="宋体" w:cs="宋体"/>
                <w:color w:val="auto"/>
                <w:kern w:val="0"/>
                <w:sz w:val="21"/>
                <w:szCs w:val="21"/>
              </w:rPr>
            </w:pPr>
            <w:r>
              <w:rPr>
                <w:rFonts w:hint="eastAsia" w:ascii="宋体" w:hAnsi="宋体" w:cs="宋体"/>
                <w:color w:val="auto"/>
                <w:kern w:val="0"/>
                <w:sz w:val="21"/>
                <w:szCs w:val="21"/>
              </w:rPr>
              <w:t>(五)未将事故隐患排查治理情况如实记录或者未向从业人员通报的。</w:t>
            </w:r>
          </w:p>
        </w:tc>
        <w:tc>
          <w:tcPr>
            <w:tcW w:w="1624" w:type="dxa"/>
            <w:noWrap w:val="0"/>
            <w:vAlign w:val="center"/>
          </w:tcPr>
          <w:p w14:paraId="5B073995">
            <w:pPr>
              <w:widowControl/>
              <w:adjustRightInd w:val="0"/>
              <w:snapToGrid w:val="0"/>
              <w:ind w:firstLine="420" w:firstLineChars="200"/>
              <w:rPr>
                <w:rFonts w:hint="eastAsia" w:ascii="宋体" w:hAnsi="宋体" w:cs="宋体"/>
                <w:color w:val="auto"/>
                <w:kern w:val="0"/>
                <w:sz w:val="21"/>
                <w:szCs w:val="21"/>
              </w:rPr>
            </w:pPr>
          </w:p>
          <w:p w14:paraId="59D9B5F6">
            <w:pPr>
              <w:widowControl/>
              <w:adjustRightInd w:val="0"/>
              <w:snapToGrid w:val="0"/>
              <w:ind w:firstLine="420" w:firstLineChars="200"/>
              <w:rPr>
                <w:rFonts w:hint="eastAsia" w:ascii="宋体" w:hAnsi="宋体" w:cs="宋体"/>
                <w:color w:val="auto"/>
                <w:kern w:val="0"/>
                <w:sz w:val="21"/>
                <w:szCs w:val="21"/>
              </w:rPr>
            </w:pPr>
          </w:p>
          <w:p w14:paraId="166577E2">
            <w:pPr>
              <w:widowControl/>
              <w:adjustRightInd w:val="0"/>
              <w:snapToGrid w:val="0"/>
              <w:ind w:firstLine="420" w:firstLineChars="200"/>
              <w:rPr>
                <w:rFonts w:hint="eastAsia" w:ascii="宋体" w:hAnsi="宋体" w:cs="宋体"/>
                <w:color w:val="auto"/>
                <w:kern w:val="0"/>
                <w:sz w:val="21"/>
                <w:szCs w:val="21"/>
              </w:rPr>
            </w:pPr>
          </w:p>
          <w:p w14:paraId="032E5A75">
            <w:pPr>
              <w:widowControl/>
              <w:adjustRightInd w:val="0"/>
              <w:snapToGrid w:val="0"/>
              <w:ind w:firstLine="420" w:firstLineChars="200"/>
              <w:rPr>
                <w:rFonts w:hint="eastAsia" w:ascii="宋体" w:hAnsi="宋体" w:cs="宋体"/>
                <w:color w:val="auto"/>
                <w:kern w:val="0"/>
                <w:sz w:val="21"/>
                <w:szCs w:val="21"/>
              </w:rPr>
            </w:pPr>
          </w:p>
          <w:p w14:paraId="454C62E7">
            <w:pPr>
              <w:widowControl/>
              <w:adjustRightInd w:val="0"/>
              <w:snapToGrid w:val="0"/>
              <w:ind w:firstLine="420" w:firstLineChars="200"/>
              <w:rPr>
                <w:rFonts w:hint="eastAsia" w:ascii="宋体" w:hAnsi="宋体" w:cs="宋体"/>
                <w:color w:val="auto"/>
                <w:kern w:val="0"/>
                <w:sz w:val="21"/>
                <w:szCs w:val="21"/>
              </w:rPr>
            </w:pPr>
          </w:p>
          <w:p w14:paraId="0B585F65">
            <w:pPr>
              <w:widowControl/>
              <w:adjustRightInd w:val="0"/>
              <w:snapToGrid w:val="0"/>
              <w:ind w:firstLine="420" w:firstLineChars="200"/>
              <w:rPr>
                <w:rFonts w:hint="eastAsia" w:ascii="宋体" w:hAnsi="宋体" w:cs="宋体"/>
                <w:color w:val="auto"/>
                <w:kern w:val="0"/>
                <w:sz w:val="21"/>
                <w:szCs w:val="21"/>
              </w:rPr>
            </w:pPr>
          </w:p>
          <w:p w14:paraId="03E25CB2">
            <w:pPr>
              <w:widowControl/>
              <w:adjustRightInd w:val="0"/>
              <w:snapToGrid w:val="0"/>
              <w:ind w:firstLine="420" w:firstLineChars="200"/>
              <w:rPr>
                <w:rFonts w:hint="eastAsia" w:ascii="宋体" w:hAnsi="宋体" w:cs="宋体"/>
                <w:color w:val="auto"/>
                <w:kern w:val="0"/>
                <w:sz w:val="21"/>
                <w:szCs w:val="21"/>
              </w:rPr>
            </w:pPr>
          </w:p>
          <w:p w14:paraId="19B6DD95">
            <w:pPr>
              <w:widowControl/>
              <w:adjustRightInd w:val="0"/>
              <w:snapToGrid w:val="0"/>
              <w:ind w:firstLine="420" w:firstLineChars="200"/>
              <w:rPr>
                <w:rFonts w:hint="eastAsia" w:ascii="宋体" w:hAnsi="宋体" w:cs="宋体"/>
                <w:color w:val="auto"/>
                <w:kern w:val="0"/>
                <w:sz w:val="21"/>
                <w:szCs w:val="21"/>
              </w:rPr>
            </w:pPr>
          </w:p>
          <w:p w14:paraId="397A7D89">
            <w:pPr>
              <w:widowControl/>
              <w:adjustRightInd w:val="0"/>
              <w:snapToGrid w:val="0"/>
              <w:ind w:firstLine="420" w:firstLineChars="200"/>
              <w:rPr>
                <w:rFonts w:hint="eastAsia" w:ascii="宋体" w:hAnsi="宋体" w:cs="宋体"/>
                <w:color w:val="auto"/>
                <w:kern w:val="0"/>
                <w:sz w:val="21"/>
                <w:szCs w:val="21"/>
              </w:rPr>
            </w:pPr>
            <w:r>
              <w:rPr>
                <w:rFonts w:hint="eastAsia" w:ascii="宋体" w:hAnsi="宋体" w:cs="宋体"/>
                <w:color w:val="auto"/>
                <w:kern w:val="0"/>
                <w:sz w:val="21"/>
                <w:szCs w:val="21"/>
              </w:rPr>
              <w:t>主要负责人安全生产责任落实管理</w:t>
            </w:r>
          </w:p>
        </w:tc>
      </w:tr>
      <w:tr w14:paraId="108724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6" w:hRule="atLeast"/>
          <w:jc w:val="center"/>
        </w:trPr>
        <w:tc>
          <w:tcPr>
            <w:tcW w:w="643" w:type="dxa"/>
            <w:noWrap w:val="0"/>
            <w:vAlign w:val="center"/>
          </w:tcPr>
          <w:p w14:paraId="2DD87656">
            <w:pPr>
              <w:spacing w:before="290" w:line="183" w:lineRule="auto"/>
              <w:ind w:left="365"/>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2460" w:type="dxa"/>
            <w:noWrap w:val="0"/>
            <w:vAlign w:val="center"/>
          </w:tcPr>
          <w:p w14:paraId="6466F9C4">
            <w:pPr>
              <w:widowControl/>
              <w:adjustRightInd w:val="0"/>
              <w:snapToGrid w:val="0"/>
              <w:ind w:firstLine="420" w:firstLineChars="200"/>
              <w:rPr>
                <w:rFonts w:hint="eastAsia" w:ascii="宋体" w:hAnsi="宋体" w:cs="宋体"/>
                <w:color w:val="auto"/>
                <w:kern w:val="0"/>
                <w:sz w:val="21"/>
                <w:szCs w:val="21"/>
              </w:rPr>
            </w:pPr>
            <w:r>
              <w:rPr>
                <w:rFonts w:hint="eastAsia" w:ascii="宋体" w:hAnsi="宋体" w:cs="宋体"/>
                <w:color w:val="auto"/>
                <w:kern w:val="0"/>
                <w:sz w:val="21"/>
                <w:szCs w:val="21"/>
              </w:rPr>
              <w:t>未按照有关标准规范要求定期对涉及</w:t>
            </w:r>
          </w:p>
        </w:tc>
        <w:tc>
          <w:tcPr>
            <w:tcW w:w="3977" w:type="dxa"/>
            <w:noWrap w:val="0"/>
            <w:vAlign w:val="center"/>
          </w:tcPr>
          <w:p w14:paraId="0EB2B8ED">
            <w:pPr>
              <w:widowControl/>
              <w:adjustRightInd w:val="0"/>
              <w:snapToGrid w:val="0"/>
              <w:ind w:firstLine="420" w:firstLineChars="200"/>
              <w:rPr>
                <w:rFonts w:hint="eastAsia" w:ascii="宋体" w:hAnsi="宋体" w:cs="宋体"/>
                <w:color w:val="auto"/>
                <w:kern w:val="0"/>
                <w:sz w:val="21"/>
                <w:szCs w:val="21"/>
              </w:rPr>
            </w:pPr>
            <w:r>
              <w:rPr>
                <w:rFonts w:hint="eastAsia" w:ascii="宋体" w:hAnsi="宋体" w:cs="宋体"/>
                <w:color w:val="auto"/>
                <w:kern w:val="0"/>
                <w:sz w:val="21"/>
                <w:szCs w:val="21"/>
              </w:rPr>
              <w:t>《危险化学品安全管理条例》第十三条第一款生产、储</w:t>
            </w:r>
          </w:p>
        </w:tc>
        <w:tc>
          <w:tcPr>
            <w:tcW w:w="3006" w:type="dxa"/>
            <w:noWrap w:val="0"/>
            <w:vAlign w:val="center"/>
          </w:tcPr>
          <w:p w14:paraId="2444E2B7">
            <w:pPr>
              <w:widowControl/>
              <w:adjustRightInd w:val="0"/>
              <w:snapToGrid w:val="0"/>
              <w:ind w:firstLine="420" w:firstLineChars="200"/>
              <w:rPr>
                <w:rFonts w:hint="eastAsia" w:ascii="宋体" w:hAnsi="宋体" w:cs="宋体"/>
                <w:color w:val="auto"/>
                <w:kern w:val="0"/>
                <w:sz w:val="21"/>
                <w:szCs w:val="21"/>
              </w:rPr>
            </w:pPr>
            <w:r>
              <w:rPr>
                <w:rFonts w:hint="eastAsia" w:ascii="宋体" w:hAnsi="宋体" w:cs="宋体"/>
                <w:color w:val="auto"/>
                <w:kern w:val="0"/>
                <w:sz w:val="21"/>
                <w:szCs w:val="21"/>
              </w:rPr>
              <w:t>1.《关于加强化工过程安全管理的指导意见》</w:t>
            </w:r>
          </w:p>
        </w:tc>
        <w:tc>
          <w:tcPr>
            <w:tcW w:w="3361" w:type="dxa"/>
            <w:noWrap w:val="0"/>
            <w:vAlign w:val="center"/>
          </w:tcPr>
          <w:p w14:paraId="7842E7A3">
            <w:pPr>
              <w:widowControl/>
              <w:adjustRightInd w:val="0"/>
              <w:snapToGrid w:val="0"/>
              <w:ind w:firstLine="420" w:firstLineChars="200"/>
              <w:rPr>
                <w:rFonts w:hint="eastAsia" w:ascii="宋体" w:hAnsi="宋体" w:cs="宋体"/>
                <w:color w:val="auto"/>
                <w:kern w:val="0"/>
                <w:sz w:val="21"/>
                <w:szCs w:val="21"/>
              </w:rPr>
            </w:pPr>
            <w:r>
              <w:rPr>
                <w:rFonts w:hint="eastAsia" w:ascii="宋体" w:hAnsi="宋体" w:cs="宋体"/>
                <w:color w:val="auto"/>
                <w:kern w:val="0"/>
                <w:sz w:val="21"/>
                <w:szCs w:val="21"/>
              </w:rPr>
              <w:t>《危险化学品安全管理条例》第七十八条第</w:t>
            </w:r>
          </w:p>
        </w:tc>
        <w:tc>
          <w:tcPr>
            <w:tcW w:w="1624" w:type="dxa"/>
            <w:noWrap w:val="0"/>
            <w:vAlign w:val="center"/>
          </w:tcPr>
          <w:p w14:paraId="47C05F36">
            <w:pPr>
              <w:widowControl/>
              <w:adjustRightInd w:val="0"/>
              <w:snapToGrid w:val="0"/>
              <w:ind w:firstLine="420" w:firstLineChars="200"/>
              <w:rPr>
                <w:rFonts w:hint="eastAsia" w:ascii="宋体" w:hAnsi="宋体" w:cs="宋体"/>
                <w:color w:val="auto"/>
                <w:kern w:val="0"/>
                <w:sz w:val="21"/>
                <w:szCs w:val="21"/>
              </w:rPr>
            </w:pPr>
            <w:r>
              <w:rPr>
                <w:rFonts w:hint="eastAsia" w:ascii="宋体" w:hAnsi="宋体" w:cs="宋体"/>
                <w:color w:val="auto"/>
                <w:kern w:val="0"/>
                <w:sz w:val="21"/>
                <w:szCs w:val="21"/>
              </w:rPr>
              <w:t>设备管理</w:t>
            </w:r>
          </w:p>
        </w:tc>
      </w:tr>
    </w:tbl>
    <w:p w14:paraId="5970800F">
      <w:pPr>
        <w:rPr>
          <w:rFonts w:ascii="Arial"/>
          <w:sz w:val="21"/>
          <w:szCs w:val="21"/>
        </w:rPr>
      </w:pPr>
    </w:p>
    <w:p w14:paraId="2CCDA995">
      <w:pPr>
        <w:rPr>
          <w:rFonts w:ascii="Arial"/>
          <w:sz w:val="21"/>
          <w:szCs w:val="21"/>
        </w:rPr>
      </w:pPr>
    </w:p>
    <w:p w14:paraId="27A66DBB">
      <w:pPr>
        <w:rPr>
          <w:rFonts w:ascii="Arial"/>
          <w:sz w:val="21"/>
        </w:rPr>
      </w:pPr>
    </w:p>
    <w:p w14:paraId="7FC10A30">
      <w:pPr>
        <w:spacing w:line="49" w:lineRule="exact"/>
      </w:pP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4"/>
        <w:gridCol w:w="2228"/>
        <w:gridCol w:w="3497"/>
        <w:gridCol w:w="3756"/>
        <w:gridCol w:w="2629"/>
        <w:gridCol w:w="1036"/>
      </w:tblGrid>
      <w:tr w14:paraId="66841F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jc w:val="center"/>
        </w:trPr>
        <w:tc>
          <w:tcPr>
            <w:tcW w:w="864" w:type="dxa"/>
            <w:noWrap w:val="0"/>
            <w:vAlign w:val="top"/>
          </w:tcPr>
          <w:p w14:paraId="0E300A11">
            <w:pPr>
              <w:spacing w:before="212" w:line="221" w:lineRule="auto"/>
              <w:ind w:left="188"/>
              <w:rPr>
                <w:rFonts w:ascii="宋体" w:hAnsi="宋体" w:eastAsia="宋体" w:cs="宋体"/>
                <w:b/>
                <w:bCs/>
                <w:sz w:val="24"/>
                <w:szCs w:val="24"/>
              </w:rPr>
            </w:pPr>
            <w:r>
              <w:rPr>
                <w:rFonts w:ascii="宋体" w:hAnsi="宋体" w:eastAsia="宋体" w:cs="宋体"/>
                <w:b/>
                <w:bCs/>
                <w:spacing w:val="-5"/>
                <w:sz w:val="24"/>
                <w:szCs w:val="24"/>
              </w:rPr>
              <w:t>序号</w:t>
            </w:r>
          </w:p>
        </w:tc>
        <w:tc>
          <w:tcPr>
            <w:tcW w:w="2228" w:type="dxa"/>
            <w:noWrap w:val="0"/>
            <w:vAlign w:val="top"/>
          </w:tcPr>
          <w:p w14:paraId="2E7138A5">
            <w:pPr>
              <w:spacing w:before="65" w:line="219" w:lineRule="auto"/>
              <w:ind w:left="630"/>
              <w:rPr>
                <w:rFonts w:ascii="宋体" w:hAnsi="宋体" w:eastAsia="宋体" w:cs="宋体"/>
                <w:b/>
                <w:bCs/>
                <w:sz w:val="24"/>
                <w:szCs w:val="24"/>
              </w:rPr>
            </w:pPr>
            <w:r>
              <w:rPr>
                <w:rFonts w:ascii="宋体" w:hAnsi="宋体" w:eastAsia="宋体" w:cs="宋体"/>
                <w:b/>
                <w:bCs/>
                <w:spacing w:val="3"/>
                <w:sz w:val="24"/>
                <w:szCs w:val="24"/>
              </w:rPr>
              <w:t>执法检查</w:t>
            </w:r>
          </w:p>
          <w:p w14:paraId="070368A7">
            <w:pPr>
              <w:spacing w:before="34" w:line="215" w:lineRule="auto"/>
              <w:ind w:left="400"/>
              <w:rPr>
                <w:rFonts w:ascii="宋体" w:hAnsi="宋体" w:eastAsia="宋体" w:cs="宋体"/>
                <w:b/>
                <w:bCs/>
                <w:sz w:val="24"/>
                <w:szCs w:val="24"/>
              </w:rPr>
            </w:pPr>
            <w:r>
              <w:rPr>
                <w:rFonts w:ascii="宋体" w:hAnsi="宋体" w:eastAsia="宋体" w:cs="宋体"/>
                <w:b/>
                <w:bCs/>
                <w:spacing w:val="2"/>
                <w:sz w:val="24"/>
                <w:szCs w:val="24"/>
              </w:rPr>
              <w:t>重点事项内容</w:t>
            </w:r>
          </w:p>
        </w:tc>
        <w:tc>
          <w:tcPr>
            <w:tcW w:w="3497" w:type="dxa"/>
            <w:noWrap w:val="0"/>
            <w:vAlign w:val="top"/>
          </w:tcPr>
          <w:p w14:paraId="4375501B">
            <w:pPr>
              <w:spacing w:before="210" w:line="219" w:lineRule="auto"/>
              <w:ind w:left="1036"/>
              <w:rPr>
                <w:rFonts w:ascii="宋体" w:hAnsi="宋体" w:eastAsia="宋体" w:cs="宋体"/>
                <w:b/>
                <w:bCs/>
                <w:sz w:val="24"/>
                <w:szCs w:val="24"/>
              </w:rPr>
            </w:pPr>
            <w:r>
              <w:rPr>
                <w:rFonts w:ascii="宋体" w:hAnsi="宋体" w:eastAsia="宋体" w:cs="宋体"/>
                <w:b/>
                <w:bCs/>
                <w:spacing w:val="5"/>
                <w:sz w:val="24"/>
                <w:szCs w:val="24"/>
              </w:rPr>
              <w:t>执法检查依据</w:t>
            </w:r>
          </w:p>
        </w:tc>
        <w:tc>
          <w:tcPr>
            <w:tcW w:w="3756" w:type="dxa"/>
            <w:noWrap w:val="0"/>
            <w:vAlign w:val="top"/>
          </w:tcPr>
          <w:p w14:paraId="4B8A8301">
            <w:pPr>
              <w:spacing w:before="85" w:line="220" w:lineRule="auto"/>
              <w:ind w:left="856"/>
              <w:rPr>
                <w:rFonts w:ascii="宋体" w:hAnsi="宋体" w:eastAsia="宋体" w:cs="宋体"/>
                <w:b/>
                <w:bCs/>
                <w:sz w:val="24"/>
                <w:szCs w:val="24"/>
              </w:rPr>
            </w:pPr>
            <w:r>
              <w:rPr>
                <w:rFonts w:ascii="宋体" w:hAnsi="宋体" w:eastAsia="宋体" w:cs="宋体"/>
                <w:b/>
                <w:bCs/>
                <w:spacing w:val="-2"/>
                <w:sz w:val="24"/>
                <w:szCs w:val="24"/>
              </w:rPr>
              <w:t>有关规范性</w:t>
            </w:r>
          </w:p>
          <w:p w14:paraId="5D89B45C">
            <w:pPr>
              <w:spacing w:before="38" w:line="195" w:lineRule="auto"/>
              <w:ind w:left="609"/>
              <w:rPr>
                <w:rFonts w:ascii="宋体" w:hAnsi="宋体" w:eastAsia="宋体" w:cs="宋体"/>
                <w:b/>
                <w:bCs/>
                <w:sz w:val="24"/>
                <w:szCs w:val="24"/>
              </w:rPr>
            </w:pPr>
            <w:r>
              <w:rPr>
                <w:rFonts w:ascii="宋体" w:hAnsi="宋体" w:eastAsia="宋体" w:cs="宋体"/>
                <w:b/>
                <w:bCs/>
                <w:sz w:val="24"/>
                <w:szCs w:val="24"/>
              </w:rPr>
              <w:t>文件及标准要求</w:t>
            </w:r>
          </w:p>
        </w:tc>
        <w:tc>
          <w:tcPr>
            <w:tcW w:w="2629" w:type="dxa"/>
            <w:noWrap w:val="0"/>
            <w:vAlign w:val="top"/>
          </w:tcPr>
          <w:p w14:paraId="1C2446CA">
            <w:pPr>
              <w:spacing w:before="210" w:line="219" w:lineRule="auto"/>
              <w:ind w:left="951"/>
              <w:rPr>
                <w:rFonts w:ascii="宋体" w:hAnsi="宋体" w:eastAsia="宋体" w:cs="宋体"/>
                <w:b/>
                <w:bCs/>
                <w:sz w:val="24"/>
                <w:szCs w:val="24"/>
              </w:rPr>
            </w:pPr>
            <w:r>
              <w:rPr>
                <w:rFonts w:ascii="宋体" w:hAnsi="宋体" w:eastAsia="宋体" w:cs="宋体"/>
                <w:b/>
                <w:bCs/>
                <w:spacing w:val="4"/>
                <w:sz w:val="24"/>
                <w:szCs w:val="24"/>
              </w:rPr>
              <w:t>处罚依据</w:t>
            </w:r>
          </w:p>
        </w:tc>
        <w:tc>
          <w:tcPr>
            <w:tcW w:w="1036" w:type="dxa"/>
            <w:noWrap w:val="0"/>
            <w:vAlign w:val="top"/>
          </w:tcPr>
          <w:p w14:paraId="62C3C6E1">
            <w:pPr>
              <w:spacing w:before="212" w:line="221" w:lineRule="auto"/>
              <w:ind w:left="383"/>
              <w:rPr>
                <w:rFonts w:ascii="宋体" w:hAnsi="宋体" w:eastAsia="宋体" w:cs="宋体"/>
                <w:b/>
                <w:bCs/>
                <w:sz w:val="24"/>
                <w:szCs w:val="24"/>
              </w:rPr>
            </w:pPr>
            <w:r>
              <w:rPr>
                <w:rFonts w:ascii="宋体" w:hAnsi="宋体" w:eastAsia="宋体" w:cs="宋体"/>
                <w:b/>
                <w:bCs/>
                <w:spacing w:val="-6"/>
                <w:sz w:val="24"/>
                <w:szCs w:val="24"/>
              </w:rPr>
              <w:t>备注</w:t>
            </w:r>
          </w:p>
        </w:tc>
      </w:tr>
      <w:tr w14:paraId="57967C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1" w:hRule="atLeast"/>
          <w:jc w:val="center"/>
        </w:trPr>
        <w:tc>
          <w:tcPr>
            <w:tcW w:w="864" w:type="dxa"/>
            <w:noWrap w:val="0"/>
            <w:vAlign w:val="top"/>
          </w:tcPr>
          <w:p w14:paraId="09B38E81">
            <w:pPr>
              <w:rPr>
                <w:rFonts w:ascii="Arial"/>
                <w:sz w:val="21"/>
              </w:rPr>
            </w:pPr>
          </w:p>
        </w:tc>
        <w:tc>
          <w:tcPr>
            <w:tcW w:w="2228" w:type="dxa"/>
            <w:noWrap w:val="0"/>
            <w:vAlign w:val="top"/>
          </w:tcPr>
          <w:p w14:paraId="46767CBF">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易燃易爆、剧毒物料的管线(包括管件)进行测厚。</w:t>
            </w:r>
          </w:p>
        </w:tc>
        <w:tc>
          <w:tcPr>
            <w:tcW w:w="3497" w:type="dxa"/>
            <w:noWrap w:val="0"/>
            <w:vAlign w:val="top"/>
          </w:tcPr>
          <w:p w14:paraId="30342E4E">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存危险化学品的单位，应当对其铺设的危险化学品管道设置明显标志，并对危险化学品管道定期检查、检测。</w:t>
            </w:r>
          </w:p>
        </w:tc>
        <w:tc>
          <w:tcPr>
            <w:tcW w:w="3756" w:type="dxa"/>
            <w:noWrap w:val="0"/>
            <w:vAlign w:val="top"/>
          </w:tcPr>
          <w:p w14:paraId="0683EE16">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(安监总管三〔2013〕88号)七、设备完好性(完整性)。</w:t>
            </w:r>
          </w:p>
          <w:p w14:paraId="02D4EE34">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2.《压力管道定期检验规则一工业管道》(TSG D7005-2018)2定期检验、3安全状况等级评定和附件A工业管道年度检查要求、附件B工业管道定期检验报告。</w:t>
            </w:r>
          </w:p>
          <w:p w14:paraId="03EF47FA">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3.《关于加强化工企业泄漏管理的指导意见》(安监总管三〔2014〕94号)第(十六)条建立和不断完善泄漏检测、报告、处理、消除等闭环管理制度。建立定期检测、报告制度，对于装置中存在泄漏风险的部位，尤其是受冲刷或腐蚀容易减薄的物料管线，要根据泄漏风险程度制定相应的周期性测厚和泄漏检测计划，</w:t>
            </w:r>
          </w:p>
        </w:tc>
        <w:tc>
          <w:tcPr>
            <w:tcW w:w="2629" w:type="dxa"/>
            <w:noWrap w:val="0"/>
            <w:vAlign w:val="top"/>
          </w:tcPr>
          <w:p w14:paraId="0B2B8BC6">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一款第一项有下列情形之一的，由安全生产监督管理部门责令改正，可以处5万元以下的罚款；拒不改正的，处5万元以上10万元以下的罚款；情节严重的，责令停产停业整顿：</w:t>
            </w:r>
          </w:p>
          <w:p w14:paraId="3B11AE7E">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(一)生产、储存危险化学品的单位未对其铺设的危险化学品管道设置明显的标志，或者未对危险化学品管道定期检查、检测的。</w:t>
            </w:r>
          </w:p>
        </w:tc>
        <w:tc>
          <w:tcPr>
            <w:tcW w:w="1036" w:type="dxa"/>
            <w:noWrap w:val="0"/>
            <w:vAlign w:val="top"/>
          </w:tcPr>
          <w:p w14:paraId="169272CF">
            <w:pPr>
              <w:widowControl/>
              <w:adjustRightInd w:val="0"/>
              <w:snapToGrid w:val="0"/>
              <w:ind w:firstLine="420" w:firstLineChars="200"/>
              <w:rPr>
                <w:rFonts w:hint="eastAsia" w:ascii="宋体" w:hAnsi="宋体" w:cs="宋体"/>
                <w:color w:val="auto"/>
                <w:kern w:val="0"/>
                <w:szCs w:val="21"/>
              </w:rPr>
            </w:pPr>
          </w:p>
        </w:tc>
      </w:tr>
    </w:tbl>
    <w:p w14:paraId="2ACB814B">
      <w:pPr>
        <w:rPr>
          <w:rFonts w:ascii="Arial"/>
          <w:sz w:val="21"/>
        </w:rPr>
      </w:pPr>
    </w:p>
    <w:p w14:paraId="5899A519">
      <w:pPr>
        <w:sectPr>
          <w:footerReference r:id="rId3" w:type="default"/>
          <w:pgSz w:w="16840" w:h="11900"/>
          <w:pgMar w:top="1440" w:right="1080" w:bottom="1440" w:left="1080" w:header="0" w:footer="0" w:gutter="0"/>
          <w:pgNumType w:fmt="decimal"/>
          <w:cols w:space="720" w:num="1"/>
        </w:sectPr>
      </w:pPr>
    </w:p>
    <w:p w14:paraId="4BCE1BDC"/>
    <w:p w14:paraId="555A37C3">
      <w:pPr>
        <w:spacing w:line="99" w:lineRule="exact"/>
      </w:pP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4"/>
        <w:gridCol w:w="2229"/>
        <w:gridCol w:w="3507"/>
        <w:gridCol w:w="3209"/>
        <w:gridCol w:w="3092"/>
        <w:gridCol w:w="1268"/>
      </w:tblGrid>
      <w:tr w14:paraId="40FFC7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jc w:val="center"/>
        </w:trPr>
        <w:tc>
          <w:tcPr>
            <w:tcW w:w="874" w:type="dxa"/>
            <w:noWrap w:val="0"/>
            <w:vAlign w:val="top"/>
          </w:tcPr>
          <w:p w14:paraId="5DB6CC89">
            <w:pPr>
              <w:spacing w:before="216" w:line="221" w:lineRule="auto"/>
              <w:ind w:left="184"/>
              <w:rPr>
                <w:rFonts w:ascii="宋体" w:hAnsi="宋体" w:eastAsia="宋体" w:cs="宋体"/>
                <w:b/>
                <w:bCs/>
                <w:sz w:val="24"/>
                <w:szCs w:val="24"/>
              </w:rPr>
            </w:pPr>
            <w:r>
              <w:rPr>
                <w:rFonts w:ascii="宋体" w:hAnsi="宋体" w:eastAsia="宋体" w:cs="宋体"/>
                <w:b/>
                <w:bCs/>
                <w:spacing w:val="7"/>
                <w:sz w:val="24"/>
                <w:szCs w:val="24"/>
              </w:rPr>
              <w:t>序号</w:t>
            </w:r>
          </w:p>
        </w:tc>
        <w:tc>
          <w:tcPr>
            <w:tcW w:w="2229" w:type="dxa"/>
            <w:noWrap w:val="0"/>
            <w:vAlign w:val="top"/>
          </w:tcPr>
          <w:p w14:paraId="2CDC0A99">
            <w:pPr>
              <w:spacing w:before="85" w:line="219" w:lineRule="auto"/>
              <w:ind w:left="620"/>
              <w:rPr>
                <w:rFonts w:ascii="宋体" w:hAnsi="宋体" w:eastAsia="宋体" w:cs="宋体"/>
                <w:b/>
                <w:bCs/>
                <w:sz w:val="24"/>
                <w:szCs w:val="24"/>
              </w:rPr>
            </w:pPr>
            <w:r>
              <w:rPr>
                <w:rFonts w:ascii="宋体" w:hAnsi="宋体" w:eastAsia="宋体" w:cs="宋体"/>
                <w:b/>
                <w:bCs/>
                <w:spacing w:val="3"/>
                <w:sz w:val="24"/>
                <w:szCs w:val="24"/>
              </w:rPr>
              <w:t>执法检查</w:t>
            </w:r>
          </w:p>
          <w:p w14:paraId="12CD4430">
            <w:pPr>
              <w:spacing w:before="34" w:line="200" w:lineRule="auto"/>
              <w:ind w:left="380"/>
              <w:rPr>
                <w:rFonts w:ascii="宋体" w:hAnsi="宋体" w:eastAsia="宋体" w:cs="宋体"/>
                <w:b/>
                <w:bCs/>
                <w:sz w:val="24"/>
                <w:szCs w:val="24"/>
              </w:rPr>
            </w:pPr>
            <w:r>
              <w:rPr>
                <w:rFonts w:ascii="宋体" w:hAnsi="宋体" w:eastAsia="宋体" w:cs="宋体"/>
                <w:b/>
                <w:bCs/>
                <w:spacing w:val="2"/>
                <w:sz w:val="24"/>
                <w:szCs w:val="24"/>
              </w:rPr>
              <w:t>重点事项内容</w:t>
            </w:r>
          </w:p>
        </w:tc>
        <w:tc>
          <w:tcPr>
            <w:tcW w:w="3507" w:type="dxa"/>
            <w:noWrap w:val="0"/>
            <w:vAlign w:val="top"/>
          </w:tcPr>
          <w:p w14:paraId="6E6EB884">
            <w:pPr>
              <w:spacing w:before="213" w:line="219" w:lineRule="auto"/>
              <w:ind w:left="1051"/>
              <w:rPr>
                <w:rFonts w:ascii="宋体" w:hAnsi="宋体" w:eastAsia="宋体" w:cs="宋体"/>
                <w:b/>
                <w:bCs/>
                <w:sz w:val="24"/>
                <w:szCs w:val="24"/>
              </w:rPr>
            </w:pPr>
            <w:r>
              <w:rPr>
                <w:rFonts w:ascii="宋体" w:hAnsi="宋体" w:eastAsia="宋体" w:cs="宋体"/>
                <w:b/>
                <w:bCs/>
                <w:spacing w:val="2"/>
                <w:sz w:val="24"/>
                <w:szCs w:val="24"/>
              </w:rPr>
              <w:t>执法检查依据</w:t>
            </w:r>
          </w:p>
        </w:tc>
        <w:tc>
          <w:tcPr>
            <w:tcW w:w="3209" w:type="dxa"/>
            <w:noWrap w:val="0"/>
            <w:vAlign w:val="top"/>
          </w:tcPr>
          <w:p w14:paraId="241B6D06">
            <w:pPr>
              <w:spacing w:before="75" w:line="220" w:lineRule="auto"/>
              <w:ind w:left="864"/>
              <w:rPr>
                <w:rFonts w:ascii="宋体" w:hAnsi="宋体" w:eastAsia="宋体" w:cs="宋体"/>
                <w:b/>
                <w:bCs/>
                <w:sz w:val="24"/>
                <w:szCs w:val="24"/>
              </w:rPr>
            </w:pPr>
            <w:r>
              <w:rPr>
                <w:rFonts w:ascii="宋体" w:hAnsi="宋体" w:eastAsia="宋体" w:cs="宋体"/>
                <w:b/>
                <w:bCs/>
                <w:spacing w:val="-2"/>
                <w:sz w:val="24"/>
                <w:szCs w:val="24"/>
              </w:rPr>
              <w:t>有关规范性</w:t>
            </w:r>
          </w:p>
          <w:p w14:paraId="4A6EC1A7">
            <w:pPr>
              <w:spacing w:before="52" w:line="192" w:lineRule="auto"/>
              <w:ind w:left="604"/>
              <w:rPr>
                <w:rFonts w:ascii="宋体" w:hAnsi="宋体" w:eastAsia="宋体" w:cs="宋体"/>
                <w:b/>
                <w:bCs/>
                <w:sz w:val="24"/>
                <w:szCs w:val="24"/>
              </w:rPr>
            </w:pPr>
            <w:r>
              <w:rPr>
                <w:rFonts w:ascii="宋体" w:hAnsi="宋体" w:eastAsia="宋体" w:cs="宋体"/>
                <w:b/>
                <w:bCs/>
                <w:spacing w:val="4"/>
                <w:sz w:val="24"/>
                <w:szCs w:val="24"/>
              </w:rPr>
              <w:t>文件及标准要求</w:t>
            </w:r>
          </w:p>
        </w:tc>
        <w:tc>
          <w:tcPr>
            <w:tcW w:w="3092" w:type="dxa"/>
            <w:noWrap w:val="0"/>
            <w:vAlign w:val="top"/>
          </w:tcPr>
          <w:p w14:paraId="7379EE7A">
            <w:pPr>
              <w:spacing w:before="213" w:line="219" w:lineRule="auto"/>
              <w:ind w:left="956"/>
              <w:rPr>
                <w:rFonts w:ascii="宋体" w:hAnsi="宋体" w:eastAsia="宋体" w:cs="宋体"/>
                <w:b/>
                <w:bCs/>
                <w:sz w:val="24"/>
                <w:szCs w:val="24"/>
              </w:rPr>
            </w:pPr>
            <w:r>
              <w:rPr>
                <w:rFonts w:ascii="宋体" w:hAnsi="宋体" w:eastAsia="宋体" w:cs="宋体"/>
                <w:b/>
                <w:bCs/>
                <w:spacing w:val="3"/>
                <w:sz w:val="24"/>
                <w:szCs w:val="24"/>
              </w:rPr>
              <w:t>处罚依据</w:t>
            </w:r>
          </w:p>
        </w:tc>
        <w:tc>
          <w:tcPr>
            <w:tcW w:w="1268" w:type="dxa"/>
            <w:noWrap w:val="0"/>
            <w:vAlign w:val="top"/>
          </w:tcPr>
          <w:p w14:paraId="77C55846">
            <w:pPr>
              <w:spacing w:before="212" w:line="221" w:lineRule="auto"/>
              <w:ind w:left="382"/>
              <w:rPr>
                <w:rFonts w:ascii="宋体" w:hAnsi="宋体" w:eastAsia="宋体" w:cs="宋体"/>
                <w:b/>
                <w:bCs/>
                <w:sz w:val="24"/>
                <w:szCs w:val="24"/>
              </w:rPr>
            </w:pPr>
            <w:r>
              <w:rPr>
                <w:rFonts w:ascii="宋体" w:hAnsi="宋体" w:eastAsia="宋体" w:cs="宋体"/>
                <w:b/>
                <w:bCs/>
                <w:spacing w:val="-6"/>
                <w:sz w:val="24"/>
                <w:szCs w:val="24"/>
              </w:rPr>
              <w:t>备注</w:t>
            </w:r>
          </w:p>
        </w:tc>
      </w:tr>
      <w:tr w14:paraId="31BEF9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75" w:hRule="atLeast"/>
          <w:jc w:val="center"/>
        </w:trPr>
        <w:tc>
          <w:tcPr>
            <w:tcW w:w="874" w:type="dxa"/>
            <w:noWrap w:val="0"/>
            <w:vAlign w:val="top"/>
          </w:tcPr>
          <w:p w14:paraId="738B27C7">
            <w:pPr>
              <w:rPr>
                <w:rFonts w:ascii="Arial"/>
                <w:sz w:val="21"/>
              </w:rPr>
            </w:pPr>
          </w:p>
        </w:tc>
        <w:tc>
          <w:tcPr>
            <w:tcW w:w="2229" w:type="dxa"/>
            <w:noWrap w:val="0"/>
            <w:vAlign w:val="top"/>
          </w:tcPr>
          <w:p w14:paraId="58D5EAED">
            <w:pPr>
              <w:rPr>
                <w:rFonts w:ascii="Arial"/>
                <w:sz w:val="21"/>
              </w:rPr>
            </w:pPr>
          </w:p>
        </w:tc>
        <w:tc>
          <w:tcPr>
            <w:tcW w:w="3507" w:type="dxa"/>
            <w:noWrap w:val="0"/>
            <w:vAlign w:val="top"/>
          </w:tcPr>
          <w:p w14:paraId="018073F7">
            <w:pPr>
              <w:rPr>
                <w:rFonts w:ascii="Arial"/>
                <w:sz w:val="21"/>
              </w:rPr>
            </w:pPr>
          </w:p>
        </w:tc>
        <w:tc>
          <w:tcPr>
            <w:tcW w:w="3209" w:type="dxa"/>
            <w:noWrap w:val="0"/>
            <w:vAlign w:val="top"/>
          </w:tcPr>
          <w:p w14:paraId="05792B38">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并定期将检测记录的统计结果上报给企业的生产、设备和安全管理部门，所有记录数据要真实、完整、准确。企业发现泄漏要立即处置、及时登记、尽快消除，不能立即处置的要采取相应的防范措施并建立设备泄漏台账，限期整改。加强对有关管理规定、操作规程、作业指导书和记录文件以及采用的检测和评估技术标准等泄漏管理文件的管理。</w:t>
            </w:r>
          </w:p>
        </w:tc>
        <w:tc>
          <w:tcPr>
            <w:tcW w:w="3092" w:type="dxa"/>
            <w:noWrap w:val="0"/>
            <w:vAlign w:val="top"/>
          </w:tcPr>
          <w:p w14:paraId="218A33C4">
            <w:pPr>
              <w:widowControl/>
              <w:adjustRightInd w:val="0"/>
              <w:snapToGrid w:val="0"/>
              <w:ind w:firstLine="420" w:firstLineChars="200"/>
              <w:rPr>
                <w:rFonts w:hint="eastAsia" w:ascii="宋体" w:hAnsi="宋体" w:cs="宋体"/>
                <w:color w:val="auto"/>
                <w:kern w:val="0"/>
                <w:szCs w:val="21"/>
              </w:rPr>
            </w:pPr>
          </w:p>
        </w:tc>
        <w:tc>
          <w:tcPr>
            <w:tcW w:w="1268" w:type="dxa"/>
            <w:noWrap w:val="0"/>
            <w:vAlign w:val="top"/>
          </w:tcPr>
          <w:p w14:paraId="48A48EC5">
            <w:pPr>
              <w:widowControl/>
              <w:adjustRightInd w:val="0"/>
              <w:snapToGrid w:val="0"/>
              <w:ind w:firstLine="420" w:firstLineChars="200"/>
              <w:rPr>
                <w:rFonts w:hint="eastAsia" w:ascii="宋体" w:hAnsi="宋体" w:cs="宋体"/>
                <w:color w:val="auto"/>
                <w:kern w:val="0"/>
                <w:szCs w:val="21"/>
              </w:rPr>
            </w:pPr>
          </w:p>
        </w:tc>
      </w:tr>
      <w:tr w14:paraId="06F461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6" w:hRule="atLeast"/>
          <w:jc w:val="center"/>
        </w:trPr>
        <w:tc>
          <w:tcPr>
            <w:tcW w:w="874" w:type="dxa"/>
            <w:noWrap w:val="0"/>
            <w:vAlign w:val="top"/>
          </w:tcPr>
          <w:p w14:paraId="18D9D9DC">
            <w:pPr>
              <w:spacing w:line="264" w:lineRule="auto"/>
              <w:rPr>
                <w:rFonts w:ascii="Arial"/>
                <w:sz w:val="21"/>
              </w:rPr>
            </w:pPr>
          </w:p>
          <w:p w14:paraId="77DEECF8">
            <w:pPr>
              <w:spacing w:line="264" w:lineRule="auto"/>
              <w:rPr>
                <w:rFonts w:ascii="Arial"/>
                <w:sz w:val="21"/>
              </w:rPr>
            </w:pPr>
          </w:p>
          <w:p w14:paraId="5340195A">
            <w:pPr>
              <w:spacing w:line="264" w:lineRule="auto"/>
              <w:rPr>
                <w:rFonts w:ascii="Arial"/>
                <w:sz w:val="21"/>
              </w:rPr>
            </w:pPr>
          </w:p>
          <w:p w14:paraId="7A254343">
            <w:pPr>
              <w:spacing w:line="265" w:lineRule="auto"/>
              <w:rPr>
                <w:rFonts w:ascii="Arial"/>
                <w:sz w:val="21"/>
              </w:rPr>
            </w:pPr>
          </w:p>
          <w:p w14:paraId="7BA7128F">
            <w:pPr>
              <w:spacing w:line="265" w:lineRule="auto"/>
              <w:rPr>
                <w:rFonts w:ascii="Arial"/>
                <w:sz w:val="21"/>
              </w:rPr>
            </w:pPr>
          </w:p>
          <w:p w14:paraId="29E69732">
            <w:pPr>
              <w:spacing w:before="78" w:line="183" w:lineRule="auto"/>
              <w:ind w:left="364"/>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2229" w:type="dxa"/>
            <w:noWrap w:val="0"/>
            <w:vAlign w:val="top"/>
          </w:tcPr>
          <w:p w14:paraId="052D5FD2">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涉及易燃易爆、剧</w:t>
            </w:r>
          </w:p>
          <w:p w14:paraId="115CB298">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毒物料的设备、管线及管件发生泄</w:t>
            </w:r>
          </w:p>
          <w:p w14:paraId="44EF6ADB">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漏，未妥善处置仍</w:t>
            </w:r>
          </w:p>
          <w:p w14:paraId="5D5CA09C">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继续运行，或者打卡子带“病”运行、</w:t>
            </w:r>
          </w:p>
          <w:p w14:paraId="4F5FD428">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未采取有效措施彻底消除隐患。</w:t>
            </w:r>
          </w:p>
        </w:tc>
        <w:tc>
          <w:tcPr>
            <w:tcW w:w="3507" w:type="dxa"/>
            <w:noWrap w:val="0"/>
            <w:vAlign w:val="top"/>
          </w:tcPr>
          <w:p w14:paraId="59F20BF5">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中华人民共和国安全生产法》第四十一条第二款生产经营单位应当建立健全并落实生产安全事故隐患排查治理制度，采取技术、管理措施，及时发现并消除事故隐患。事故隐患排查治理情况应当如实记录，并通过职工大会或者职工代表大会、信息公示栏等方式向从业人</w:t>
            </w:r>
          </w:p>
        </w:tc>
        <w:tc>
          <w:tcPr>
            <w:tcW w:w="3209" w:type="dxa"/>
            <w:noWrap w:val="0"/>
            <w:vAlign w:val="top"/>
          </w:tcPr>
          <w:p w14:paraId="01B9E911">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1.《关于加强化工过程安全管理的指导意见》(安监总管三〔2013〕88号)七、设备完好性(完整性)以及十二、事故和事件管理。</w:t>
            </w:r>
          </w:p>
          <w:p w14:paraId="5FD2D93B">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2.《关于加强化工企业泄漏管理的指导意见》(安监总管三〔2014〕94</w:t>
            </w:r>
          </w:p>
        </w:tc>
        <w:tc>
          <w:tcPr>
            <w:tcW w:w="3092" w:type="dxa"/>
            <w:noWrap w:val="0"/>
            <w:vAlign w:val="top"/>
          </w:tcPr>
          <w:p w14:paraId="5CF24D71">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《中华人民共和国安全生产法》第一百零二条生产经营单位未采取措施消除事故隐患的，责令立即消除或者限期消除，处五万元以下的罚款；生产经营单位拒不执行的，责令停产停业整顿，对其直接负责的主管</w:t>
            </w:r>
          </w:p>
        </w:tc>
        <w:tc>
          <w:tcPr>
            <w:tcW w:w="1268" w:type="dxa"/>
            <w:noWrap w:val="0"/>
            <w:vAlign w:val="top"/>
          </w:tcPr>
          <w:p w14:paraId="683A3796">
            <w:pPr>
              <w:widowControl/>
              <w:adjustRightInd w:val="0"/>
              <w:snapToGrid w:val="0"/>
              <w:ind w:firstLine="420" w:firstLineChars="200"/>
              <w:rPr>
                <w:rFonts w:hint="eastAsia" w:ascii="宋体" w:hAnsi="宋体" w:cs="宋体"/>
                <w:color w:val="auto"/>
                <w:kern w:val="0"/>
                <w:szCs w:val="21"/>
              </w:rPr>
            </w:pPr>
          </w:p>
          <w:p w14:paraId="36C5DC04">
            <w:pPr>
              <w:widowControl/>
              <w:adjustRightInd w:val="0"/>
              <w:snapToGrid w:val="0"/>
              <w:ind w:firstLine="420" w:firstLineChars="200"/>
              <w:rPr>
                <w:rFonts w:hint="eastAsia" w:ascii="宋体" w:hAnsi="宋体" w:cs="宋体"/>
                <w:color w:val="auto"/>
                <w:kern w:val="0"/>
                <w:szCs w:val="21"/>
              </w:rPr>
            </w:pPr>
          </w:p>
          <w:p w14:paraId="469E0EB7">
            <w:pPr>
              <w:widowControl/>
              <w:adjustRightInd w:val="0"/>
              <w:snapToGrid w:val="0"/>
              <w:ind w:firstLine="420" w:firstLineChars="200"/>
              <w:rPr>
                <w:rFonts w:hint="eastAsia" w:ascii="宋体" w:hAnsi="宋体" w:cs="宋体"/>
                <w:color w:val="auto"/>
                <w:kern w:val="0"/>
                <w:szCs w:val="21"/>
              </w:rPr>
            </w:pPr>
          </w:p>
          <w:p w14:paraId="55A7ED64">
            <w:pPr>
              <w:widowControl/>
              <w:adjustRightInd w:val="0"/>
              <w:snapToGrid w:val="0"/>
              <w:ind w:firstLine="420" w:firstLineChars="200"/>
              <w:rPr>
                <w:rFonts w:hint="eastAsia" w:ascii="宋体" w:hAnsi="宋体" w:cs="宋体"/>
                <w:color w:val="auto"/>
                <w:kern w:val="0"/>
                <w:szCs w:val="21"/>
              </w:rPr>
            </w:pPr>
          </w:p>
          <w:p w14:paraId="5093A8DE">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rPr>
              <w:t>生产装置带“病”运行管理</w:t>
            </w:r>
          </w:p>
        </w:tc>
      </w:tr>
    </w:tbl>
    <w:p w14:paraId="1D828DF4">
      <w:pPr>
        <w:rPr>
          <w:rFonts w:ascii="Arial"/>
          <w:sz w:val="21"/>
        </w:rPr>
      </w:pPr>
    </w:p>
    <w:p w14:paraId="2C785BD1">
      <w:pPr>
        <w:sectPr>
          <w:pgSz w:w="16840" w:h="11900"/>
          <w:pgMar w:top="1440" w:right="1080" w:bottom="1440" w:left="1080" w:header="0" w:footer="0" w:gutter="0"/>
          <w:pgNumType w:fmt="decimal"/>
          <w:cols w:space="720" w:num="1"/>
        </w:sectPr>
      </w:pPr>
    </w:p>
    <w:p w14:paraId="22BA15C4"/>
    <w:p w14:paraId="4315D33B"/>
    <w:p w14:paraId="37712A8F">
      <w:pPr>
        <w:spacing w:line="94" w:lineRule="auto"/>
        <w:rPr>
          <w:rFonts w:ascii="Arial"/>
          <w:sz w:val="2"/>
        </w:rPr>
      </w:pP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4"/>
        <w:gridCol w:w="2228"/>
        <w:gridCol w:w="3497"/>
        <w:gridCol w:w="3797"/>
        <w:gridCol w:w="1919"/>
        <w:gridCol w:w="1244"/>
      </w:tblGrid>
      <w:tr w14:paraId="602E4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jc w:val="center"/>
        </w:trPr>
        <w:tc>
          <w:tcPr>
            <w:tcW w:w="864" w:type="dxa"/>
            <w:noWrap w:val="0"/>
            <w:vAlign w:val="top"/>
          </w:tcPr>
          <w:p w14:paraId="25BBECF5">
            <w:pPr>
              <w:spacing w:before="212" w:line="221" w:lineRule="auto"/>
              <w:ind w:left="188"/>
              <w:rPr>
                <w:rFonts w:ascii="宋体" w:hAnsi="宋体" w:eastAsia="宋体" w:cs="宋体"/>
                <w:b/>
                <w:bCs/>
                <w:sz w:val="24"/>
                <w:szCs w:val="24"/>
              </w:rPr>
            </w:pPr>
            <w:r>
              <w:rPr>
                <w:rFonts w:ascii="宋体" w:hAnsi="宋体" w:eastAsia="宋体" w:cs="宋体"/>
                <w:b/>
                <w:bCs/>
                <w:spacing w:val="-5"/>
                <w:sz w:val="24"/>
                <w:szCs w:val="24"/>
              </w:rPr>
              <w:t>序号</w:t>
            </w:r>
          </w:p>
        </w:tc>
        <w:tc>
          <w:tcPr>
            <w:tcW w:w="2228" w:type="dxa"/>
            <w:noWrap w:val="0"/>
            <w:vAlign w:val="top"/>
          </w:tcPr>
          <w:p w14:paraId="5B38134F">
            <w:pPr>
              <w:spacing w:before="85" w:line="219" w:lineRule="auto"/>
              <w:ind w:left="621"/>
              <w:rPr>
                <w:rFonts w:ascii="宋体" w:hAnsi="宋体" w:eastAsia="宋体" w:cs="宋体"/>
                <w:b/>
                <w:bCs/>
                <w:sz w:val="24"/>
                <w:szCs w:val="24"/>
              </w:rPr>
            </w:pPr>
            <w:r>
              <w:rPr>
                <w:rFonts w:ascii="宋体" w:hAnsi="宋体" w:eastAsia="宋体" w:cs="宋体"/>
                <w:b/>
                <w:bCs/>
                <w:spacing w:val="3"/>
                <w:sz w:val="24"/>
                <w:szCs w:val="24"/>
              </w:rPr>
              <w:t>执法检查</w:t>
            </w:r>
          </w:p>
          <w:p w14:paraId="5DFFE5EF">
            <w:pPr>
              <w:spacing w:before="21" w:line="210" w:lineRule="auto"/>
              <w:ind w:left="384"/>
              <w:rPr>
                <w:rFonts w:ascii="宋体" w:hAnsi="宋体" w:eastAsia="宋体" w:cs="宋体"/>
                <w:b/>
                <w:bCs/>
                <w:sz w:val="24"/>
                <w:szCs w:val="24"/>
              </w:rPr>
            </w:pPr>
            <w:r>
              <w:rPr>
                <w:rFonts w:ascii="宋体" w:hAnsi="宋体" w:eastAsia="宋体" w:cs="宋体"/>
                <w:b/>
                <w:bCs/>
                <w:spacing w:val="-4"/>
                <w:sz w:val="24"/>
                <w:szCs w:val="24"/>
              </w:rPr>
              <w:t>重点事项内容</w:t>
            </w:r>
          </w:p>
        </w:tc>
        <w:tc>
          <w:tcPr>
            <w:tcW w:w="3497" w:type="dxa"/>
            <w:noWrap w:val="0"/>
            <w:vAlign w:val="top"/>
          </w:tcPr>
          <w:p w14:paraId="7229D4C1">
            <w:pPr>
              <w:spacing w:before="209" w:line="219" w:lineRule="auto"/>
              <w:ind w:left="1026"/>
              <w:rPr>
                <w:rFonts w:ascii="宋体" w:hAnsi="宋体" w:eastAsia="宋体" w:cs="宋体"/>
                <w:b/>
                <w:bCs/>
                <w:sz w:val="24"/>
                <w:szCs w:val="24"/>
              </w:rPr>
            </w:pPr>
            <w:r>
              <w:rPr>
                <w:rFonts w:ascii="宋体" w:hAnsi="宋体" w:eastAsia="宋体" w:cs="宋体"/>
                <w:b/>
                <w:bCs/>
                <w:spacing w:val="5"/>
                <w:sz w:val="24"/>
                <w:szCs w:val="24"/>
              </w:rPr>
              <w:t>执法检查依据</w:t>
            </w:r>
          </w:p>
        </w:tc>
        <w:tc>
          <w:tcPr>
            <w:tcW w:w="3797" w:type="dxa"/>
            <w:noWrap w:val="0"/>
            <w:vAlign w:val="top"/>
          </w:tcPr>
          <w:p w14:paraId="0AA544F1">
            <w:pPr>
              <w:spacing w:before="82" w:line="220" w:lineRule="auto"/>
              <w:ind w:left="849"/>
              <w:rPr>
                <w:rFonts w:ascii="宋体" w:hAnsi="宋体" w:eastAsia="宋体" w:cs="宋体"/>
                <w:b/>
                <w:bCs/>
                <w:sz w:val="24"/>
                <w:szCs w:val="24"/>
              </w:rPr>
            </w:pPr>
            <w:r>
              <w:rPr>
                <w:rFonts w:ascii="宋体" w:hAnsi="宋体" w:eastAsia="宋体" w:cs="宋体"/>
                <w:b/>
                <w:bCs/>
                <w:spacing w:val="-5"/>
                <w:sz w:val="24"/>
                <w:szCs w:val="24"/>
              </w:rPr>
              <w:t>有关规范性</w:t>
            </w:r>
          </w:p>
          <w:p w14:paraId="08C98047">
            <w:pPr>
              <w:spacing w:before="52" w:line="187" w:lineRule="auto"/>
              <w:ind w:left="609"/>
              <w:rPr>
                <w:rFonts w:ascii="宋体" w:hAnsi="宋体" w:eastAsia="宋体" w:cs="宋体"/>
                <w:b/>
                <w:bCs/>
                <w:sz w:val="24"/>
                <w:szCs w:val="24"/>
              </w:rPr>
            </w:pPr>
            <w:r>
              <w:rPr>
                <w:rFonts w:ascii="宋体" w:hAnsi="宋体" w:eastAsia="宋体" w:cs="宋体"/>
                <w:b/>
                <w:bCs/>
                <w:spacing w:val="-4"/>
                <w:sz w:val="24"/>
                <w:szCs w:val="24"/>
              </w:rPr>
              <w:t>文件及标准要求</w:t>
            </w:r>
          </w:p>
        </w:tc>
        <w:tc>
          <w:tcPr>
            <w:tcW w:w="1919" w:type="dxa"/>
            <w:noWrap w:val="0"/>
            <w:vAlign w:val="top"/>
          </w:tcPr>
          <w:p w14:paraId="65167674">
            <w:pPr>
              <w:spacing w:before="209" w:line="219" w:lineRule="auto"/>
              <w:ind w:firstLine="249" w:firstLineChars="100"/>
              <w:rPr>
                <w:rFonts w:ascii="宋体" w:hAnsi="宋体" w:eastAsia="宋体" w:cs="宋体"/>
                <w:b/>
                <w:bCs/>
                <w:sz w:val="24"/>
                <w:szCs w:val="24"/>
              </w:rPr>
            </w:pPr>
            <w:r>
              <w:rPr>
                <w:rFonts w:ascii="宋体" w:hAnsi="宋体" w:eastAsia="宋体" w:cs="宋体"/>
                <w:b/>
                <w:bCs/>
                <w:spacing w:val="4"/>
                <w:sz w:val="24"/>
                <w:szCs w:val="24"/>
              </w:rPr>
              <w:t>处罚依据</w:t>
            </w:r>
          </w:p>
        </w:tc>
        <w:tc>
          <w:tcPr>
            <w:tcW w:w="1244" w:type="dxa"/>
            <w:noWrap w:val="0"/>
            <w:vAlign w:val="top"/>
          </w:tcPr>
          <w:p w14:paraId="2DD2CE88">
            <w:pPr>
              <w:spacing w:before="212" w:line="221" w:lineRule="auto"/>
              <w:ind w:left="383"/>
              <w:rPr>
                <w:rFonts w:ascii="宋体" w:hAnsi="宋体" w:eastAsia="宋体" w:cs="宋体"/>
                <w:b/>
                <w:bCs/>
                <w:sz w:val="24"/>
                <w:szCs w:val="24"/>
              </w:rPr>
            </w:pPr>
            <w:r>
              <w:rPr>
                <w:rFonts w:ascii="宋体" w:hAnsi="宋体" w:eastAsia="宋体" w:cs="宋体"/>
                <w:b/>
                <w:bCs/>
                <w:spacing w:val="-6"/>
                <w:sz w:val="24"/>
                <w:szCs w:val="24"/>
              </w:rPr>
              <w:t>备注</w:t>
            </w:r>
          </w:p>
        </w:tc>
      </w:tr>
      <w:tr w14:paraId="20EC42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3" w:hRule="atLeast"/>
          <w:jc w:val="center"/>
        </w:trPr>
        <w:tc>
          <w:tcPr>
            <w:tcW w:w="864" w:type="dxa"/>
            <w:noWrap w:val="0"/>
            <w:vAlign w:val="top"/>
          </w:tcPr>
          <w:p w14:paraId="337E859F">
            <w:pPr>
              <w:rPr>
                <w:rFonts w:ascii="Arial"/>
                <w:sz w:val="21"/>
              </w:rPr>
            </w:pPr>
          </w:p>
        </w:tc>
        <w:tc>
          <w:tcPr>
            <w:tcW w:w="2228" w:type="dxa"/>
            <w:noWrap w:val="0"/>
            <w:vAlign w:val="top"/>
          </w:tcPr>
          <w:p w14:paraId="130DC119">
            <w:pPr>
              <w:rPr>
                <w:rFonts w:ascii="Arial"/>
                <w:sz w:val="21"/>
              </w:rPr>
            </w:pPr>
          </w:p>
        </w:tc>
        <w:tc>
          <w:tcPr>
            <w:tcW w:w="3497" w:type="dxa"/>
            <w:noWrap w:val="0"/>
            <w:vAlign w:val="top"/>
          </w:tcPr>
          <w:p w14:paraId="36EDF4CB">
            <w:pPr>
              <w:spacing w:before="111" w:line="237" w:lineRule="auto"/>
              <w:ind w:left="143" w:right="2"/>
              <w:jc w:val="both"/>
              <w:rPr>
                <w:rFonts w:ascii="宋体" w:hAnsi="宋体" w:eastAsia="宋体" w:cs="宋体"/>
                <w:sz w:val="21"/>
                <w:szCs w:val="21"/>
              </w:rPr>
            </w:pPr>
            <w:r>
              <w:rPr>
                <w:rFonts w:ascii="宋体" w:hAnsi="宋体" w:eastAsia="宋体" w:cs="宋体"/>
                <w:spacing w:val="-2"/>
                <w:sz w:val="21"/>
                <w:szCs w:val="21"/>
              </w:rPr>
              <w:t>员通报。其中，重大事故隐患排</w:t>
            </w:r>
            <w:r>
              <w:rPr>
                <w:rFonts w:ascii="宋体" w:hAnsi="宋体" w:eastAsia="宋体" w:cs="宋体"/>
                <w:spacing w:val="11"/>
                <w:sz w:val="21"/>
                <w:szCs w:val="21"/>
              </w:rPr>
              <w:t>查治理情况应当及时向负有安</w:t>
            </w:r>
            <w:r>
              <w:rPr>
                <w:rFonts w:ascii="宋体" w:hAnsi="宋体" w:eastAsia="宋体" w:cs="宋体"/>
                <w:spacing w:val="13"/>
                <w:sz w:val="21"/>
                <w:szCs w:val="21"/>
              </w:rPr>
              <w:t>全生产监督管理职责的部门和</w:t>
            </w:r>
            <w:r>
              <w:rPr>
                <w:rFonts w:ascii="宋体" w:hAnsi="宋体" w:eastAsia="宋体" w:cs="宋体"/>
                <w:spacing w:val="11"/>
                <w:sz w:val="21"/>
                <w:szCs w:val="21"/>
              </w:rPr>
              <w:t>职工大会或者职工代表大会报</w:t>
            </w:r>
            <w:r>
              <w:rPr>
                <w:rFonts w:ascii="宋体" w:hAnsi="宋体" w:eastAsia="宋体" w:cs="宋体"/>
                <w:spacing w:val="-8"/>
                <w:sz w:val="21"/>
                <w:szCs w:val="21"/>
              </w:rPr>
              <w:t>告。</w:t>
            </w:r>
          </w:p>
        </w:tc>
        <w:tc>
          <w:tcPr>
            <w:tcW w:w="3797" w:type="dxa"/>
            <w:noWrap w:val="0"/>
            <w:vAlign w:val="top"/>
          </w:tcPr>
          <w:p w14:paraId="5B954D73">
            <w:pPr>
              <w:spacing w:before="109" w:line="254" w:lineRule="auto"/>
              <w:ind w:left="136"/>
              <w:jc w:val="both"/>
              <w:rPr>
                <w:rFonts w:ascii="宋体" w:hAnsi="宋体" w:eastAsia="宋体" w:cs="宋体"/>
                <w:sz w:val="21"/>
                <w:szCs w:val="21"/>
              </w:rPr>
            </w:pPr>
            <w:r>
              <w:rPr>
                <w:rFonts w:ascii="宋体" w:hAnsi="宋体" w:eastAsia="宋体" w:cs="宋体"/>
                <w:spacing w:val="23"/>
                <w:sz w:val="21"/>
                <w:szCs w:val="21"/>
              </w:rPr>
              <w:t>号)第(十六)条建立</w:t>
            </w:r>
            <w:r>
              <w:rPr>
                <w:rFonts w:ascii="宋体" w:hAnsi="宋体" w:eastAsia="宋体" w:cs="宋体"/>
                <w:spacing w:val="1"/>
                <w:sz w:val="21"/>
                <w:szCs w:val="21"/>
              </w:rPr>
              <w:t>和不断完善泄漏检测、报告、处理、消除等闭环管</w:t>
            </w:r>
            <w:r>
              <w:rPr>
                <w:rFonts w:ascii="宋体" w:hAnsi="宋体" w:eastAsia="宋体" w:cs="宋体"/>
                <w:spacing w:val="10"/>
                <w:sz w:val="21"/>
                <w:szCs w:val="21"/>
              </w:rPr>
              <w:t>理制度。建立定期检测、</w:t>
            </w:r>
            <w:r>
              <w:rPr>
                <w:rFonts w:ascii="宋体" w:hAnsi="宋体" w:eastAsia="宋体" w:cs="宋体"/>
                <w:spacing w:val="-1"/>
                <w:sz w:val="21"/>
                <w:szCs w:val="21"/>
              </w:rPr>
              <w:t>报告制度，对于装置中存在泄漏风险的部位，尤其</w:t>
            </w:r>
            <w:r>
              <w:rPr>
                <w:rFonts w:ascii="宋体" w:hAnsi="宋体" w:eastAsia="宋体" w:cs="宋体"/>
                <w:spacing w:val="1"/>
                <w:sz w:val="21"/>
                <w:szCs w:val="21"/>
              </w:rPr>
              <w:t>是受冲刷或腐蚀容易减薄的物料管线，要根据泄漏风险程度制定相应的周期</w:t>
            </w:r>
            <w:r>
              <w:rPr>
                <w:rFonts w:ascii="宋体" w:hAnsi="宋体" w:eastAsia="宋体" w:cs="宋体"/>
                <w:spacing w:val="10"/>
                <w:sz w:val="21"/>
                <w:szCs w:val="21"/>
              </w:rPr>
              <w:t>性测厚和泄漏检测计划，</w:t>
            </w:r>
            <w:r>
              <w:rPr>
                <w:rFonts w:ascii="宋体" w:hAnsi="宋体" w:eastAsia="宋体" w:cs="宋体"/>
                <w:spacing w:val="1"/>
                <w:sz w:val="21"/>
                <w:szCs w:val="21"/>
              </w:rPr>
              <w:t>并定期将检测记录的统计</w:t>
            </w:r>
            <w:r>
              <w:rPr>
                <w:rFonts w:ascii="宋体" w:hAnsi="宋体" w:eastAsia="宋体" w:cs="宋体"/>
                <w:spacing w:val="10"/>
                <w:sz w:val="21"/>
                <w:szCs w:val="21"/>
              </w:rPr>
              <w:t>结果上报给企业的生产、</w:t>
            </w:r>
            <w:r>
              <w:rPr>
                <w:rFonts w:ascii="宋体" w:hAnsi="宋体" w:eastAsia="宋体" w:cs="宋体"/>
                <w:spacing w:val="1"/>
                <w:sz w:val="21"/>
                <w:szCs w:val="21"/>
              </w:rPr>
              <w:t>设备和安全管理部门，所</w:t>
            </w:r>
            <w:r>
              <w:rPr>
                <w:rFonts w:ascii="宋体" w:hAnsi="宋体" w:eastAsia="宋体" w:cs="宋体"/>
                <w:spacing w:val="-4"/>
                <w:sz w:val="21"/>
                <w:szCs w:val="21"/>
              </w:rPr>
              <w:t>有记录数据要真实、完整、</w:t>
            </w:r>
            <w:r>
              <w:rPr>
                <w:rFonts w:ascii="宋体" w:hAnsi="宋体" w:eastAsia="宋体" w:cs="宋体"/>
                <w:spacing w:val="1"/>
                <w:sz w:val="21"/>
                <w:szCs w:val="21"/>
              </w:rPr>
              <w:t>准确。企业发现泄漏要立即处置、及时登记、尽快消除，不能立即处置的要</w:t>
            </w:r>
            <w:r>
              <w:rPr>
                <w:rFonts w:ascii="宋体" w:hAnsi="宋体" w:eastAsia="宋体" w:cs="宋体"/>
                <w:spacing w:val="-1"/>
                <w:sz w:val="21"/>
                <w:szCs w:val="21"/>
              </w:rPr>
              <w:t>采取相应的防范措施并建</w:t>
            </w:r>
            <w:r>
              <w:rPr>
                <w:rFonts w:ascii="宋体" w:hAnsi="宋体" w:eastAsia="宋体" w:cs="宋体"/>
                <w:spacing w:val="1"/>
                <w:sz w:val="21"/>
                <w:szCs w:val="21"/>
              </w:rPr>
              <w:t>立设备泄漏台账，限期整</w:t>
            </w:r>
            <w:r>
              <w:rPr>
                <w:rFonts w:ascii="宋体" w:hAnsi="宋体" w:eastAsia="宋体" w:cs="宋体"/>
                <w:spacing w:val="-4"/>
                <w:sz w:val="21"/>
                <w:szCs w:val="21"/>
              </w:rPr>
              <w:t>改。加强对有关管理规定、</w:t>
            </w:r>
            <w:r>
              <w:rPr>
                <w:rFonts w:ascii="宋体" w:hAnsi="宋体" w:eastAsia="宋体" w:cs="宋体"/>
                <w:spacing w:val="2"/>
                <w:sz w:val="21"/>
                <w:szCs w:val="21"/>
              </w:rPr>
              <w:t>操作规程、作业指导书和记录文件以及采用的检测</w:t>
            </w:r>
            <w:r>
              <w:rPr>
                <w:rFonts w:ascii="宋体" w:hAnsi="宋体" w:eastAsia="宋体" w:cs="宋体"/>
                <w:spacing w:val="1"/>
                <w:sz w:val="21"/>
                <w:szCs w:val="21"/>
              </w:rPr>
              <w:t>和评估技术标准等泄漏管</w:t>
            </w:r>
          </w:p>
        </w:tc>
        <w:tc>
          <w:tcPr>
            <w:tcW w:w="1919" w:type="dxa"/>
            <w:noWrap w:val="0"/>
            <w:vAlign w:val="top"/>
          </w:tcPr>
          <w:p w14:paraId="212F07F3">
            <w:pPr>
              <w:spacing w:before="97" w:line="241" w:lineRule="auto"/>
              <w:ind w:left="158" w:right="28"/>
              <w:jc w:val="both"/>
              <w:rPr>
                <w:rFonts w:ascii="宋体" w:hAnsi="宋体" w:eastAsia="宋体" w:cs="宋体"/>
                <w:sz w:val="21"/>
                <w:szCs w:val="21"/>
              </w:rPr>
            </w:pPr>
            <w:r>
              <w:rPr>
                <w:rFonts w:ascii="宋体" w:hAnsi="宋体" w:eastAsia="宋体" w:cs="宋体"/>
                <w:spacing w:val="23"/>
                <w:sz w:val="21"/>
                <w:szCs w:val="21"/>
              </w:rPr>
              <w:t>人员和其他直接责任人</w:t>
            </w:r>
            <w:r>
              <w:rPr>
                <w:rFonts w:ascii="宋体" w:hAnsi="宋体" w:eastAsia="宋体" w:cs="宋体"/>
                <w:spacing w:val="21"/>
                <w:sz w:val="21"/>
                <w:szCs w:val="21"/>
              </w:rPr>
              <w:t>员处五万元以上十万元</w:t>
            </w:r>
            <w:r>
              <w:rPr>
                <w:rFonts w:ascii="宋体" w:hAnsi="宋体" w:eastAsia="宋体" w:cs="宋体"/>
                <w:spacing w:val="19"/>
                <w:sz w:val="21"/>
                <w:szCs w:val="21"/>
              </w:rPr>
              <w:t>以下的罚款；构成犯罪</w:t>
            </w:r>
            <w:r>
              <w:rPr>
                <w:rFonts w:ascii="宋体" w:hAnsi="宋体" w:eastAsia="宋体" w:cs="宋体"/>
                <w:spacing w:val="1"/>
                <w:sz w:val="21"/>
                <w:szCs w:val="21"/>
              </w:rPr>
              <w:t>的，依照刑法有关规定追</w:t>
            </w:r>
            <w:r>
              <w:rPr>
                <w:rFonts w:ascii="宋体" w:hAnsi="宋体" w:eastAsia="宋体" w:cs="宋体"/>
                <w:spacing w:val="19"/>
                <w:sz w:val="21"/>
                <w:szCs w:val="21"/>
              </w:rPr>
              <w:t>究刑事责任。</w:t>
            </w:r>
          </w:p>
        </w:tc>
        <w:tc>
          <w:tcPr>
            <w:tcW w:w="1244" w:type="dxa"/>
            <w:noWrap w:val="0"/>
            <w:vAlign w:val="top"/>
          </w:tcPr>
          <w:p w14:paraId="33DCCE35">
            <w:pPr>
              <w:rPr>
                <w:rFonts w:ascii="Arial"/>
                <w:sz w:val="21"/>
              </w:rPr>
            </w:pPr>
          </w:p>
        </w:tc>
      </w:tr>
    </w:tbl>
    <w:p w14:paraId="2101E33C">
      <w:pPr>
        <w:rPr>
          <w:rFonts w:ascii="Arial"/>
          <w:sz w:val="21"/>
        </w:rPr>
      </w:pPr>
    </w:p>
    <w:p w14:paraId="5B7928A9">
      <w:pPr>
        <w:sectPr>
          <w:pgSz w:w="16840" w:h="11900"/>
          <w:pgMar w:top="1440" w:right="1080" w:bottom="1440" w:left="1080" w:header="0" w:footer="0" w:gutter="0"/>
          <w:pgNumType w:fmt="decimal"/>
          <w:cols w:space="720" w:num="1"/>
        </w:sectPr>
      </w:pPr>
    </w:p>
    <w:p w14:paraId="088083FD"/>
    <w:p w14:paraId="29651E77">
      <w:pPr>
        <w:spacing w:line="119" w:lineRule="exact"/>
      </w:pPr>
    </w:p>
    <w:tbl>
      <w:tblPr>
        <w:tblStyle w:val="12"/>
        <w:tblpPr w:leftFromText="180" w:rightFromText="180" w:vertAnchor="text" w:horzAnchor="page" w:tblpX="1621" w:tblpY="125"/>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4"/>
        <w:gridCol w:w="2228"/>
        <w:gridCol w:w="3517"/>
        <w:gridCol w:w="2868"/>
        <w:gridCol w:w="3167"/>
        <w:gridCol w:w="925"/>
      </w:tblGrid>
      <w:tr w14:paraId="7097BC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trPr>
        <w:tc>
          <w:tcPr>
            <w:tcW w:w="874" w:type="dxa"/>
            <w:noWrap w:val="0"/>
            <w:vAlign w:val="top"/>
          </w:tcPr>
          <w:p w14:paraId="47A60B89">
            <w:pPr>
              <w:spacing w:before="226" w:line="221" w:lineRule="auto"/>
              <w:ind w:left="184"/>
              <w:rPr>
                <w:rFonts w:ascii="宋体" w:hAnsi="宋体" w:eastAsia="宋体" w:cs="宋体"/>
                <w:b/>
                <w:bCs/>
                <w:sz w:val="24"/>
                <w:szCs w:val="24"/>
              </w:rPr>
            </w:pPr>
            <w:r>
              <w:rPr>
                <w:rFonts w:ascii="宋体" w:hAnsi="宋体" w:eastAsia="宋体" w:cs="宋体"/>
                <w:b/>
                <w:bCs/>
                <w:spacing w:val="7"/>
                <w:sz w:val="24"/>
                <w:szCs w:val="24"/>
              </w:rPr>
              <w:t>序号</w:t>
            </w:r>
          </w:p>
        </w:tc>
        <w:tc>
          <w:tcPr>
            <w:tcW w:w="2228" w:type="dxa"/>
            <w:noWrap w:val="0"/>
            <w:vAlign w:val="top"/>
          </w:tcPr>
          <w:p w14:paraId="2E908766">
            <w:pPr>
              <w:spacing w:before="85" w:line="219" w:lineRule="auto"/>
              <w:ind w:left="620"/>
              <w:rPr>
                <w:rFonts w:ascii="宋体" w:hAnsi="宋体" w:eastAsia="宋体" w:cs="宋体"/>
                <w:b/>
                <w:bCs/>
                <w:sz w:val="24"/>
                <w:szCs w:val="24"/>
              </w:rPr>
            </w:pPr>
            <w:r>
              <w:rPr>
                <w:rFonts w:ascii="宋体" w:hAnsi="宋体" w:eastAsia="宋体" w:cs="宋体"/>
                <w:b/>
                <w:bCs/>
                <w:spacing w:val="3"/>
                <w:sz w:val="24"/>
                <w:szCs w:val="24"/>
              </w:rPr>
              <w:t>执法检查</w:t>
            </w:r>
          </w:p>
          <w:p w14:paraId="6C847764">
            <w:pPr>
              <w:spacing w:before="44" w:line="200" w:lineRule="auto"/>
              <w:ind w:left="380"/>
              <w:rPr>
                <w:rFonts w:ascii="宋体" w:hAnsi="宋体" w:eastAsia="宋体" w:cs="宋体"/>
                <w:b/>
                <w:bCs/>
                <w:sz w:val="24"/>
                <w:szCs w:val="24"/>
              </w:rPr>
            </w:pPr>
            <w:r>
              <w:rPr>
                <w:rFonts w:ascii="宋体" w:hAnsi="宋体" w:eastAsia="宋体" w:cs="宋体"/>
                <w:b/>
                <w:bCs/>
                <w:spacing w:val="2"/>
                <w:sz w:val="24"/>
                <w:szCs w:val="24"/>
              </w:rPr>
              <w:t>重点事项内容</w:t>
            </w:r>
          </w:p>
        </w:tc>
        <w:tc>
          <w:tcPr>
            <w:tcW w:w="3517" w:type="dxa"/>
            <w:noWrap w:val="0"/>
            <w:vAlign w:val="top"/>
          </w:tcPr>
          <w:p w14:paraId="6DFEDBEF">
            <w:pPr>
              <w:spacing w:before="223" w:line="219" w:lineRule="auto"/>
              <w:ind w:left="1042"/>
              <w:rPr>
                <w:rFonts w:ascii="宋体" w:hAnsi="宋体" w:eastAsia="宋体" w:cs="宋体"/>
                <w:b/>
                <w:bCs/>
                <w:sz w:val="24"/>
                <w:szCs w:val="24"/>
              </w:rPr>
            </w:pPr>
            <w:r>
              <w:rPr>
                <w:rFonts w:ascii="宋体" w:hAnsi="宋体" w:eastAsia="宋体" w:cs="宋体"/>
                <w:b/>
                <w:bCs/>
                <w:spacing w:val="2"/>
                <w:sz w:val="24"/>
                <w:szCs w:val="24"/>
              </w:rPr>
              <w:t>执法检查依据</w:t>
            </w:r>
          </w:p>
        </w:tc>
        <w:tc>
          <w:tcPr>
            <w:tcW w:w="2868" w:type="dxa"/>
            <w:noWrap w:val="0"/>
            <w:vAlign w:val="top"/>
          </w:tcPr>
          <w:p w14:paraId="78180439">
            <w:pPr>
              <w:spacing w:before="65" w:line="220" w:lineRule="auto"/>
              <w:ind w:left="835"/>
              <w:rPr>
                <w:rFonts w:ascii="宋体" w:hAnsi="宋体" w:eastAsia="宋体" w:cs="宋体"/>
                <w:b/>
                <w:bCs/>
                <w:sz w:val="24"/>
                <w:szCs w:val="24"/>
              </w:rPr>
            </w:pPr>
            <w:r>
              <w:rPr>
                <w:rFonts w:ascii="宋体" w:hAnsi="宋体" w:eastAsia="宋体" w:cs="宋体"/>
                <w:b/>
                <w:bCs/>
                <w:spacing w:val="-2"/>
                <w:sz w:val="24"/>
                <w:szCs w:val="24"/>
              </w:rPr>
              <w:t>有关规范性</w:t>
            </w:r>
          </w:p>
          <w:p w14:paraId="3CA2BE68">
            <w:pPr>
              <w:spacing w:before="53" w:line="207" w:lineRule="auto"/>
              <w:ind w:left="605"/>
              <w:rPr>
                <w:rFonts w:ascii="宋体" w:hAnsi="宋体" w:eastAsia="宋体" w:cs="宋体"/>
                <w:b/>
                <w:bCs/>
                <w:sz w:val="24"/>
                <w:szCs w:val="24"/>
              </w:rPr>
            </w:pPr>
            <w:r>
              <w:rPr>
                <w:rFonts w:ascii="宋体" w:hAnsi="宋体" w:eastAsia="宋体" w:cs="宋体"/>
                <w:b/>
                <w:bCs/>
                <w:spacing w:val="1"/>
                <w:sz w:val="24"/>
                <w:szCs w:val="24"/>
              </w:rPr>
              <w:t>文件及标准要求</w:t>
            </w:r>
          </w:p>
        </w:tc>
        <w:tc>
          <w:tcPr>
            <w:tcW w:w="3167" w:type="dxa"/>
            <w:noWrap w:val="0"/>
            <w:vAlign w:val="top"/>
          </w:tcPr>
          <w:p w14:paraId="001FA561">
            <w:pPr>
              <w:spacing w:before="223" w:line="219" w:lineRule="auto"/>
              <w:ind w:left="957"/>
              <w:rPr>
                <w:rFonts w:ascii="宋体" w:hAnsi="宋体" w:eastAsia="宋体" w:cs="宋体"/>
                <w:b/>
                <w:bCs/>
                <w:sz w:val="24"/>
                <w:szCs w:val="24"/>
              </w:rPr>
            </w:pPr>
            <w:r>
              <w:rPr>
                <w:rFonts w:ascii="宋体" w:hAnsi="宋体" w:eastAsia="宋体" w:cs="宋体"/>
                <w:b/>
                <w:bCs/>
                <w:spacing w:val="8"/>
                <w:sz w:val="24"/>
                <w:szCs w:val="24"/>
              </w:rPr>
              <w:t>处罚依据</w:t>
            </w:r>
          </w:p>
        </w:tc>
        <w:tc>
          <w:tcPr>
            <w:tcW w:w="925" w:type="dxa"/>
            <w:noWrap w:val="0"/>
            <w:vAlign w:val="top"/>
          </w:tcPr>
          <w:p w14:paraId="11FB5F64">
            <w:pPr>
              <w:spacing w:before="226" w:line="221" w:lineRule="auto"/>
              <w:ind w:left="409"/>
              <w:rPr>
                <w:rFonts w:ascii="宋体" w:hAnsi="宋体" w:eastAsia="宋体" w:cs="宋体"/>
                <w:b/>
                <w:bCs/>
                <w:sz w:val="24"/>
                <w:szCs w:val="24"/>
              </w:rPr>
            </w:pPr>
            <w:r>
              <w:rPr>
                <w:rFonts w:ascii="宋体" w:hAnsi="宋体" w:eastAsia="宋体" w:cs="宋体"/>
                <w:b/>
                <w:bCs/>
                <w:spacing w:val="6"/>
                <w:sz w:val="24"/>
                <w:szCs w:val="24"/>
              </w:rPr>
              <w:t>备注</w:t>
            </w:r>
          </w:p>
        </w:tc>
      </w:tr>
      <w:tr w14:paraId="4A5A68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8" w:hRule="atLeast"/>
        </w:trPr>
        <w:tc>
          <w:tcPr>
            <w:tcW w:w="874" w:type="dxa"/>
            <w:noWrap w:val="0"/>
            <w:vAlign w:val="top"/>
          </w:tcPr>
          <w:p w14:paraId="44459CAC">
            <w:pPr>
              <w:spacing w:before="109" w:line="254" w:lineRule="auto"/>
              <w:ind w:left="136"/>
              <w:jc w:val="both"/>
              <w:rPr>
                <w:rFonts w:ascii="宋体" w:hAnsi="宋体" w:eastAsia="宋体" w:cs="宋体"/>
                <w:spacing w:val="10"/>
                <w:sz w:val="23"/>
                <w:szCs w:val="23"/>
              </w:rPr>
            </w:pPr>
          </w:p>
        </w:tc>
        <w:tc>
          <w:tcPr>
            <w:tcW w:w="2228" w:type="dxa"/>
            <w:noWrap w:val="0"/>
            <w:vAlign w:val="top"/>
          </w:tcPr>
          <w:p w14:paraId="63C20BBD">
            <w:pPr>
              <w:spacing w:before="109" w:line="254" w:lineRule="auto"/>
              <w:ind w:left="136"/>
              <w:jc w:val="both"/>
              <w:rPr>
                <w:rFonts w:ascii="宋体" w:hAnsi="宋体" w:eastAsia="宋体" w:cs="宋体"/>
                <w:spacing w:val="10"/>
                <w:sz w:val="21"/>
                <w:szCs w:val="21"/>
              </w:rPr>
            </w:pPr>
          </w:p>
        </w:tc>
        <w:tc>
          <w:tcPr>
            <w:tcW w:w="3517" w:type="dxa"/>
            <w:noWrap w:val="0"/>
            <w:vAlign w:val="top"/>
          </w:tcPr>
          <w:p w14:paraId="5AD3E1F7">
            <w:pPr>
              <w:spacing w:before="109" w:line="254" w:lineRule="auto"/>
              <w:ind w:left="136"/>
              <w:jc w:val="both"/>
              <w:rPr>
                <w:rFonts w:ascii="宋体" w:hAnsi="宋体" w:eastAsia="宋体" w:cs="宋体"/>
                <w:spacing w:val="10"/>
                <w:sz w:val="21"/>
                <w:szCs w:val="21"/>
              </w:rPr>
            </w:pPr>
          </w:p>
        </w:tc>
        <w:tc>
          <w:tcPr>
            <w:tcW w:w="2868" w:type="dxa"/>
            <w:noWrap w:val="0"/>
            <w:vAlign w:val="top"/>
          </w:tcPr>
          <w:p w14:paraId="7C1CBABF">
            <w:pPr>
              <w:spacing w:before="109" w:line="254" w:lineRule="auto"/>
              <w:ind w:left="136"/>
              <w:jc w:val="both"/>
              <w:rPr>
                <w:rFonts w:ascii="宋体" w:hAnsi="宋体" w:eastAsia="宋体" w:cs="宋体"/>
                <w:spacing w:val="10"/>
                <w:sz w:val="21"/>
                <w:szCs w:val="21"/>
              </w:rPr>
            </w:pPr>
            <w:r>
              <w:rPr>
                <w:rFonts w:ascii="宋体" w:hAnsi="宋体" w:eastAsia="宋体" w:cs="宋体"/>
                <w:spacing w:val="10"/>
                <w:sz w:val="21"/>
                <w:szCs w:val="21"/>
              </w:rPr>
              <w:t>理文件的管理。</w:t>
            </w:r>
          </w:p>
          <w:p w14:paraId="5A76108C">
            <w:pPr>
              <w:spacing w:before="109" w:line="254" w:lineRule="auto"/>
              <w:ind w:left="136"/>
              <w:jc w:val="both"/>
              <w:rPr>
                <w:rFonts w:ascii="宋体" w:hAnsi="宋体" w:eastAsia="宋体" w:cs="宋体"/>
                <w:spacing w:val="10"/>
                <w:sz w:val="21"/>
                <w:szCs w:val="21"/>
              </w:rPr>
            </w:pPr>
            <w:r>
              <w:rPr>
                <w:rFonts w:ascii="宋体" w:hAnsi="宋体" w:eastAsia="宋体" w:cs="宋体"/>
                <w:spacing w:val="10"/>
                <w:sz w:val="21"/>
                <w:szCs w:val="21"/>
              </w:rPr>
              <w:t>3.《化工(危险化学品)企业保障生产安全十条规定》(安监总政法〔2017〕15号)第六条严禁设备设施带病运行。</w:t>
            </w:r>
          </w:p>
        </w:tc>
        <w:tc>
          <w:tcPr>
            <w:tcW w:w="3167" w:type="dxa"/>
            <w:noWrap w:val="0"/>
            <w:vAlign w:val="top"/>
          </w:tcPr>
          <w:p w14:paraId="7C8EAC37">
            <w:pPr>
              <w:spacing w:before="109" w:line="254" w:lineRule="auto"/>
              <w:ind w:left="136"/>
              <w:jc w:val="both"/>
              <w:rPr>
                <w:rFonts w:ascii="宋体" w:hAnsi="宋体" w:eastAsia="宋体" w:cs="宋体"/>
                <w:spacing w:val="10"/>
                <w:sz w:val="21"/>
                <w:szCs w:val="21"/>
              </w:rPr>
            </w:pPr>
          </w:p>
        </w:tc>
        <w:tc>
          <w:tcPr>
            <w:tcW w:w="925" w:type="dxa"/>
            <w:noWrap w:val="0"/>
            <w:vAlign w:val="top"/>
          </w:tcPr>
          <w:p w14:paraId="35CCF430">
            <w:pPr>
              <w:spacing w:before="109" w:line="254" w:lineRule="auto"/>
              <w:ind w:left="136"/>
              <w:jc w:val="both"/>
              <w:rPr>
                <w:rFonts w:ascii="宋体" w:hAnsi="宋体" w:eastAsia="宋体" w:cs="宋体"/>
                <w:spacing w:val="10"/>
                <w:sz w:val="21"/>
                <w:szCs w:val="21"/>
              </w:rPr>
            </w:pPr>
          </w:p>
        </w:tc>
      </w:tr>
      <w:tr w14:paraId="2E863B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8" w:hRule="atLeast"/>
        </w:trPr>
        <w:tc>
          <w:tcPr>
            <w:tcW w:w="874" w:type="dxa"/>
            <w:noWrap w:val="0"/>
            <w:vAlign w:val="top"/>
          </w:tcPr>
          <w:p w14:paraId="17F2DBC6">
            <w:pPr>
              <w:spacing w:before="109" w:line="254" w:lineRule="auto"/>
              <w:ind w:left="136"/>
              <w:jc w:val="both"/>
              <w:rPr>
                <w:rFonts w:ascii="宋体" w:hAnsi="宋体" w:eastAsia="宋体" w:cs="宋体"/>
                <w:spacing w:val="10"/>
                <w:sz w:val="23"/>
                <w:szCs w:val="23"/>
              </w:rPr>
            </w:pPr>
          </w:p>
          <w:p w14:paraId="3CD6A417">
            <w:pPr>
              <w:spacing w:before="109" w:line="254" w:lineRule="auto"/>
              <w:ind w:left="136"/>
              <w:jc w:val="both"/>
              <w:rPr>
                <w:rFonts w:ascii="宋体" w:hAnsi="宋体" w:eastAsia="宋体" w:cs="宋体"/>
                <w:spacing w:val="10"/>
                <w:sz w:val="23"/>
                <w:szCs w:val="23"/>
              </w:rPr>
            </w:pPr>
          </w:p>
          <w:p w14:paraId="6875980F">
            <w:pPr>
              <w:spacing w:before="109" w:line="254" w:lineRule="auto"/>
              <w:ind w:left="136"/>
              <w:jc w:val="both"/>
              <w:rPr>
                <w:rFonts w:ascii="宋体" w:hAnsi="宋体" w:eastAsia="宋体" w:cs="宋体"/>
                <w:spacing w:val="10"/>
                <w:sz w:val="23"/>
                <w:szCs w:val="23"/>
              </w:rPr>
            </w:pPr>
          </w:p>
          <w:p w14:paraId="16E932A7">
            <w:pPr>
              <w:spacing w:before="109" w:line="254" w:lineRule="auto"/>
              <w:ind w:left="136"/>
              <w:jc w:val="both"/>
              <w:rPr>
                <w:rFonts w:ascii="宋体" w:hAnsi="宋体" w:eastAsia="宋体" w:cs="宋体"/>
                <w:spacing w:val="10"/>
                <w:sz w:val="23"/>
                <w:szCs w:val="23"/>
              </w:rPr>
            </w:pPr>
          </w:p>
          <w:p w14:paraId="29BB6541">
            <w:pPr>
              <w:spacing w:before="109" w:line="254" w:lineRule="auto"/>
              <w:ind w:left="136"/>
              <w:jc w:val="both"/>
              <w:rPr>
                <w:rFonts w:ascii="宋体" w:hAnsi="宋体" w:eastAsia="宋体" w:cs="宋体"/>
                <w:spacing w:val="10"/>
                <w:sz w:val="23"/>
                <w:szCs w:val="23"/>
              </w:rPr>
            </w:pPr>
          </w:p>
          <w:p w14:paraId="52EE47FE">
            <w:pPr>
              <w:spacing w:before="109" w:line="254" w:lineRule="auto"/>
              <w:ind w:left="136"/>
              <w:jc w:val="both"/>
              <w:rPr>
                <w:rFonts w:ascii="宋体" w:hAnsi="宋体" w:eastAsia="宋体" w:cs="宋体"/>
                <w:spacing w:val="10"/>
                <w:sz w:val="23"/>
                <w:szCs w:val="23"/>
              </w:rPr>
            </w:pPr>
          </w:p>
          <w:p w14:paraId="2A98D26B">
            <w:pPr>
              <w:spacing w:before="109" w:line="254" w:lineRule="auto"/>
              <w:ind w:left="136"/>
              <w:jc w:val="both"/>
              <w:rPr>
                <w:rFonts w:ascii="宋体" w:hAnsi="宋体" w:eastAsia="宋体" w:cs="宋体"/>
                <w:spacing w:val="10"/>
                <w:sz w:val="23"/>
                <w:szCs w:val="23"/>
              </w:rPr>
            </w:pPr>
          </w:p>
          <w:p w14:paraId="5326DDC6">
            <w:pPr>
              <w:spacing w:before="109" w:line="254" w:lineRule="auto"/>
              <w:ind w:left="136"/>
              <w:jc w:val="both"/>
              <w:rPr>
                <w:rFonts w:ascii="宋体" w:hAnsi="宋体" w:eastAsia="宋体" w:cs="宋体"/>
                <w:spacing w:val="10"/>
                <w:sz w:val="23"/>
                <w:szCs w:val="23"/>
              </w:rPr>
            </w:pPr>
          </w:p>
          <w:p w14:paraId="69D9119E">
            <w:pPr>
              <w:spacing w:before="109" w:line="254" w:lineRule="auto"/>
              <w:ind w:left="136"/>
              <w:jc w:val="both"/>
              <w:rPr>
                <w:rFonts w:ascii="宋体" w:hAnsi="宋体" w:eastAsia="宋体" w:cs="宋体"/>
                <w:spacing w:val="10"/>
                <w:sz w:val="23"/>
                <w:szCs w:val="23"/>
              </w:rPr>
            </w:pPr>
          </w:p>
          <w:p w14:paraId="00899D5D">
            <w:pPr>
              <w:spacing w:before="109" w:line="254" w:lineRule="auto"/>
              <w:ind w:left="136"/>
              <w:jc w:val="both"/>
              <w:rPr>
                <w:rFonts w:ascii="宋体" w:hAnsi="宋体" w:eastAsia="宋体" w:cs="宋体"/>
                <w:spacing w:val="10"/>
                <w:sz w:val="23"/>
                <w:szCs w:val="23"/>
              </w:rPr>
            </w:pPr>
          </w:p>
          <w:p w14:paraId="66E153DB">
            <w:pPr>
              <w:spacing w:before="109" w:line="254" w:lineRule="auto"/>
              <w:ind w:left="136"/>
              <w:jc w:val="both"/>
              <w:rPr>
                <w:rFonts w:hint="eastAsia" w:ascii="宋体" w:hAnsi="宋体" w:eastAsia="宋体" w:cs="宋体"/>
                <w:spacing w:val="10"/>
                <w:sz w:val="23"/>
                <w:szCs w:val="23"/>
                <w:lang w:val="en-US" w:eastAsia="zh-CN"/>
              </w:rPr>
            </w:pPr>
            <w:r>
              <w:rPr>
                <w:rFonts w:hint="eastAsia" w:ascii="宋体" w:hAnsi="宋体" w:eastAsia="宋体" w:cs="宋体"/>
                <w:spacing w:val="10"/>
                <w:sz w:val="23"/>
                <w:szCs w:val="23"/>
                <w:lang w:val="en-US" w:eastAsia="zh-CN"/>
              </w:rPr>
              <w:t>4</w:t>
            </w:r>
          </w:p>
        </w:tc>
        <w:tc>
          <w:tcPr>
            <w:tcW w:w="2228" w:type="dxa"/>
            <w:noWrap w:val="0"/>
            <w:vAlign w:val="top"/>
          </w:tcPr>
          <w:p w14:paraId="0997F926">
            <w:pPr>
              <w:spacing w:before="109" w:line="254" w:lineRule="auto"/>
              <w:ind w:left="136"/>
              <w:jc w:val="both"/>
              <w:rPr>
                <w:rFonts w:ascii="宋体" w:hAnsi="宋体" w:eastAsia="宋体" w:cs="宋体"/>
                <w:spacing w:val="10"/>
                <w:sz w:val="21"/>
                <w:szCs w:val="21"/>
              </w:rPr>
            </w:pPr>
          </w:p>
          <w:p w14:paraId="2A1261CE">
            <w:pPr>
              <w:spacing w:before="109" w:line="254" w:lineRule="auto"/>
              <w:ind w:left="136"/>
              <w:jc w:val="both"/>
              <w:rPr>
                <w:rFonts w:ascii="宋体" w:hAnsi="宋体" w:eastAsia="宋体" w:cs="宋体"/>
                <w:spacing w:val="10"/>
                <w:sz w:val="21"/>
                <w:szCs w:val="21"/>
              </w:rPr>
            </w:pPr>
          </w:p>
          <w:p w14:paraId="72EC605F">
            <w:pPr>
              <w:spacing w:before="109" w:line="254" w:lineRule="auto"/>
              <w:ind w:left="136"/>
              <w:jc w:val="both"/>
              <w:rPr>
                <w:rFonts w:ascii="宋体" w:hAnsi="宋体" w:eastAsia="宋体" w:cs="宋体"/>
                <w:spacing w:val="10"/>
                <w:sz w:val="21"/>
                <w:szCs w:val="21"/>
              </w:rPr>
            </w:pPr>
          </w:p>
          <w:p w14:paraId="2F307EBC">
            <w:pPr>
              <w:spacing w:before="109" w:line="254" w:lineRule="auto"/>
              <w:ind w:left="136"/>
              <w:jc w:val="both"/>
              <w:rPr>
                <w:rFonts w:ascii="宋体" w:hAnsi="宋体" w:eastAsia="宋体" w:cs="宋体"/>
                <w:spacing w:val="10"/>
                <w:sz w:val="21"/>
                <w:szCs w:val="21"/>
              </w:rPr>
            </w:pPr>
          </w:p>
          <w:p w14:paraId="54A720DE">
            <w:pPr>
              <w:spacing w:before="109" w:line="254" w:lineRule="auto"/>
              <w:ind w:left="136"/>
              <w:jc w:val="both"/>
              <w:rPr>
                <w:rFonts w:ascii="宋体" w:hAnsi="宋体" w:eastAsia="宋体" w:cs="宋体"/>
                <w:spacing w:val="10"/>
                <w:sz w:val="21"/>
                <w:szCs w:val="21"/>
              </w:rPr>
            </w:pPr>
          </w:p>
          <w:p w14:paraId="64793DE1">
            <w:pPr>
              <w:spacing w:before="109" w:line="254" w:lineRule="auto"/>
              <w:ind w:left="136"/>
              <w:jc w:val="both"/>
              <w:rPr>
                <w:rFonts w:ascii="宋体" w:hAnsi="宋体" w:eastAsia="宋体" w:cs="宋体"/>
                <w:spacing w:val="10"/>
                <w:sz w:val="21"/>
                <w:szCs w:val="21"/>
              </w:rPr>
            </w:pPr>
          </w:p>
          <w:p w14:paraId="1CB3F6B2">
            <w:pPr>
              <w:spacing w:before="109" w:line="254" w:lineRule="auto"/>
              <w:ind w:left="136"/>
              <w:jc w:val="both"/>
              <w:rPr>
                <w:rFonts w:ascii="宋体" w:hAnsi="宋体" w:eastAsia="宋体" w:cs="宋体"/>
                <w:spacing w:val="10"/>
                <w:sz w:val="21"/>
                <w:szCs w:val="21"/>
              </w:rPr>
            </w:pPr>
            <w:r>
              <w:rPr>
                <w:rFonts w:ascii="宋体" w:hAnsi="宋体" w:eastAsia="宋体" w:cs="宋体"/>
                <w:spacing w:val="10"/>
                <w:sz w:val="21"/>
                <w:szCs w:val="21"/>
              </w:rPr>
              <w:t>涉及重大危险源、重点监管危险化工工艺的生产装置、储存设施的安全联锁摘除未履行手</w:t>
            </w:r>
          </w:p>
          <w:p w14:paraId="76A4FC67">
            <w:pPr>
              <w:spacing w:before="109" w:line="254" w:lineRule="auto"/>
              <w:ind w:left="136"/>
              <w:jc w:val="both"/>
              <w:rPr>
                <w:rFonts w:ascii="宋体" w:hAnsi="宋体" w:eastAsia="宋体" w:cs="宋体"/>
                <w:spacing w:val="10"/>
                <w:sz w:val="21"/>
                <w:szCs w:val="21"/>
              </w:rPr>
            </w:pPr>
            <w:r>
              <w:rPr>
                <w:rFonts w:ascii="宋体" w:hAnsi="宋体" w:eastAsia="宋体" w:cs="宋体"/>
                <w:spacing w:val="10"/>
                <w:sz w:val="21"/>
                <w:szCs w:val="21"/>
              </w:rPr>
              <w:t>续，或者未及时恢复。</w:t>
            </w:r>
          </w:p>
        </w:tc>
        <w:tc>
          <w:tcPr>
            <w:tcW w:w="3517" w:type="dxa"/>
            <w:noWrap w:val="0"/>
            <w:vAlign w:val="top"/>
          </w:tcPr>
          <w:p w14:paraId="42EA7C1A">
            <w:pPr>
              <w:spacing w:before="109" w:line="254" w:lineRule="auto"/>
              <w:ind w:left="136"/>
              <w:jc w:val="both"/>
              <w:rPr>
                <w:rFonts w:ascii="宋体" w:hAnsi="宋体" w:eastAsia="宋体" w:cs="宋体"/>
                <w:spacing w:val="10"/>
                <w:sz w:val="21"/>
                <w:szCs w:val="21"/>
              </w:rPr>
            </w:pPr>
          </w:p>
          <w:p w14:paraId="4CB45933">
            <w:pPr>
              <w:spacing w:before="109" w:line="254" w:lineRule="auto"/>
              <w:ind w:left="136"/>
              <w:jc w:val="both"/>
              <w:rPr>
                <w:rFonts w:ascii="宋体" w:hAnsi="宋体" w:eastAsia="宋体" w:cs="宋体"/>
                <w:spacing w:val="10"/>
                <w:sz w:val="21"/>
                <w:szCs w:val="21"/>
              </w:rPr>
            </w:pPr>
          </w:p>
          <w:p w14:paraId="6BFC8586">
            <w:pPr>
              <w:spacing w:before="109" w:line="254" w:lineRule="auto"/>
              <w:ind w:left="136"/>
              <w:jc w:val="both"/>
              <w:rPr>
                <w:rFonts w:ascii="宋体" w:hAnsi="宋体" w:eastAsia="宋体" w:cs="宋体"/>
                <w:spacing w:val="10"/>
                <w:sz w:val="21"/>
                <w:szCs w:val="21"/>
              </w:rPr>
            </w:pPr>
          </w:p>
          <w:p w14:paraId="4B9F39D7">
            <w:pPr>
              <w:spacing w:before="109" w:line="254" w:lineRule="auto"/>
              <w:ind w:left="136"/>
              <w:jc w:val="both"/>
              <w:rPr>
                <w:rFonts w:ascii="宋体" w:hAnsi="宋体" w:eastAsia="宋体" w:cs="宋体"/>
                <w:spacing w:val="10"/>
                <w:sz w:val="21"/>
                <w:szCs w:val="21"/>
              </w:rPr>
            </w:pPr>
          </w:p>
          <w:p w14:paraId="13A9E59B">
            <w:pPr>
              <w:spacing w:before="109" w:line="254" w:lineRule="auto"/>
              <w:ind w:left="136"/>
              <w:jc w:val="both"/>
              <w:rPr>
                <w:rFonts w:ascii="宋体" w:hAnsi="宋体" w:eastAsia="宋体" w:cs="宋体"/>
                <w:spacing w:val="10"/>
                <w:sz w:val="21"/>
                <w:szCs w:val="21"/>
              </w:rPr>
            </w:pPr>
            <w:r>
              <w:rPr>
                <w:rFonts w:ascii="宋体" w:hAnsi="宋体" w:eastAsia="宋体" w:cs="宋体"/>
                <w:spacing w:val="10"/>
                <w:sz w:val="21"/>
                <w:szCs w:val="21"/>
              </w:rPr>
              <w:t>《中华人民共和国安全生产法》第三十六条第一款、第三款安全设备的设计、制造、安装、使用、检测、维修、改造和报废，应当符合国家标准或者行业标准。</w:t>
            </w:r>
          </w:p>
          <w:p w14:paraId="1210AB63">
            <w:pPr>
              <w:spacing w:before="109" w:line="254" w:lineRule="auto"/>
              <w:ind w:left="136"/>
              <w:jc w:val="both"/>
              <w:rPr>
                <w:rFonts w:ascii="宋体" w:hAnsi="宋体" w:eastAsia="宋体" w:cs="宋体"/>
                <w:spacing w:val="10"/>
                <w:sz w:val="21"/>
                <w:szCs w:val="21"/>
              </w:rPr>
            </w:pPr>
            <w:r>
              <w:rPr>
                <w:rFonts w:ascii="宋体" w:hAnsi="宋体" w:eastAsia="宋体" w:cs="宋体"/>
                <w:spacing w:val="10"/>
                <w:sz w:val="21"/>
                <w:szCs w:val="21"/>
              </w:rPr>
              <w:t>生产经营单位不得关闭、破坏直接关系生产安全的监控、报警、防护、救生设备、设施，或者篡改、隐瞒、销毁其相关数据、信息。</w:t>
            </w:r>
          </w:p>
        </w:tc>
        <w:tc>
          <w:tcPr>
            <w:tcW w:w="2868" w:type="dxa"/>
            <w:noWrap w:val="0"/>
            <w:vAlign w:val="top"/>
          </w:tcPr>
          <w:p w14:paraId="264F364E">
            <w:pPr>
              <w:spacing w:before="109" w:line="254" w:lineRule="auto"/>
              <w:ind w:left="136"/>
              <w:jc w:val="both"/>
              <w:rPr>
                <w:rFonts w:ascii="宋体" w:hAnsi="宋体" w:eastAsia="宋体" w:cs="宋体"/>
                <w:spacing w:val="10"/>
                <w:sz w:val="21"/>
                <w:szCs w:val="21"/>
              </w:rPr>
            </w:pPr>
          </w:p>
          <w:p w14:paraId="648C850C">
            <w:pPr>
              <w:spacing w:before="109" w:line="254" w:lineRule="auto"/>
              <w:ind w:left="136"/>
              <w:jc w:val="both"/>
              <w:rPr>
                <w:rFonts w:ascii="宋体" w:hAnsi="宋体" w:eastAsia="宋体" w:cs="宋体"/>
                <w:spacing w:val="10"/>
                <w:sz w:val="21"/>
                <w:szCs w:val="21"/>
              </w:rPr>
            </w:pPr>
          </w:p>
          <w:p w14:paraId="136C031C">
            <w:pPr>
              <w:spacing w:before="109" w:line="254" w:lineRule="auto"/>
              <w:ind w:left="136"/>
              <w:jc w:val="both"/>
              <w:rPr>
                <w:rFonts w:ascii="宋体" w:hAnsi="宋体" w:eastAsia="宋体" w:cs="宋体"/>
                <w:spacing w:val="10"/>
                <w:sz w:val="21"/>
                <w:szCs w:val="21"/>
              </w:rPr>
            </w:pPr>
            <w:r>
              <w:rPr>
                <w:rFonts w:ascii="宋体" w:hAnsi="宋体" w:eastAsia="宋体" w:cs="宋体"/>
                <w:spacing w:val="10"/>
                <w:sz w:val="21"/>
                <w:szCs w:val="21"/>
              </w:rPr>
              <w:t>1.《关于加强化工过程安全管理的指导意见》(安监总管三〔2013〕88号)七、设备完好性(完整性)以及十、变更管理。</w:t>
            </w:r>
          </w:p>
          <w:p w14:paraId="3A8ABD5D">
            <w:pPr>
              <w:spacing w:before="109" w:line="254" w:lineRule="auto"/>
              <w:ind w:left="136"/>
              <w:jc w:val="both"/>
              <w:rPr>
                <w:rFonts w:ascii="宋体" w:hAnsi="宋体" w:eastAsia="宋体" w:cs="宋体"/>
                <w:spacing w:val="10"/>
                <w:sz w:val="21"/>
                <w:szCs w:val="21"/>
              </w:rPr>
            </w:pPr>
            <w:r>
              <w:rPr>
                <w:rFonts w:ascii="宋体" w:hAnsi="宋体" w:eastAsia="宋体" w:cs="宋体"/>
                <w:spacing w:val="10"/>
                <w:sz w:val="21"/>
                <w:szCs w:val="21"/>
              </w:rPr>
              <w:t>2.《化工(危险化学品)企业安全检查重点指导目录》(安监总管三〔2015〕113号)第二十二条安全联锁未正常投用或未经审批摘除以及经审批后临时摘除超过一个月未恢复的。</w:t>
            </w:r>
          </w:p>
        </w:tc>
        <w:tc>
          <w:tcPr>
            <w:tcW w:w="3167" w:type="dxa"/>
            <w:noWrap w:val="0"/>
            <w:vAlign w:val="top"/>
          </w:tcPr>
          <w:p w14:paraId="0855B848">
            <w:pPr>
              <w:spacing w:before="109" w:line="254" w:lineRule="auto"/>
              <w:ind w:left="136"/>
              <w:jc w:val="both"/>
              <w:rPr>
                <w:rFonts w:ascii="宋体" w:hAnsi="宋体" w:eastAsia="宋体" w:cs="宋体"/>
                <w:spacing w:val="10"/>
                <w:sz w:val="21"/>
                <w:szCs w:val="21"/>
              </w:rPr>
            </w:pPr>
            <w:r>
              <w:rPr>
                <w:rFonts w:ascii="宋体" w:hAnsi="宋体" w:eastAsia="宋体" w:cs="宋体"/>
                <w:spacing w:val="10"/>
                <w:sz w:val="21"/>
                <w:szCs w:val="21"/>
              </w:rPr>
              <w:t>《中华人民共和国安全生产法》第九十九条第二项、第四项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14:paraId="37F068C0">
            <w:pPr>
              <w:spacing w:before="109" w:line="254" w:lineRule="auto"/>
              <w:ind w:left="136"/>
              <w:jc w:val="both"/>
              <w:rPr>
                <w:rFonts w:ascii="宋体" w:hAnsi="宋体" w:eastAsia="宋体" w:cs="宋体"/>
                <w:spacing w:val="10"/>
                <w:sz w:val="21"/>
                <w:szCs w:val="21"/>
              </w:rPr>
            </w:pPr>
            <w:r>
              <w:rPr>
                <w:rFonts w:ascii="宋体" w:hAnsi="宋体" w:eastAsia="宋体" w:cs="宋体"/>
                <w:spacing w:val="10"/>
                <w:sz w:val="21"/>
                <w:szCs w:val="21"/>
              </w:rPr>
              <w:t>(二)安全设备的安装、使用、检测、改造和</w:t>
            </w:r>
          </w:p>
        </w:tc>
        <w:tc>
          <w:tcPr>
            <w:tcW w:w="925" w:type="dxa"/>
            <w:noWrap w:val="0"/>
            <w:vAlign w:val="top"/>
          </w:tcPr>
          <w:p w14:paraId="7CCC295E">
            <w:pPr>
              <w:spacing w:before="109" w:line="254" w:lineRule="auto"/>
              <w:ind w:left="136"/>
              <w:jc w:val="both"/>
              <w:rPr>
                <w:rFonts w:ascii="宋体" w:hAnsi="宋体" w:eastAsia="宋体" w:cs="宋体"/>
                <w:spacing w:val="10"/>
                <w:sz w:val="21"/>
                <w:szCs w:val="21"/>
              </w:rPr>
            </w:pPr>
          </w:p>
          <w:p w14:paraId="3C813C0C">
            <w:pPr>
              <w:spacing w:before="109" w:line="254" w:lineRule="auto"/>
              <w:ind w:left="136"/>
              <w:jc w:val="both"/>
              <w:rPr>
                <w:rFonts w:ascii="宋体" w:hAnsi="宋体" w:eastAsia="宋体" w:cs="宋体"/>
                <w:spacing w:val="10"/>
                <w:sz w:val="21"/>
                <w:szCs w:val="21"/>
              </w:rPr>
            </w:pPr>
          </w:p>
          <w:p w14:paraId="6899F890">
            <w:pPr>
              <w:spacing w:before="109" w:line="254" w:lineRule="auto"/>
              <w:ind w:left="136"/>
              <w:jc w:val="both"/>
              <w:rPr>
                <w:rFonts w:ascii="宋体" w:hAnsi="宋体" w:eastAsia="宋体" w:cs="宋体"/>
                <w:spacing w:val="10"/>
                <w:sz w:val="21"/>
                <w:szCs w:val="21"/>
              </w:rPr>
            </w:pPr>
          </w:p>
          <w:p w14:paraId="4FD8EA5D">
            <w:pPr>
              <w:spacing w:before="109" w:line="254" w:lineRule="auto"/>
              <w:ind w:left="136"/>
              <w:jc w:val="both"/>
              <w:rPr>
                <w:rFonts w:ascii="宋体" w:hAnsi="宋体" w:eastAsia="宋体" w:cs="宋体"/>
                <w:spacing w:val="10"/>
                <w:sz w:val="21"/>
                <w:szCs w:val="21"/>
              </w:rPr>
            </w:pPr>
          </w:p>
          <w:p w14:paraId="62D30D76">
            <w:pPr>
              <w:spacing w:before="109" w:line="254" w:lineRule="auto"/>
              <w:ind w:left="136"/>
              <w:jc w:val="both"/>
              <w:rPr>
                <w:rFonts w:ascii="宋体" w:hAnsi="宋体" w:eastAsia="宋体" w:cs="宋体"/>
                <w:spacing w:val="10"/>
                <w:sz w:val="21"/>
                <w:szCs w:val="21"/>
              </w:rPr>
            </w:pPr>
          </w:p>
          <w:p w14:paraId="4AFEA1B2">
            <w:pPr>
              <w:spacing w:before="109" w:line="254" w:lineRule="auto"/>
              <w:ind w:left="136"/>
              <w:jc w:val="both"/>
              <w:rPr>
                <w:rFonts w:ascii="宋体" w:hAnsi="宋体" w:eastAsia="宋体" w:cs="宋体"/>
                <w:spacing w:val="10"/>
                <w:sz w:val="21"/>
                <w:szCs w:val="21"/>
              </w:rPr>
            </w:pPr>
          </w:p>
          <w:p w14:paraId="4069F4F0">
            <w:pPr>
              <w:spacing w:before="109" w:line="254" w:lineRule="auto"/>
              <w:ind w:left="136"/>
              <w:jc w:val="both"/>
              <w:rPr>
                <w:rFonts w:ascii="宋体" w:hAnsi="宋体" w:eastAsia="宋体" w:cs="宋体"/>
                <w:spacing w:val="10"/>
                <w:sz w:val="21"/>
                <w:szCs w:val="21"/>
              </w:rPr>
            </w:pPr>
          </w:p>
          <w:p w14:paraId="7D9F630A">
            <w:pPr>
              <w:spacing w:before="109" w:line="254" w:lineRule="auto"/>
              <w:ind w:left="136"/>
              <w:jc w:val="both"/>
              <w:rPr>
                <w:rFonts w:ascii="宋体" w:hAnsi="宋体" w:eastAsia="宋体" w:cs="宋体"/>
                <w:spacing w:val="10"/>
                <w:sz w:val="21"/>
                <w:szCs w:val="21"/>
              </w:rPr>
            </w:pPr>
          </w:p>
          <w:p w14:paraId="49EB8254">
            <w:pPr>
              <w:spacing w:before="109" w:line="254" w:lineRule="auto"/>
              <w:ind w:left="136"/>
              <w:jc w:val="both"/>
              <w:rPr>
                <w:rFonts w:ascii="宋体" w:hAnsi="宋体" w:eastAsia="宋体" w:cs="宋体"/>
                <w:spacing w:val="10"/>
                <w:sz w:val="21"/>
                <w:szCs w:val="21"/>
              </w:rPr>
            </w:pPr>
          </w:p>
          <w:p w14:paraId="074897C5">
            <w:pPr>
              <w:spacing w:before="109" w:line="254" w:lineRule="auto"/>
              <w:ind w:left="136"/>
              <w:jc w:val="both"/>
              <w:rPr>
                <w:rFonts w:ascii="宋体" w:hAnsi="宋体" w:eastAsia="宋体" w:cs="宋体"/>
                <w:spacing w:val="10"/>
                <w:sz w:val="21"/>
                <w:szCs w:val="21"/>
              </w:rPr>
            </w:pPr>
            <w:r>
              <w:rPr>
                <w:rFonts w:ascii="宋体" w:hAnsi="宋体" w:eastAsia="宋体" w:cs="宋体"/>
                <w:spacing w:val="10"/>
                <w:sz w:val="21"/>
                <w:szCs w:val="21"/>
              </w:rPr>
              <w:t>生产装置带"病"运行管理</w:t>
            </w:r>
          </w:p>
        </w:tc>
      </w:tr>
    </w:tbl>
    <w:p w14:paraId="1F1522E2">
      <w:pPr>
        <w:rPr>
          <w:rFonts w:ascii="Arial"/>
          <w:sz w:val="21"/>
        </w:rPr>
      </w:pPr>
    </w:p>
    <w:p w14:paraId="1DD4B278">
      <w:pPr>
        <w:sectPr>
          <w:pgSz w:w="16840" w:h="11900"/>
          <w:pgMar w:top="1440" w:right="1080" w:bottom="1440" w:left="1080" w:header="0" w:footer="0" w:gutter="0"/>
          <w:pgNumType w:fmt="decimal"/>
          <w:cols w:space="720" w:num="1"/>
        </w:sectPr>
      </w:pPr>
    </w:p>
    <w:p w14:paraId="339178DD"/>
    <w:p w14:paraId="7F35943A">
      <w:pPr>
        <w:spacing w:line="230" w:lineRule="exact"/>
      </w:pP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4"/>
        <w:gridCol w:w="2228"/>
        <w:gridCol w:w="3498"/>
        <w:gridCol w:w="2878"/>
        <w:gridCol w:w="2848"/>
        <w:gridCol w:w="1244"/>
      </w:tblGrid>
      <w:tr w14:paraId="69139F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jc w:val="center"/>
        </w:trPr>
        <w:tc>
          <w:tcPr>
            <w:tcW w:w="864" w:type="dxa"/>
            <w:noWrap w:val="0"/>
            <w:vAlign w:val="top"/>
          </w:tcPr>
          <w:p w14:paraId="6033CEE3">
            <w:pPr>
              <w:spacing w:before="226" w:line="221" w:lineRule="auto"/>
              <w:ind w:left="184"/>
              <w:rPr>
                <w:rFonts w:ascii="宋体" w:hAnsi="宋体" w:eastAsia="宋体" w:cs="宋体"/>
                <w:b/>
                <w:bCs/>
                <w:sz w:val="24"/>
                <w:szCs w:val="24"/>
              </w:rPr>
            </w:pPr>
            <w:r>
              <w:rPr>
                <w:rFonts w:ascii="宋体" w:hAnsi="宋体" w:eastAsia="宋体" w:cs="宋体"/>
                <w:b/>
                <w:bCs/>
                <w:spacing w:val="7"/>
                <w:sz w:val="24"/>
                <w:szCs w:val="24"/>
              </w:rPr>
              <w:t>序号</w:t>
            </w:r>
          </w:p>
        </w:tc>
        <w:tc>
          <w:tcPr>
            <w:tcW w:w="2228" w:type="dxa"/>
            <w:noWrap w:val="0"/>
            <w:vAlign w:val="top"/>
          </w:tcPr>
          <w:p w14:paraId="0CD76F05">
            <w:pPr>
              <w:spacing w:before="85" w:line="219" w:lineRule="auto"/>
              <w:ind w:left="621"/>
              <w:rPr>
                <w:rFonts w:ascii="宋体" w:hAnsi="宋体" w:eastAsia="宋体" w:cs="宋体"/>
                <w:b/>
                <w:bCs/>
                <w:sz w:val="24"/>
                <w:szCs w:val="24"/>
              </w:rPr>
            </w:pPr>
            <w:r>
              <w:rPr>
                <w:rFonts w:ascii="宋体" w:hAnsi="宋体" w:eastAsia="宋体" w:cs="宋体"/>
                <w:b/>
                <w:bCs/>
                <w:spacing w:val="3"/>
                <w:sz w:val="24"/>
                <w:szCs w:val="24"/>
              </w:rPr>
              <w:t>执法检查</w:t>
            </w:r>
          </w:p>
          <w:p w14:paraId="5B17FB2D">
            <w:pPr>
              <w:spacing w:before="54" w:line="192" w:lineRule="auto"/>
              <w:ind w:left="381"/>
              <w:rPr>
                <w:rFonts w:ascii="宋体" w:hAnsi="宋体" w:eastAsia="宋体" w:cs="宋体"/>
                <w:b/>
                <w:bCs/>
                <w:sz w:val="24"/>
                <w:szCs w:val="24"/>
              </w:rPr>
            </w:pPr>
            <w:r>
              <w:rPr>
                <w:rFonts w:ascii="宋体" w:hAnsi="宋体" w:eastAsia="宋体" w:cs="宋体"/>
                <w:b/>
                <w:bCs/>
                <w:spacing w:val="2"/>
                <w:sz w:val="24"/>
                <w:szCs w:val="24"/>
              </w:rPr>
              <w:t>重点事项内容</w:t>
            </w:r>
          </w:p>
        </w:tc>
        <w:tc>
          <w:tcPr>
            <w:tcW w:w="3498" w:type="dxa"/>
            <w:noWrap w:val="0"/>
            <w:vAlign w:val="top"/>
          </w:tcPr>
          <w:p w14:paraId="297BCD62">
            <w:pPr>
              <w:spacing w:before="223" w:line="219" w:lineRule="auto"/>
              <w:ind w:left="1023"/>
              <w:rPr>
                <w:rFonts w:ascii="宋体" w:hAnsi="宋体" w:eastAsia="宋体" w:cs="宋体"/>
                <w:b/>
                <w:bCs/>
                <w:sz w:val="24"/>
                <w:szCs w:val="24"/>
              </w:rPr>
            </w:pPr>
            <w:r>
              <w:rPr>
                <w:rFonts w:ascii="宋体" w:hAnsi="宋体" w:eastAsia="宋体" w:cs="宋体"/>
                <w:b/>
                <w:bCs/>
                <w:spacing w:val="2"/>
                <w:sz w:val="24"/>
                <w:szCs w:val="24"/>
              </w:rPr>
              <w:t>执法检查依据</w:t>
            </w:r>
          </w:p>
        </w:tc>
        <w:tc>
          <w:tcPr>
            <w:tcW w:w="2878" w:type="dxa"/>
            <w:noWrap w:val="0"/>
            <w:vAlign w:val="top"/>
          </w:tcPr>
          <w:p w14:paraId="443B5BD4">
            <w:pPr>
              <w:spacing w:before="85" w:line="220" w:lineRule="auto"/>
              <w:ind w:left="845"/>
              <w:rPr>
                <w:rFonts w:ascii="宋体" w:hAnsi="宋体" w:eastAsia="宋体" w:cs="宋体"/>
                <w:b/>
                <w:bCs/>
                <w:sz w:val="24"/>
                <w:szCs w:val="24"/>
              </w:rPr>
            </w:pPr>
            <w:r>
              <w:rPr>
                <w:rFonts w:ascii="宋体" w:hAnsi="宋体" w:eastAsia="宋体" w:cs="宋体"/>
                <w:b/>
                <w:bCs/>
                <w:spacing w:val="-2"/>
                <w:sz w:val="24"/>
                <w:szCs w:val="24"/>
              </w:rPr>
              <w:t>有关规范性</w:t>
            </w:r>
          </w:p>
          <w:p w14:paraId="2CF1E284">
            <w:pPr>
              <w:spacing w:before="22" w:line="215" w:lineRule="auto"/>
              <w:ind w:left="585"/>
              <w:rPr>
                <w:rFonts w:ascii="宋体" w:hAnsi="宋体" w:eastAsia="宋体" w:cs="宋体"/>
                <w:b/>
                <w:bCs/>
                <w:sz w:val="24"/>
                <w:szCs w:val="24"/>
              </w:rPr>
            </w:pPr>
            <w:r>
              <w:rPr>
                <w:rFonts w:ascii="宋体" w:hAnsi="宋体" w:eastAsia="宋体" w:cs="宋体"/>
                <w:b/>
                <w:bCs/>
                <w:spacing w:val="1"/>
                <w:sz w:val="24"/>
                <w:szCs w:val="24"/>
              </w:rPr>
              <w:t>文件及标准要求</w:t>
            </w:r>
          </w:p>
        </w:tc>
        <w:tc>
          <w:tcPr>
            <w:tcW w:w="2848" w:type="dxa"/>
            <w:noWrap w:val="0"/>
            <w:vAlign w:val="top"/>
          </w:tcPr>
          <w:p w14:paraId="25960C40">
            <w:pPr>
              <w:spacing w:before="223" w:line="219" w:lineRule="auto"/>
              <w:ind w:left="947"/>
              <w:rPr>
                <w:rFonts w:ascii="宋体" w:hAnsi="宋体" w:eastAsia="宋体" w:cs="宋体"/>
                <w:b/>
                <w:bCs/>
                <w:sz w:val="24"/>
                <w:szCs w:val="24"/>
              </w:rPr>
            </w:pPr>
            <w:r>
              <w:rPr>
                <w:rFonts w:ascii="宋体" w:hAnsi="宋体" w:eastAsia="宋体" w:cs="宋体"/>
                <w:b/>
                <w:bCs/>
                <w:spacing w:val="8"/>
                <w:sz w:val="24"/>
                <w:szCs w:val="24"/>
              </w:rPr>
              <w:t>处罚依据</w:t>
            </w:r>
          </w:p>
        </w:tc>
        <w:tc>
          <w:tcPr>
            <w:tcW w:w="1244" w:type="dxa"/>
            <w:noWrap w:val="0"/>
            <w:vAlign w:val="top"/>
          </w:tcPr>
          <w:p w14:paraId="2FA120FD">
            <w:pPr>
              <w:spacing w:before="222" w:line="221" w:lineRule="auto"/>
              <w:ind w:left="382"/>
              <w:rPr>
                <w:rFonts w:ascii="宋体" w:hAnsi="宋体" w:eastAsia="宋体" w:cs="宋体"/>
                <w:b/>
                <w:bCs/>
                <w:sz w:val="24"/>
                <w:szCs w:val="24"/>
              </w:rPr>
            </w:pPr>
            <w:r>
              <w:rPr>
                <w:rFonts w:ascii="宋体" w:hAnsi="宋体" w:eastAsia="宋体" w:cs="宋体"/>
                <w:b/>
                <w:bCs/>
                <w:spacing w:val="-6"/>
                <w:sz w:val="24"/>
                <w:szCs w:val="24"/>
              </w:rPr>
              <w:t>备注</w:t>
            </w:r>
          </w:p>
        </w:tc>
      </w:tr>
      <w:tr w14:paraId="3D6B40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6" w:hRule="atLeast"/>
          <w:jc w:val="center"/>
        </w:trPr>
        <w:tc>
          <w:tcPr>
            <w:tcW w:w="864" w:type="dxa"/>
            <w:noWrap w:val="0"/>
            <w:vAlign w:val="top"/>
          </w:tcPr>
          <w:p w14:paraId="680F5F81">
            <w:pPr>
              <w:rPr>
                <w:rFonts w:ascii="Arial"/>
                <w:sz w:val="21"/>
              </w:rPr>
            </w:pPr>
          </w:p>
        </w:tc>
        <w:tc>
          <w:tcPr>
            <w:tcW w:w="2228" w:type="dxa"/>
            <w:noWrap w:val="0"/>
            <w:vAlign w:val="top"/>
          </w:tcPr>
          <w:p w14:paraId="1532E562">
            <w:pPr>
              <w:spacing w:before="109" w:line="254" w:lineRule="auto"/>
              <w:ind w:left="136"/>
              <w:jc w:val="both"/>
              <w:rPr>
                <w:rFonts w:ascii="宋体" w:hAnsi="宋体" w:eastAsia="宋体" w:cs="宋体"/>
                <w:spacing w:val="10"/>
                <w:sz w:val="21"/>
                <w:szCs w:val="21"/>
              </w:rPr>
            </w:pPr>
          </w:p>
        </w:tc>
        <w:tc>
          <w:tcPr>
            <w:tcW w:w="3498" w:type="dxa"/>
            <w:noWrap w:val="0"/>
            <w:vAlign w:val="top"/>
          </w:tcPr>
          <w:p w14:paraId="007DA1F6">
            <w:pPr>
              <w:spacing w:before="109" w:line="254" w:lineRule="auto"/>
              <w:ind w:left="136"/>
              <w:jc w:val="both"/>
              <w:rPr>
                <w:rFonts w:ascii="宋体" w:hAnsi="宋体" w:eastAsia="宋体" w:cs="宋体"/>
                <w:spacing w:val="10"/>
                <w:sz w:val="21"/>
                <w:szCs w:val="21"/>
              </w:rPr>
            </w:pPr>
          </w:p>
        </w:tc>
        <w:tc>
          <w:tcPr>
            <w:tcW w:w="2878" w:type="dxa"/>
            <w:noWrap w:val="0"/>
            <w:vAlign w:val="top"/>
          </w:tcPr>
          <w:p w14:paraId="2B51AE4B">
            <w:pPr>
              <w:spacing w:before="109" w:line="254" w:lineRule="auto"/>
              <w:ind w:left="136"/>
              <w:jc w:val="both"/>
              <w:rPr>
                <w:rFonts w:ascii="宋体" w:hAnsi="宋体" w:eastAsia="宋体" w:cs="宋体"/>
                <w:spacing w:val="10"/>
                <w:sz w:val="21"/>
                <w:szCs w:val="21"/>
              </w:rPr>
            </w:pPr>
          </w:p>
        </w:tc>
        <w:tc>
          <w:tcPr>
            <w:tcW w:w="2848" w:type="dxa"/>
            <w:noWrap w:val="0"/>
            <w:vAlign w:val="top"/>
          </w:tcPr>
          <w:p w14:paraId="7BB2C0F1">
            <w:pPr>
              <w:spacing w:before="109" w:line="254" w:lineRule="auto"/>
              <w:ind w:left="136"/>
              <w:jc w:val="both"/>
              <w:rPr>
                <w:rFonts w:ascii="宋体" w:hAnsi="宋体" w:eastAsia="宋体" w:cs="宋体"/>
                <w:spacing w:val="10"/>
                <w:sz w:val="21"/>
                <w:szCs w:val="21"/>
              </w:rPr>
            </w:pPr>
            <w:r>
              <w:rPr>
                <w:rFonts w:ascii="宋体" w:hAnsi="宋体" w:eastAsia="宋体" w:cs="宋体"/>
                <w:spacing w:val="10"/>
                <w:sz w:val="21"/>
                <w:szCs w:val="21"/>
              </w:rPr>
              <w:t>报废不符合国家标准或者行业标准的；</w:t>
            </w:r>
          </w:p>
          <w:p w14:paraId="6DDBAB99">
            <w:pPr>
              <w:spacing w:before="109" w:line="254" w:lineRule="auto"/>
              <w:ind w:left="136"/>
              <w:jc w:val="both"/>
              <w:rPr>
                <w:rFonts w:ascii="宋体" w:hAnsi="宋体" w:eastAsia="宋体" w:cs="宋体"/>
                <w:spacing w:val="10"/>
                <w:sz w:val="21"/>
                <w:szCs w:val="21"/>
              </w:rPr>
            </w:pPr>
            <w:r>
              <w:rPr>
                <w:rFonts w:ascii="宋体" w:hAnsi="宋体" w:eastAsia="宋体" w:cs="宋体"/>
                <w:spacing w:val="10"/>
                <w:sz w:val="21"/>
                <w:szCs w:val="21"/>
              </w:rPr>
              <w:t>(四)关闭、破坏直接关系生产安全的监控、报警、防护、救生设备、设施，或者篡改、隐瞒、销毁其相关数据、信息的。</w:t>
            </w:r>
          </w:p>
        </w:tc>
        <w:tc>
          <w:tcPr>
            <w:tcW w:w="1244" w:type="dxa"/>
            <w:noWrap w:val="0"/>
            <w:vAlign w:val="top"/>
          </w:tcPr>
          <w:p w14:paraId="25BB6091">
            <w:pPr>
              <w:spacing w:before="109" w:line="254" w:lineRule="auto"/>
              <w:ind w:left="136"/>
              <w:jc w:val="both"/>
              <w:rPr>
                <w:rFonts w:ascii="宋体" w:hAnsi="宋体" w:eastAsia="宋体" w:cs="宋体"/>
                <w:spacing w:val="10"/>
                <w:sz w:val="21"/>
                <w:szCs w:val="21"/>
              </w:rPr>
            </w:pPr>
          </w:p>
        </w:tc>
      </w:tr>
      <w:tr w14:paraId="0B0F06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9" w:hRule="atLeast"/>
          <w:jc w:val="center"/>
        </w:trPr>
        <w:tc>
          <w:tcPr>
            <w:tcW w:w="864" w:type="dxa"/>
            <w:noWrap w:val="0"/>
            <w:vAlign w:val="top"/>
          </w:tcPr>
          <w:p w14:paraId="5C295E08">
            <w:pPr>
              <w:spacing w:line="252" w:lineRule="auto"/>
              <w:rPr>
                <w:rFonts w:ascii="Arial"/>
                <w:sz w:val="21"/>
              </w:rPr>
            </w:pPr>
          </w:p>
          <w:p w14:paraId="013936E7">
            <w:pPr>
              <w:spacing w:line="252" w:lineRule="auto"/>
              <w:rPr>
                <w:rFonts w:ascii="Arial"/>
                <w:sz w:val="21"/>
              </w:rPr>
            </w:pPr>
          </w:p>
          <w:p w14:paraId="49DAC707">
            <w:pPr>
              <w:spacing w:line="252" w:lineRule="auto"/>
              <w:rPr>
                <w:rFonts w:ascii="Arial"/>
                <w:sz w:val="21"/>
              </w:rPr>
            </w:pPr>
          </w:p>
          <w:p w14:paraId="2791156A">
            <w:pPr>
              <w:spacing w:line="253" w:lineRule="auto"/>
              <w:rPr>
                <w:rFonts w:ascii="Arial"/>
                <w:sz w:val="21"/>
              </w:rPr>
            </w:pPr>
          </w:p>
          <w:p w14:paraId="71E239AF">
            <w:pPr>
              <w:spacing w:line="253" w:lineRule="auto"/>
              <w:rPr>
                <w:rFonts w:ascii="Arial"/>
                <w:sz w:val="21"/>
              </w:rPr>
            </w:pPr>
          </w:p>
          <w:p w14:paraId="3198E621">
            <w:pPr>
              <w:spacing w:line="253" w:lineRule="auto"/>
              <w:rPr>
                <w:rFonts w:ascii="Arial"/>
                <w:sz w:val="21"/>
              </w:rPr>
            </w:pPr>
          </w:p>
          <w:p w14:paraId="41F5D04F">
            <w:pPr>
              <w:spacing w:line="253" w:lineRule="auto"/>
              <w:rPr>
                <w:rFonts w:ascii="Arial"/>
                <w:sz w:val="21"/>
              </w:rPr>
            </w:pPr>
          </w:p>
          <w:p w14:paraId="45C3323C">
            <w:pPr>
              <w:spacing w:line="253" w:lineRule="auto"/>
              <w:rPr>
                <w:rFonts w:ascii="Arial"/>
                <w:sz w:val="21"/>
              </w:rPr>
            </w:pPr>
          </w:p>
          <w:p w14:paraId="024AEE97">
            <w:pPr>
              <w:spacing w:line="253" w:lineRule="auto"/>
              <w:rPr>
                <w:rFonts w:ascii="Arial"/>
                <w:sz w:val="21"/>
              </w:rPr>
            </w:pPr>
          </w:p>
          <w:p w14:paraId="626ECB68">
            <w:pPr>
              <w:spacing w:before="78" w:line="183" w:lineRule="auto"/>
              <w:ind w:left="364"/>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2228" w:type="dxa"/>
            <w:noWrap w:val="0"/>
            <w:vAlign w:val="top"/>
          </w:tcPr>
          <w:p w14:paraId="79E32274">
            <w:pPr>
              <w:spacing w:before="109" w:line="254" w:lineRule="auto"/>
              <w:ind w:left="136"/>
              <w:jc w:val="both"/>
              <w:rPr>
                <w:rFonts w:ascii="宋体" w:hAnsi="宋体" w:eastAsia="宋体" w:cs="宋体"/>
                <w:spacing w:val="10"/>
                <w:sz w:val="21"/>
                <w:szCs w:val="21"/>
              </w:rPr>
            </w:pPr>
          </w:p>
          <w:p w14:paraId="47E67285">
            <w:pPr>
              <w:spacing w:before="109" w:line="254" w:lineRule="auto"/>
              <w:ind w:left="136"/>
              <w:jc w:val="both"/>
              <w:rPr>
                <w:rFonts w:ascii="宋体" w:hAnsi="宋体" w:eastAsia="宋体" w:cs="宋体"/>
                <w:spacing w:val="10"/>
                <w:sz w:val="21"/>
                <w:szCs w:val="21"/>
              </w:rPr>
            </w:pPr>
            <w:r>
              <w:rPr>
                <w:rFonts w:ascii="宋体" w:hAnsi="宋体" w:eastAsia="宋体" w:cs="宋体"/>
                <w:spacing w:val="10"/>
                <w:sz w:val="21"/>
                <w:szCs w:val="21"/>
              </w:rPr>
              <w:t>变更管理制度未落实(包括涉及重大危险源、重点监管危险化工工艺的生产装置和储存设</w:t>
            </w:r>
          </w:p>
          <w:p w14:paraId="129B51F6">
            <w:pPr>
              <w:spacing w:before="109" w:line="254" w:lineRule="auto"/>
              <w:ind w:left="136"/>
              <w:jc w:val="both"/>
              <w:rPr>
                <w:rFonts w:ascii="宋体" w:hAnsi="宋体" w:eastAsia="宋体" w:cs="宋体"/>
                <w:spacing w:val="10"/>
                <w:sz w:val="21"/>
                <w:szCs w:val="21"/>
              </w:rPr>
            </w:pPr>
            <w:r>
              <w:rPr>
                <w:rFonts w:ascii="宋体" w:hAnsi="宋体" w:eastAsia="宋体" w:cs="宋体"/>
                <w:spacing w:val="10"/>
                <w:sz w:val="21"/>
                <w:szCs w:val="21"/>
              </w:rPr>
              <w:t>施，主要负责人、原料、工艺路线、产品、关键设备方面发生的变化未纳入变更管理，或者在变更时未进行安全风险分析等相关情形)。</w:t>
            </w:r>
          </w:p>
        </w:tc>
        <w:tc>
          <w:tcPr>
            <w:tcW w:w="3498" w:type="dxa"/>
            <w:noWrap w:val="0"/>
            <w:vAlign w:val="top"/>
          </w:tcPr>
          <w:p w14:paraId="1DE20592">
            <w:pPr>
              <w:spacing w:before="109" w:line="254" w:lineRule="auto"/>
              <w:ind w:left="136"/>
              <w:jc w:val="both"/>
              <w:rPr>
                <w:rFonts w:ascii="宋体" w:hAnsi="宋体" w:eastAsia="宋体" w:cs="宋体"/>
                <w:spacing w:val="10"/>
                <w:sz w:val="21"/>
                <w:szCs w:val="21"/>
              </w:rPr>
            </w:pPr>
            <w:r>
              <w:rPr>
                <w:rFonts w:ascii="宋体" w:hAnsi="宋体" w:eastAsia="宋体" w:cs="宋体"/>
                <w:spacing w:val="10"/>
                <w:sz w:val="21"/>
                <w:szCs w:val="21"/>
              </w:rPr>
              <w:t>1.《中华人民共和国安全生产法》第二十一条第二项生产经营单位的主要负责人对本单位安全生产工作负有下列职责：</w:t>
            </w:r>
          </w:p>
          <w:p w14:paraId="637CB067">
            <w:pPr>
              <w:spacing w:before="109" w:line="254" w:lineRule="auto"/>
              <w:ind w:left="136"/>
              <w:jc w:val="both"/>
              <w:rPr>
                <w:rFonts w:ascii="宋体" w:hAnsi="宋体" w:eastAsia="宋体" w:cs="宋体"/>
                <w:spacing w:val="10"/>
                <w:sz w:val="21"/>
                <w:szCs w:val="21"/>
              </w:rPr>
            </w:pPr>
            <w:r>
              <w:rPr>
                <w:rFonts w:ascii="宋体" w:hAnsi="宋体" w:eastAsia="宋体" w:cs="宋体"/>
                <w:spacing w:val="10"/>
                <w:sz w:val="21"/>
                <w:szCs w:val="21"/>
              </w:rPr>
              <w:t>(二)组织制定并实施本单位安全生产规章制度和操作规程。</w:t>
            </w:r>
          </w:p>
          <w:p w14:paraId="594F396A">
            <w:pPr>
              <w:spacing w:before="109" w:line="254" w:lineRule="auto"/>
              <w:ind w:left="136"/>
              <w:jc w:val="both"/>
              <w:rPr>
                <w:rFonts w:ascii="宋体" w:hAnsi="宋体" w:eastAsia="宋体" w:cs="宋体"/>
                <w:spacing w:val="10"/>
                <w:sz w:val="21"/>
                <w:szCs w:val="21"/>
              </w:rPr>
            </w:pPr>
            <w:r>
              <w:rPr>
                <w:rFonts w:ascii="宋体" w:hAnsi="宋体" w:eastAsia="宋体" w:cs="宋体"/>
                <w:spacing w:val="10"/>
                <w:sz w:val="21"/>
                <w:szCs w:val="21"/>
              </w:rPr>
              <w:t>2.《危险化学品生产企业安全生产许可证实施办法》(国家安全监管总局令第41号)第十四条第九项企业应当根据化工工艺、装置、设施等实际情况，制定完善下列主要安全生产规章制度：</w:t>
            </w:r>
          </w:p>
          <w:p w14:paraId="4A87575F">
            <w:pPr>
              <w:spacing w:before="109" w:line="254" w:lineRule="auto"/>
              <w:ind w:left="136"/>
              <w:jc w:val="both"/>
              <w:rPr>
                <w:rFonts w:ascii="宋体" w:hAnsi="宋体" w:eastAsia="宋体" w:cs="宋体"/>
                <w:spacing w:val="10"/>
                <w:sz w:val="21"/>
                <w:szCs w:val="21"/>
              </w:rPr>
            </w:pPr>
            <w:r>
              <w:rPr>
                <w:rFonts w:ascii="宋体" w:hAnsi="宋体" w:eastAsia="宋体" w:cs="宋体"/>
                <w:spacing w:val="10"/>
                <w:sz w:val="21"/>
                <w:szCs w:val="21"/>
              </w:rPr>
              <w:t>(九)变更管理制度。</w:t>
            </w:r>
          </w:p>
        </w:tc>
        <w:tc>
          <w:tcPr>
            <w:tcW w:w="2878" w:type="dxa"/>
            <w:noWrap w:val="0"/>
            <w:vAlign w:val="top"/>
          </w:tcPr>
          <w:p w14:paraId="6B8FB42D">
            <w:pPr>
              <w:spacing w:before="109" w:line="254" w:lineRule="auto"/>
              <w:ind w:left="136"/>
              <w:jc w:val="both"/>
              <w:rPr>
                <w:rFonts w:ascii="宋体" w:hAnsi="宋体" w:eastAsia="宋体" w:cs="宋体"/>
                <w:spacing w:val="10"/>
                <w:sz w:val="21"/>
                <w:szCs w:val="21"/>
              </w:rPr>
            </w:pPr>
          </w:p>
          <w:p w14:paraId="72599860">
            <w:pPr>
              <w:spacing w:before="109" w:line="254" w:lineRule="auto"/>
              <w:ind w:left="136"/>
              <w:jc w:val="both"/>
              <w:rPr>
                <w:rFonts w:ascii="宋体" w:hAnsi="宋体" w:eastAsia="宋体" w:cs="宋体"/>
                <w:spacing w:val="10"/>
                <w:sz w:val="21"/>
                <w:szCs w:val="21"/>
              </w:rPr>
            </w:pPr>
          </w:p>
          <w:p w14:paraId="46D21084">
            <w:pPr>
              <w:spacing w:before="109" w:line="254" w:lineRule="auto"/>
              <w:ind w:left="136"/>
              <w:jc w:val="both"/>
              <w:rPr>
                <w:rFonts w:ascii="宋体" w:hAnsi="宋体" w:eastAsia="宋体" w:cs="宋体"/>
                <w:spacing w:val="10"/>
                <w:sz w:val="21"/>
                <w:szCs w:val="21"/>
              </w:rPr>
            </w:pPr>
          </w:p>
          <w:p w14:paraId="2A60A405">
            <w:pPr>
              <w:spacing w:before="109" w:line="254" w:lineRule="auto"/>
              <w:ind w:left="136"/>
              <w:jc w:val="both"/>
              <w:rPr>
                <w:rFonts w:ascii="宋体" w:hAnsi="宋体" w:eastAsia="宋体" w:cs="宋体"/>
                <w:spacing w:val="10"/>
                <w:sz w:val="21"/>
                <w:szCs w:val="21"/>
              </w:rPr>
            </w:pPr>
          </w:p>
          <w:p w14:paraId="513489F1">
            <w:pPr>
              <w:spacing w:before="109" w:line="254" w:lineRule="auto"/>
              <w:ind w:left="136"/>
              <w:jc w:val="both"/>
              <w:rPr>
                <w:rFonts w:ascii="宋体" w:hAnsi="宋体" w:eastAsia="宋体" w:cs="宋体"/>
                <w:spacing w:val="10"/>
                <w:sz w:val="21"/>
                <w:szCs w:val="21"/>
              </w:rPr>
            </w:pPr>
          </w:p>
          <w:p w14:paraId="33A36D21">
            <w:pPr>
              <w:spacing w:before="109" w:line="254" w:lineRule="auto"/>
              <w:ind w:left="136"/>
              <w:jc w:val="both"/>
              <w:rPr>
                <w:rFonts w:ascii="宋体" w:hAnsi="宋体" w:eastAsia="宋体" w:cs="宋体"/>
                <w:spacing w:val="10"/>
                <w:sz w:val="21"/>
                <w:szCs w:val="21"/>
              </w:rPr>
            </w:pPr>
          </w:p>
          <w:p w14:paraId="5248A268">
            <w:pPr>
              <w:spacing w:before="109" w:line="254" w:lineRule="auto"/>
              <w:ind w:left="136"/>
              <w:jc w:val="both"/>
              <w:rPr>
                <w:rFonts w:ascii="宋体" w:hAnsi="宋体" w:eastAsia="宋体" w:cs="宋体"/>
                <w:spacing w:val="10"/>
                <w:sz w:val="21"/>
                <w:szCs w:val="21"/>
              </w:rPr>
            </w:pPr>
          </w:p>
          <w:p w14:paraId="318AA276">
            <w:pPr>
              <w:spacing w:before="109" w:line="254" w:lineRule="auto"/>
              <w:ind w:left="136"/>
              <w:jc w:val="both"/>
              <w:rPr>
                <w:rFonts w:ascii="宋体" w:hAnsi="宋体" w:eastAsia="宋体" w:cs="宋体"/>
                <w:spacing w:val="10"/>
                <w:sz w:val="21"/>
                <w:szCs w:val="21"/>
              </w:rPr>
            </w:pPr>
            <w:r>
              <w:rPr>
                <w:rFonts w:ascii="宋体" w:hAnsi="宋体" w:eastAsia="宋体" w:cs="宋体"/>
                <w:spacing w:val="10"/>
                <w:sz w:val="21"/>
                <w:szCs w:val="21"/>
              </w:rPr>
              <w:t>《关于加强化工过程安全管理的指导意见》(安监总管三〔2013〕88号)</w:t>
            </w:r>
          </w:p>
          <w:p w14:paraId="745BA912">
            <w:pPr>
              <w:spacing w:before="109" w:line="254" w:lineRule="auto"/>
              <w:ind w:left="136"/>
              <w:jc w:val="both"/>
              <w:rPr>
                <w:rFonts w:ascii="宋体" w:hAnsi="宋体" w:eastAsia="宋体" w:cs="宋体"/>
                <w:spacing w:val="10"/>
                <w:sz w:val="21"/>
                <w:szCs w:val="21"/>
              </w:rPr>
            </w:pPr>
            <w:r>
              <w:rPr>
                <w:rFonts w:ascii="宋体" w:hAnsi="宋体" w:eastAsia="宋体" w:cs="宋体"/>
                <w:spacing w:val="10"/>
                <w:sz w:val="21"/>
                <w:szCs w:val="21"/>
              </w:rPr>
              <w:t>十、变更管理。</w:t>
            </w:r>
          </w:p>
        </w:tc>
        <w:tc>
          <w:tcPr>
            <w:tcW w:w="2848" w:type="dxa"/>
            <w:noWrap w:val="0"/>
            <w:vAlign w:val="top"/>
          </w:tcPr>
          <w:p w14:paraId="4FCBFB8B">
            <w:pPr>
              <w:spacing w:before="109" w:line="254" w:lineRule="auto"/>
              <w:ind w:left="136"/>
              <w:jc w:val="both"/>
              <w:rPr>
                <w:rFonts w:ascii="宋体" w:hAnsi="宋体" w:eastAsia="宋体" w:cs="宋体"/>
                <w:spacing w:val="10"/>
                <w:sz w:val="21"/>
                <w:szCs w:val="21"/>
              </w:rPr>
            </w:pPr>
            <w:r>
              <w:rPr>
                <w:rFonts w:ascii="宋体" w:hAnsi="宋体" w:eastAsia="宋体" w:cs="宋体"/>
                <w:spacing w:val="10"/>
                <w:sz w:val="21"/>
                <w:szCs w:val="21"/>
              </w:rPr>
              <w:t>《中华人民共和国安全生产法》第九十四条第一款、第二款生产经营单位的主要负责人未履行本法规定的安全生产管理职责的，责令限期改正，处二万元以上五万元以下的罚款；逾期未改正的，处五万元以上十万元以下的罚款，责令生产经营单位停产停业整顿。</w:t>
            </w:r>
          </w:p>
          <w:p w14:paraId="34862576">
            <w:pPr>
              <w:spacing w:before="109" w:line="254" w:lineRule="auto"/>
              <w:ind w:left="136"/>
              <w:jc w:val="both"/>
              <w:rPr>
                <w:rFonts w:ascii="宋体" w:hAnsi="宋体" w:eastAsia="宋体" w:cs="宋体"/>
                <w:spacing w:val="10"/>
                <w:sz w:val="21"/>
                <w:szCs w:val="21"/>
              </w:rPr>
            </w:pPr>
            <w:r>
              <w:rPr>
                <w:rFonts w:ascii="宋体" w:hAnsi="宋体" w:eastAsia="宋体" w:cs="宋体"/>
                <w:spacing w:val="10"/>
                <w:sz w:val="21"/>
                <w:szCs w:val="21"/>
              </w:rPr>
              <w:t>生产经营单位的主要负责人有前款违法行为，导致发生生产安全事</w:t>
            </w:r>
          </w:p>
        </w:tc>
        <w:tc>
          <w:tcPr>
            <w:tcW w:w="1244" w:type="dxa"/>
            <w:noWrap w:val="0"/>
            <w:vAlign w:val="top"/>
          </w:tcPr>
          <w:p w14:paraId="22748C06">
            <w:pPr>
              <w:spacing w:before="109" w:line="254" w:lineRule="auto"/>
              <w:ind w:left="136"/>
              <w:jc w:val="both"/>
              <w:rPr>
                <w:rFonts w:ascii="宋体" w:hAnsi="宋体" w:eastAsia="宋体" w:cs="宋体"/>
                <w:spacing w:val="10"/>
                <w:sz w:val="21"/>
                <w:szCs w:val="21"/>
              </w:rPr>
            </w:pPr>
          </w:p>
          <w:p w14:paraId="726C22B9">
            <w:pPr>
              <w:spacing w:before="109" w:line="254" w:lineRule="auto"/>
              <w:ind w:left="136"/>
              <w:jc w:val="both"/>
              <w:rPr>
                <w:rFonts w:ascii="宋体" w:hAnsi="宋体" w:eastAsia="宋体" w:cs="宋体"/>
                <w:spacing w:val="10"/>
                <w:sz w:val="21"/>
                <w:szCs w:val="21"/>
              </w:rPr>
            </w:pPr>
          </w:p>
          <w:p w14:paraId="5B6E1DCF">
            <w:pPr>
              <w:spacing w:before="109" w:line="254" w:lineRule="auto"/>
              <w:ind w:left="136"/>
              <w:jc w:val="both"/>
              <w:rPr>
                <w:rFonts w:ascii="宋体" w:hAnsi="宋体" w:eastAsia="宋体" w:cs="宋体"/>
                <w:spacing w:val="10"/>
                <w:sz w:val="21"/>
                <w:szCs w:val="21"/>
              </w:rPr>
            </w:pPr>
          </w:p>
          <w:p w14:paraId="3942B0DE">
            <w:pPr>
              <w:spacing w:before="109" w:line="254" w:lineRule="auto"/>
              <w:ind w:left="136"/>
              <w:jc w:val="both"/>
              <w:rPr>
                <w:rFonts w:ascii="宋体" w:hAnsi="宋体" w:eastAsia="宋体" w:cs="宋体"/>
                <w:spacing w:val="10"/>
                <w:sz w:val="21"/>
                <w:szCs w:val="21"/>
              </w:rPr>
            </w:pPr>
          </w:p>
          <w:p w14:paraId="03E426E8">
            <w:pPr>
              <w:spacing w:before="109" w:line="254" w:lineRule="auto"/>
              <w:ind w:left="136"/>
              <w:jc w:val="both"/>
              <w:rPr>
                <w:rFonts w:ascii="宋体" w:hAnsi="宋体" w:eastAsia="宋体" w:cs="宋体"/>
                <w:spacing w:val="10"/>
                <w:sz w:val="21"/>
                <w:szCs w:val="21"/>
              </w:rPr>
            </w:pPr>
          </w:p>
          <w:p w14:paraId="4A2803DA">
            <w:pPr>
              <w:spacing w:before="109" w:line="254" w:lineRule="auto"/>
              <w:ind w:left="136"/>
              <w:jc w:val="both"/>
              <w:rPr>
                <w:rFonts w:ascii="宋体" w:hAnsi="宋体" w:eastAsia="宋体" w:cs="宋体"/>
                <w:spacing w:val="10"/>
                <w:sz w:val="21"/>
                <w:szCs w:val="21"/>
              </w:rPr>
            </w:pPr>
          </w:p>
          <w:p w14:paraId="4D3D8346">
            <w:pPr>
              <w:spacing w:before="109" w:line="254" w:lineRule="auto"/>
              <w:ind w:left="136"/>
              <w:jc w:val="both"/>
              <w:rPr>
                <w:rFonts w:ascii="宋体" w:hAnsi="宋体" w:eastAsia="宋体" w:cs="宋体"/>
                <w:spacing w:val="10"/>
                <w:sz w:val="21"/>
                <w:szCs w:val="21"/>
              </w:rPr>
            </w:pPr>
          </w:p>
          <w:p w14:paraId="2E9D51E6">
            <w:pPr>
              <w:spacing w:before="109" w:line="254" w:lineRule="auto"/>
              <w:ind w:left="136"/>
              <w:jc w:val="both"/>
              <w:rPr>
                <w:rFonts w:ascii="宋体" w:hAnsi="宋体" w:eastAsia="宋体" w:cs="宋体"/>
                <w:spacing w:val="10"/>
                <w:sz w:val="21"/>
                <w:szCs w:val="21"/>
              </w:rPr>
            </w:pPr>
          </w:p>
          <w:p w14:paraId="308194AC">
            <w:pPr>
              <w:spacing w:before="109" w:line="254" w:lineRule="auto"/>
              <w:ind w:left="136"/>
              <w:jc w:val="both"/>
              <w:rPr>
                <w:rFonts w:ascii="宋体" w:hAnsi="宋体" w:eastAsia="宋体" w:cs="宋体"/>
                <w:spacing w:val="10"/>
                <w:sz w:val="21"/>
                <w:szCs w:val="21"/>
              </w:rPr>
            </w:pPr>
          </w:p>
          <w:p w14:paraId="77B47C76">
            <w:pPr>
              <w:spacing w:before="109" w:line="254" w:lineRule="auto"/>
              <w:ind w:left="136"/>
              <w:jc w:val="both"/>
              <w:rPr>
                <w:rFonts w:ascii="宋体" w:hAnsi="宋体" w:eastAsia="宋体" w:cs="宋体"/>
                <w:spacing w:val="10"/>
                <w:sz w:val="21"/>
                <w:szCs w:val="21"/>
              </w:rPr>
            </w:pPr>
            <w:r>
              <w:rPr>
                <w:rFonts w:ascii="宋体" w:hAnsi="宋体" w:eastAsia="宋体" w:cs="宋体"/>
                <w:spacing w:val="10"/>
                <w:sz w:val="21"/>
                <w:szCs w:val="21"/>
              </w:rPr>
              <w:t>变更管理</w:t>
            </w:r>
          </w:p>
        </w:tc>
      </w:tr>
    </w:tbl>
    <w:p w14:paraId="4B76830D">
      <w:pPr>
        <w:rPr>
          <w:rFonts w:ascii="Arial"/>
          <w:sz w:val="21"/>
        </w:rPr>
      </w:pPr>
    </w:p>
    <w:p w14:paraId="169562B0">
      <w:pPr>
        <w:sectPr>
          <w:pgSz w:w="16840" w:h="11900"/>
          <w:pgMar w:top="1440" w:right="1080" w:bottom="1440" w:left="1080" w:header="0" w:footer="0" w:gutter="0"/>
          <w:pgNumType w:fmt="decimal"/>
          <w:cols w:space="720" w:num="1"/>
        </w:sectPr>
      </w:pPr>
    </w:p>
    <w:p w14:paraId="442F690F"/>
    <w:p w14:paraId="11E0830A"/>
    <w:p w14:paraId="3A4D2950">
      <w:pPr>
        <w:spacing w:line="109" w:lineRule="exact"/>
      </w:pP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4"/>
        <w:gridCol w:w="2238"/>
        <w:gridCol w:w="4031"/>
        <w:gridCol w:w="1882"/>
        <w:gridCol w:w="3681"/>
        <w:gridCol w:w="1129"/>
      </w:tblGrid>
      <w:tr w14:paraId="26FD53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jc w:val="center"/>
        </w:trPr>
        <w:tc>
          <w:tcPr>
            <w:tcW w:w="874" w:type="dxa"/>
            <w:noWrap w:val="0"/>
            <w:vAlign w:val="top"/>
          </w:tcPr>
          <w:p w14:paraId="0420C35B">
            <w:pPr>
              <w:spacing w:before="226" w:line="221" w:lineRule="auto"/>
              <w:ind w:left="184"/>
              <w:rPr>
                <w:rFonts w:ascii="宋体" w:hAnsi="宋体" w:eastAsia="宋体" w:cs="宋体"/>
                <w:b/>
                <w:bCs/>
                <w:sz w:val="24"/>
                <w:szCs w:val="24"/>
              </w:rPr>
            </w:pPr>
            <w:r>
              <w:rPr>
                <w:rFonts w:ascii="宋体" w:hAnsi="宋体" w:eastAsia="宋体" w:cs="宋体"/>
                <w:b/>
                <w:bCs/>
                <w:spacing w:val="7"/>
                <w:sz w:val="24"/>
                <w:szCs w:val="24"/>
              </w:rPr>
              <w:t>序号</w:t>
            </w:r>
          </w:p>
        </w:tc>
        <w:tc>
          <w:tcPr>
            <w:tcW w:w="2238" w:type="dxa"/>
            <w:noWrap w:val="0"/>
            <w:vAlign w:val="top"/>
          </w:tcPr>
          <w:p w14:paraId="357F4F93">
            <w:pPr>
              <w:spacing w:before="85" w:line="219" w:lineRule="auto"/>
              <w:ind w:left="631"/>
              <w:rPr>
                <w:rFonts w:ascii="宋体" w:hAnsi="宋体" w:eastAsia="宋体" w:cs="宋体"/>
                <w:b/>
                <w:bCs/>
                <w:sz w:val="24"/>
                <w:szCs w:val="24"/>
              </w:rPr>
            </w:pPr>
            <w:r>
              <w:rPr>
                <w:rFonts w:ascii="宋体" w:hAnsi="宋体" w:eastAsia="宋体" w:cs="宋体"/>
                <w:b/>
                <w:bCs/>
                <w:spacing w:val="3"/>
                <w:sz w:val="24"/>
                <w:szCs w:val="24"/>
              </w:rPr>
              <w:t>执法检查</w:t>
            </w:r>
          </w:p>
          <w:p w14:paraId="6F50905B">
            <w:pPr>
              <w:spacing w:before="24" w:line="215" w:lineRule="auto"/>
              <w:ind w:left="391"/>
              <w:rPr>
                <w:rFonts w:ascii="宋体" w:hAnsi="宋体" w:eastAsia="宋体" w:cs="宋体"/>
                <w:b/>
                <w:bCs/>
                <w:sz w:val="24"/>
                <w:szCs w:val="24"/>
              </w:rPr>
            </w:pPr>
            <w:r>
              <w:rPr>
                <w:rFonts w:ascii="宋体" w:hAnsi="宋体" w:eastAsia="宋体" w:cs="宋体"/>
                <w:b/>
                <w:bCs/>
                <w:spacing w:val="2"/>
                <w:sz w:val="24"/>
                <w:szCs w:val="24"/>
              </w:rPr>
              <w:t>重点事项内容</w:t>
            </w:r>
          </w:p>
        </w:tc>
        <w:tc>
          <w:tcPr>
            <w:tcW w:w="4031" w:type="dxa"/>
            <w:noWrap w:val="0"/>
            <w:vAlign w:val="top"/>
          </w:tcPr>
          <w:p w14:paraId="5EE37A8B">
            <w:pPr>
              <w:spacing w:before="223" w:line="219" w:lineRule="auto"/>
              <w:ind w:left="1042"/>
              <w:rPr>
                <w:rFonts w:ascii="宋体" w:hAnsi="宋体" w:eastAsia="宋体" w:cs="宋体"/>
                <w:b/>
                <w:bCs/>
                <w:sz w:val="24"/>
                <w:szCs w:val="24"/>
              </w:rPr>
            </w:pPr>
            <w:r>
              <w:rPr>
                <w:rFonts w:ascii="宋体" w:hAnsi="宋体" w:eastAsia="宋体" w:cs="宋体"/>
                <w:b/>
                <w:bCs/>
                <w:spacing w:val="2"/>
                <w:sz w:val="24"/>
                <w:szCs w:val="24"/>
              </w:rPr>
              <w:t>执法检查依据</w:t>
            </w:r>
          </w:p>
        </w:tc>
        <w:tc>
          <w:tcPr>
            <w:tcW w:w="1882" w:type="dxa"/>
            <w:noWrap w:val="0"/>
            <w:vAlign w:val="top"/>
          </w:tcPr>
          <w:p w14:paraId="290E32B6">
            <w:pPr>
              <w:spacing w:before="85" w:line="220" w:lineRule="auto"/>
              <w:ind w:left="826"/>
              <w:rPr>
                <w:rFonts w:ascii="宋体" w:hAnsi="宋体" w:eastAsia="宋体" w:cs="宋体"/>
                <w:b/>
                <w:bCs/>
                <w:sz w:val="24"/>
                <w:szCs w:val="24"/>
              </w:rPr>
            </w:pPr>
            <w:r>
              <w:rPr>
                <w:rFonts w:ascii="宋体" w:hAnsi="宋体" w:eastAsia="宋体" w:cs="宋体"/>
                <w:b/>
                <w:bCs/>
                <w:spacing w:val="-2"/>
                <w:sz w:val="24"/>
                <w:szCs w:val="24"/>
              </w:rPr>
              <w:t>有关规范性</w:t>
            </w:r>
          </w:p>
          <w:p w14:paraId="6E1DEB73">
            <w:pPr>
              <w:spacing w:before="33" w:line="207" w:lineRule="auto"/>
              <w:ind w:left="586"/>
              <w:rPr>
                <w:rFonts w:ascii="宋体" w:hAnsi="宋体" w:eastAsia="宋体" w:cs="宋体"/>
                <w:b/>
                <w:bCs/>
                <w:sz w:val="24"/>
                <w:szCs w:val="24"/>
              </w:rPr>
            </w:pPr>
            <w:r>
              <w:rPr>
                <w:rFonts w:ascii="宋体" w:hAnsi="宋体" w:eastAsia="宋体" w:cs="宋体"/>
                <w:b/>
                <w:bCs/>
                <w:spacing w:val="1"/>
                <w:sz w:val="24"/>
                <w:szCs w:val="24"/>
              </w:rPr>
              <w:t>文件及标准要求</w:t>
            </w:r>
          </w:p>
        </w:tc>
        <w:tc>
          <w:tcPr>
            <w:tcW w:w="3681" w:type="dxa"/>
            <w:noWrap w:val="0"/>
            <w:vAlign w:val="top"/>
          </w:tcPr>
          <w:p w14:paraId="67CA6301">
            <w:pPr>
              <w:spacing w:before="223" w:line="219" w:lineRule="auto"/>
              <w:ind w:left="967"/>
              <w:rPr>
                <w:rFonts w:ascii="宋体" w:hAnsi="宋体" w:eastAsia="宋体" w:cs="宋体"/>
                <w:b/>
                <w:bCs/>
                <w:sz w:val="24"/>
                <w:szCs w:val="24"/>
              </w:rPr>
            </w:pPr>
            <w:r>
              <w:rPr>
                <w:rFonts w:ascii="宋体" w:hAnsi="宋体" w:eastAsia="宋体" w:cs="宋体"/>
                <w:b/>
                <w:bCs/>
                <w:spacing w:val="3"/>
                <w:sz w:val="24"/>
                <w:szCs w:val="24"/>
              </w:rPr>
              <w:t>处罚依据</w:t>
            </w:r>
          </w:p>
        </w:tc>
        <w:tc>
          <w:tcPr>
            <w:tcW w:w="1129" w:type="dxa"/>
            <w:noWrap w:val="0"/>
            <w:vAlign w:val="top"/>
          </w:tcPr>
          <w:p w14:paraId="6EDAF21B">
            <w:pPr>
              <w:spacing w:before="222" w:line="221" w:lineRule="auto"/>
              <w:ind w:left="403"/>
              <w:rPr>
                <w:rFonts w:ascii="宋体" w:hAnsi="宋体" w:eastAsia="宋体" w:cs="宋体"/>
                <w:b/>
                <w:bCs/>
                <w:sz w:val="24"/>
                <w:szCs w:val="24"/>
              </w:rPr>
            </w:pPr>
            <w:r>
              <w:rPr>
                <w:rFonts w:ascii="宋体" w:hAnsi="宋体" w:eastAsia="宋体" w:cs="宋体"/>
                <w:b/>
                <w:bCs/>
                <w:spacing w:val="-6"/>
                <w:sz w:val="24"/>
                <w:szCs w:val="24"/>
              </w:rPr>
              <w:t>备注</w:t>
            </w:r>
          </w:p>
        </w:tc>
      </w:tr>
      <w:tr w14:paraId="159D69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jc w:val="center"/>
        </w:trPr>
        <w:tc>
          <w:tcPr>
            <w:tcW w:w="874" w:type="dxa"/>
            <w:noWrap w:val="0"/>
            <w:vAlign w:val="top"/>
          </w:tcPr>
          <w:p w14:paraId="1CEBEB7C">
            <w:pPr>
              <w:rPr>
                <w:rFonts w:hint="eastAsia" w:asciiTheme="majorEastAsia" w:hAnsiTheme="majorEastAsia" w:eastAsiaTheme="majorEastAsia" w:cstheme="majorEastAsia"/>
                <w:sz w:val="21"/>
                <w:szCs w:val="21"/>
              </w:rPr>
            </w:pPr>
          </w:p>
        </w:tc>
        <w:tc>
          <w:tcPr>
            <w:tcW w:w="2238" w:type="dxa"/>
            <w:noWrap w:val="0"/>
            <w:vAlign w:val="top"/>
          </w:tcPr>
          <w:p w14:paraId="6D625F78">
            <w:pPr>
              <w:rPr>
                <w:rFonts w:hint="eastAsia" w:ascii="宋体" w:hAnsi="宋体" w:eastAsia="宋体" w:cs="宋体"/>
                <w:sz w:val="21"/>
                <w:szCs w:val="21"/>
              </w:rPr>
            </w:pPr>
          </w:p>
        </w:tc>
        <w:tc>
          <w:tcPr>
            <w:tcW w:w="4031" w:type="dxa"/>
            <w:noWrap w:val="0"/>
            <w:vAlign w:val="top"/>
          </w:tcPr>
          <w:p w14:paraId="24320320">
            <w:pPr>
              <w:rPr>
                <w:rFonts w:hint="eastAsia" w:ascii="宋体" w:hAnsi="宋体" w:eastAsia="宋体" w:cs="宋体"/>
                <w:sz w:val="21"/>
                <w:szCs w:val="21"/>
              </w:rPr>
            </w:pPr>
          </w:p>
        </w:tc>
        <w:tc>
          <w:tcPr>
            <w:tcW w:w="1882" w:type="dxa"/>
            <w:noWrap w:val="0"/>
            <w:vAlign w:val="top"/>
          </w:tcPr>
          <w:p w14:paraId="153178DC">
            <w:pPr>
              <w:rPr>
                <w:rFonts w:hint="eastAsia" w:ascii="宋体" w:hAnsi="宋体" w:eastAsia="宋体" w:cs="宋体"/>
                <w:sz w:val="21"/>
                <w:szCs w:val="21"/>
              </w:rPr>
            </w:pPr>
          </w:p>
        </w:tc>
        <w:tc>
          <w:tcPr>
            <w:tcW w:w="3681" w:type="dxa"/>
            <w:noWrap w:val="0"/>
            <w:vAlign w:val="top"/>
          </w:tcPr>
          <w:p w14:paraId="46791247">
            <w:pPr>
              <w:spacing w:before="78" w:line="227" w:lineRule="auto"/>
              <w:ind w:left="128" w:right="58"/>
              <w:rPr>
                <w:rFonts w:hint="eastAsia" w:ascii="宋体" w:hAnsi="宋体" w:eastAsia="宋体" w:cs="宋体"/>
                <w:sz w:val="21"/>
                <w:szCs w:val="21"/>
              </w:rPr>
            </w:pPr>
            <w:r>
              <w:rPr>
                <w:rFonts w:hint="eastAsia" w:ascii="宋体" w:hAnsi="宋体" w:eastAsia="宋体" w:cs="宋体"/>
                <w:spacing w:val="1"/>
                <w:sz w:val="21"/>
                <w:szCs w:val="21"/>
              </w:rPr>
              <w:t>成犯罪的，依照刑法有关</w:t>
            </w:r>
            <w:r>
              <w:rPr>
                <w:rFonts w:hint="eastAsia" w:ascii="宋体" w:hAnsi="宋体" w:eastAsia="宋体" w:cs="宋体"/>
                <w:spacing w:val="13"/>
                <w:sz w:val="21"/>
                <w:szCs w:val="21"/>
              </w:rPr>
              <w:t>规定追究刑事责任。</w:t>
            </w:r>
          </w:p>
        </w:tc>
        <w:tc>
          <w:tcPr>
            <w:tcW w:w="1129" w:type="dxa"/>
            <w:noWrap w:val="0"/>
            <w:vAlign w:val="top"/>
          </w:tcPr>
          <w:p w14:paraId="40E6FE30">
            <w:pPr>
              <w:rPr>
                <w:rFonts w:hint="eastAsia" w:ascii="宋体" w:hAnsi="宋体" w:eastAsia="宋体" w:cs="宋体"/>
                <w:sz w:val="21"/>
                <w:szCs w:val="21"/>
              </w:rPr>
            </w:pPr>
          </w:p>
        </w:tc>
      </w:tr>
      <w:tr w14:paraId="27225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2" w:hRule="atLeast"/>
          <w:jc w:val="center"/>
        </w:trPr>
        <w:tc>
          <w:tcPr>
            <w:tcW w:w="874" w:type="dxa"/>
            <w:noWrap w:val="0"/>
            <w:vAlign w:val="top"/>
          </w:tcPr>
          <w:p w14:paraId="7C83C713">
            <w:pPr>
              <w:spacing w:before="109" w:line="254" w:lineRule="auto"/>
              <w:ind w:left="136"/>
              <w:jc w:val="both"/>
              <w:rPr>
                <w:rFonts w:hint="eastAsia" w:asciiTheme="majorEastAsia" w:hAnsiTheme="majorEastAsia" w:eastAsiaTheme="majorEastAsia" w:cstheme="majorEastAsia"/>
                <w:spacing w:val="10"/>
                <w:sz w:val="21"/>
                <w:szCs w:val="21"/>
              </w:rPr>
            </w:pPr>
          </w:p>
          <w:p w14:paraId="149532B1">
            <w:pPr>
              <w:spacing w:before="109" w:line="254" w:lineRule="auto"/>
              <w:ind w:left="136"/>
              <w:jc w:val="both"/>
              <w:rPr>
                <w:rFonts w:hint="eastAsia" w:asciiTheme="majorEastAsia" w:hAnsiTheme="majorEastAsia" w:eastAsiaTheme="majorEastAsia" w:cstheme="majorEastAsia"/>
                <w:spacing w:val="10"/>
                <w:sz w:val="21"/>
                <w:szCs w:val="21"/>
              </w:rPr>
            </w:pPr>
          </w:p>
          <w:p w14:paraId="3B6D2676">
            <w:pPr>
              <w:spacing w:before="109" w:line="254" w:lineRule="auto"/>
              <w:ind w:left="136"/>
              <w:jc w:val="both"/>
              <w:rPr>
                <w:rFonts w:hint="eastAsia" w:asciiTheme="majorEastAsia" w:hAnsiTheme="majorEastAsia" w:eastAsiaTheme="majorEastAsia" w:cstheme="majorEastAsia"/>
                <w:spacing w:val="10"/>
                <w:sz w:val="21"/>
                <w:szCs w:val="21"/>
              </w:rPr>
            </w:pPr>
          </w:p>
          <w:p w14:paraId="463133F5">
            <w:pPr>
              <w:spacing w:before="109" w:line="254" w:lineRule="auto"/>
              <w:ind w:left="136"/>
              <w:jc w:val="both"/>
              <w:rPr>
                <w:rFonts w:hint="eastAsia" w:asciiTheme="majorEastAsia" w:hAnsiTheme="majorEastAsia" w:eastAsiaTheme="majorEastAsia" w:cstheme="majorEastAsia"/>
                <w:spacing w:val="10"/>
                <w:sz w:val="21"/>
                <w:szCs w:val="21"/>
              </w:rPr>
            </w:pPr>
          </w:p>
          <w:p w14:paraId="39E8B0B3">
            <w:pPr>
              <w:spacing w:before="109" w:line="254" w:lineRule="auto"/>
              <w:ind w:left="136"/>
              <w:jc w:val="both"/>
              <w:rPr>
                <w:rFonts w:hint="eastAsia" w:asciiTheme="majorEastAsia" w:hAnsiTheme="majorEastAsia" w:eastAsiaTheme="majorEastAsia" w:cstheme="majorEastAsia"/>
                <w:spacing w:val="10"/>
                <w:sz w:val="21"/>
                <w:szCs w:val="21"/>
              </w:rPr>
            </w:pPr>
          </w:p>
          <w:p w14:paraId="146071EA">
            <w:pPr>
              <w:spacing w:before="109" w:line="254" w:lineRule="auto"/>
              <w:ind w:left="136"/>
              <w:jc w:val="both"/>
              <w:rPr>
                <w:rFonts w:hint="eastAsia" w:asciiTheme="majorEastAsia" w:hAnsiTheme="majorEastAsia" w:eastAsiaTheme="majorEastAsia" w:cstheme="majorEastAsia"/>
                <w:spacing w:val="10"/>
                <w:sz w:val="21"/>
                <w:szCs w:val="21"/>
              </w:rPr>
            </w:pPr>
          </w:p>
          <w:p w14:paraId="4AD47E98">
            <w:pPr>
              <w:spacing w:before="109" w:line="254" w:lineRule="auto"/>
              <w:ind w:left="136"/>
              <w:jc w:val="both"/>
              <w:rPr>
                <w:rFonts w:hint="eastAsia" w:asciiTheme="majorEastAsia" w:hAnsiTheme="majorEastAsia" w:eastAsiaTheme="majorEastAsia" w:cstheme="majorEastAsia"/>
                <w:spacing w:val="10"/>
                <w:sz w:val="21"/>
                <w:szCs w:val="21"/>
              </w:rPr>
            </w:pPr>
          </w:p>
          <w:p w14:paraId="65BA429C">
            <w:pPr>
              <w:spacing w:before="109" w:line="254" w:lineRule="auto"/>
              <w:ind w:left="136"/>
              <w:jc w:val="both"/>
              <w:rPr>
                <w:rFonts w:hint="eastAsia" w:asciiTheme="majorEastAsia" w:hAnsiTheme="majorEastAsia" w:eastAsiaTheme="majorEastAsia" w:cstheme="majorEastAsia"/>
                <w:spacing w:val="10"/>
                <w:sz w:val="21"/>
                <w:szCs w:val="21"/>
              </w:rPr>
            </w:pPr>
          </w:p>
          <w:p w14:paraId="351ACA0F">
            <w:pPr>
              <w:spacing w:before="109" w:line="254" w:lineRule="auto"/>
              <w:ind w:left="136"/>
              <w:jc w:val="both"/>
              <w:rPr>
                <w:rFonts w:hint="eastAsia" w:asciiTheme="majorEastAsia" w:hAnsiTheme="majorEastAsia" w:eastAsiaTheme="majorEastAsia" w:cstheme="majorEastAsia"/>
                <w:spacing w:val="10"/>
                <w:sz w:val="21"/>
                <w:szCs w:val="21"/>
              </w:rPr>
            </w:pPr>
          </w:p>
          <w:p w14:paraId="58F55898">
            <w:pPr>
              <w:spacing w:before="109" w:line="254" w:lineRule="auto"/>
              <w:ind w:left="136"/>
              <w:jc w:val="both"/>
              <w:rPr>
                <w:rFonts w:hint="eastAsia" w:asciiTheme="majorEastAsia" w:hAnsiTheme="majorEastAsia" w:eastAsiaTheme="majorEastAsia" w:cstheme="majorEastAsia"/>
                <w:spacing w:val="10"/>
                <w:sz w:val="21"/>
                <w:szCs w:val="21"/>
              </w:rPr>
            </w:pPr>
          </w:p>
          <w:p w14:paraId="37F4D8DC">
            <w:pPr>
              <w:spacing w:before="109" w:line="254" w:lineRule="auto"/>
              <w:ind w:left="136"/>
              <w:jc w:val="both"/>
              <w:rPr>
                <w:rFonts w:hint="eastAsia" w:asciiTheme="majorEastAsia" w:hAnsiTheme="majorEastAsia" w:eastAsiaTheme="majorEastAsia" w:cstheme="majorEastAsia"/>
                <w:spacing w:val="10"/>
                <w:sz w:val="21"/>
                <w:szCs w:val="21"/>
              </w:rPr>
            </w:pPr>
          </w:p>
          <w:p w14:paraId="5E6F5FE8">
            <w:pPr>
              <w:spacing w:before="109" w:line="254" w:lineRule="auto"/>
              <w:ind w:left="136"/>
              <w:jc w:val="both"/>
              <w:rPr>
                <w:rFonts w:hint="eastAsia" w:asciiTheme="majorEastAsia" w:hAnsiTheme="majorEastAsia" w:eastAsiaTheme="majorEastAsia" w:cstheme="majorEastAsia"/>
                <w:spacing w:val="10"/>
                <w:sz w:val="21"/>
                <w:szCs w:val="21"/>
              </w:rPr>
            </w:pPr>
          </w:p>
          <w:p w14:paraId="6426DFF8">
            <w:pPr>
              <w:spacing w:before="109" w:line="254" w:lineRule="auto"/>
              <w:ind w:left="136"/>
              <w:jc w:val="both"/>
              <w:rPr>
                <w:rFonts w:hint="eastAsia" w:asciiTheme="majorEastAsia" w:hAnsiTheme="majorEastAsia" w:eastAsiaTheme="majorEastAsia" w:cstheme="majorEastAsia"/>
                <w:spacing w:val="10"/>
                <w:sz w:val="21"/>
                <w:szCs w:val="21"/>
                <w:lang w:val="en-US" w:eastAsia="zh-CN"/>
              </w:rPr>
            </w:pPr>
            <w:r>
              <w:rPr>
                <w:rFonts w:hint="eastAsia" w:asciiTheme="majorEastAsia" w:hAnsiTheme="majorEastAsia" w:eastAsiaTheme="majorEastAsia" w:cstheme="majorEastAsia"/>
                <w:spacing w:val="10"/>
                <w:sz w:val="21"/>
                <w:szCs w:val="21"/>
                <w:lang w:val="en-US" w:eastAsia="zh-CN"/>
              </w:rPr>
              <w:t>6</w:t>
            </w:r>
          </w:p>
        </w:tc>
        <w:tc>
          <w:tcPr>
            <w:tcW w:w="2238" w:type="dxa"/>
            <w:noWrap w:val="0"/>
            <w:vAlign w:val="top"/>
          </w:tcPr>
          <w:p w14:paraId="0C8663E1">
            <w:pPr>
              <w:spacing w:before="109" w:line="254" w:lineRule="auto"/>
              <w:ind w:left="136"/>
              <w:jc w:val="both"/>
              <w:rPr>
                <w:rFonts w:hint="eastAsia" w:ascii="宋体" w:hAnsi="宋体" w:eastAsia="宋体" w:cs="宋体"/>
                <w:spacing w:val="10"/>
                <w:sz w:val="21"/>
                <w:szCs w:val="21"/>
              </w:rPr>
            </w:pPr>
          </w:p>
          <w:p w14:paraId="2336E471">
            <w:pPr>
              <w:spacing w:before="109" w:line="254" w:lineRule="auto"/>
              <w:ind w:left="136"/>
              <w:jc w:val="both"/>
              <w:rPr>
                <w:rFonts w:hint="eastAsia" w:ascii="宋体" w:hAnsi="宋体" w:eastAsia="宋体" w:cs="宋体"/>
                <w:spacing w:val="10"/>
                <w:sz w:val="21"/>
                <w:szCs w:val="21"/>
              </w:rPr>
            </w:pPr>
          </w:p>
          <w:p w14:paraId="6FB26BA5">
            <w:pPr>
              <w:spacing w:before="109" w:line="254" w:lineRule="auto"/>
              <w:ind w:left="136"/>
              <w:jc w:val="both"/>
              <w:rPr>
                <w:rFonts w:hint="eastAsia" w:ascii="宋体" w:hAnsi="宋体" w:eastAsia="宋体" w:cs="宋体"/>
                <w:spacing w:val="10"/>
                <w:sz w:val="21"/>
                <w:szCs w:val="21"/>
              </w:rPr>
            </w:pPr>
          </w:p>
          <w:p w14:paraId="24FDB88F">
            <w:pPr>
              <w:spacing w:before="109" w:line="254" w:lineRule="auto"/>
              <w:ind w:left="136"/>
              <w:jc w:val="both"/>
              <w:rPr>
                <w:rFonts w:hint="eastAsia" w:ascii="宋体" w:hAnsi="宋体" w:eastAsia="宋体" w:cs="宋体"/>
                <w:spacing w:val="10"/>
                <w:sz w:val="21"/>
                <w:szCs w:val="21"/>
              </w:rPr>
            </w:pPr>
          </w:p>
          <w:p w14:paraId="14CF9FEE">
            <w:pPr>
              <w:spacing w:before="109" w:line="254" w:lineRule="auto"/>
              <w:ind w:left="136"/>
              <w:jc w:val="both"/>
              <w:rPr>
                <w:rFonts w:hint="eastAsia" w:ascii="宋体" w:hAnsi="宋体" w:eastAsia="宋体" w:cs="宋体"/>
                <w:spacing w:val="10"/>
                <w:sz w:val="21"/>
                <w:szCs w:val="21"/>
              </w:rPr>
            </w:pPr>
          </w:p>
          <w:p w14:paraId="4EE9E418">
            <w:pPr>
              <w:spacing w:before="109" w:line="254" w:lineRule="auto"/>
              <w:ind w:left="136"/>
              <w:jc w:val="both"/>
              <w:rPr>
                <w:rFonts w:hint="eastAsia" w:ascii="宋体" w:hAnsi="宋体" w:eastAsia="宋体" w:cs="宋体"/>
                <w:spacing w:val="10"/>
                <w:sz w:val="21"/>
                <w:szCs w:val="21"/>
              </w:rPr>
            </w:pPr>
          </w:p>
          <w:p w14:paraId="4198BE2D">
            <w:pPr>
              <w:spacing w:before="109" w:line="254" w:lineRule="auto"/>
              <w:ind w:left="136"/>
              <w:jc w:val="both"/>
              <w:rPr>
                <w:rFonts w:hint="eastAsia" w:ascii="宋体" w:hAnsi="宋体" w:eastAsia="宋体" w:cs="宋体"/>
                <w:spacing w:val="10"/>
                <w:sz w:val="21"/>
                <w:szCs w:val="21"/>
              </w:rPr>
            </w:pPr>
          </w:p>
          <w:p w14:paraId="5363FC84">
            <w:pPr>
              <w:spacing w:before="109" w:line="254" w:lineRule="auto"/>
              <w:ind w:left="136"/>
              <w:jc w:val="both"/>
              <w:rPr>
                <w:rFonts w:hint="eastAsia" w:ascii="宋体" w:hAnsi="宋体" w:eastAsia="宋体" w:cs="宋体"/>
                <w:spacing w:val="10"/>
                <w:sz w:val="21"/>
                <w:szCs w:val="21"/>
              </w:rPr>
            </w:pPr>
          </w:p>
          <w:p w14:paraId="427A3F32">
            <w:pPr>
              <w:spacing w:before="109" w:line="254" w:lineRule="auto"/>
              <w:ind w:left="136"/>
              <w:jc w:val="both"/>
              <w:rPr>
                <w:rFonts w:hint="eastAsia" w:ascii="宋体" w:hAnsi="宋体" w:eastAsia="宋体" w:cs="宋体"/>
                <w:spacing w:val="10"/>
                <w:sz w:val="21"/>
                <w:szCs w:val="21"/>
              </w:rPr>
            </w:pPr>
          </w:p>
          <w:p w14:paraId="1192F201">
            <w:pPr>
              <w:spacing w:before="109" w:line="254" w:lineRule="auto"/>
              <w:ind w:left="136"/>
              <w:jc w:val="both"/>
              <w:rPr>
                <w:rFonts w:hint="eastAsia" w:ascii="宋体" w:hAnsi="宋体" w:eastAsia="宋体" w:cs="宋体"/>
                <w:spacing w:val="10"/>
                <w:sz w:val="21"/>
                <w:szCs w:val="21"/>
              </w:rPr>
            </w:pPr>
          </w:p>
          <w:p w14:paraId="505F6B1B">
            <w:pPr>
              <w:spacing w:before="109" w:line="254" w:lineRule="auto"/>
              <w:ind w:left="136"/>
              <w:jc w:val="both"/>
              <w:rPr>
                <w:rFonts w:hint="eastAsia" w:ascii="宋体" w:hAnsi="宋体" w:eastAsia="宋体" w:cs="宋体"/>
                <w:spacing w:val="10"/>
                <w:sz w:val="21"/>
                <w:szCs w:val="21"/>
              </w:rPr>
            </w:pPr>
            <w:r>
              <w:rPr>
                <w:rFonts w:hint="eastAsia" w:ascii="宋体" w:hAnsi="宋体" w:eastAsia="宋体" w:cs="宋体"/>
                <w:spacing w:val="10"/>
                <w:sz w:val="21"/>
                <w:szCs w:val="21"/>
              </w:rPr>
              <w:t>油气储罐超温、超压、超液位操作和</w:t>
            </w:r>
          </w:p>
          <w:p w14:paraId="7064AF91">
            <w:pPr>
              <w:spacing w:before="109" w:line="254" w:lineRule="auto"/>
              <w:ind w:left="136"/>
              <w:jc w:val="both"/>
              <w:rPr>
                <w:rFonts w:hint="eastAsia" w:ascii="宋体" w:hAnsi="宋体" w:eastAsia="宋体" w:cs="宋体"/>
                <w:spacing w:val="10"/>
                <w:sz w:val="21"/>
                <w:szCs w:val="21"/>
              </w:rPr>
            </w:pPr>
            <w:r>
              <w:rPr>
                <w:rFonts w:hint="eastAsia" w:ascii="宋体" w:hAnsi="宋体" w:eastAsia="宋体" w:cs="宋体"/>
                <w:spacing w:val="10"/>
                <w:sz w:val="21"/>
                <w:szCs w:val="21"/>
              </w:rPr>
              <w:t>随意变更储存介质。</w:t>
            </w:r>
            <w:r>
              <w:rPr>
                <w:rFonts w:hint="eastAsia" w:ascii="宋体" w:hAnsi="宋体" w:eastAsia="宋体" w:cs="宋体"/>
                <w:spacing w:val="21"/>
                <w:sz w:val="21"/>
                <w:szCs w:val="21"/>
              </w:rPr>
              <w:t>油气内浮顶储罐运</w:t>
            </w:r>
          </w:p>
        </w:tc>
        <w:tc>
          <w:tcPr>
            <w:tcW w:w="4031" w:type="dxa"/>
            <w:noWrap w:val="0"/>
            <w:vAlign w:val="top"/>
          </w:tcPr>
          <w:p w14:paraId="03847986">
            <w:pPr>
              <w:spacing w:before="109" w:line="254" w:lineRule="auto"/>
              <w:ind w:left="136"/>
              <w:jc w:val="both"/>
              <w:rPr>
                <w:rFonts w:hint="eastAsia" w:ascii="宋体" w:hAnsi="宋体" w:eastAsia="宋体" w:cs="宋体"/>
                <w:spacing w:val="10"/>
                <w:sz w:val="21"/>
                <w:szCs w:val="21"/>
              </w:rPr>
            </w:pPr>
          </w:p>
          <w:p w14:paraId="0747B1C3">
            <w:pPr>
              <w:spacing w:before="109" w:line="254" w:lineRule="auto"/>
              <w:ind w:left="136"/>
              <w:jc w:val="both"/>
              <w:rPr>
                <w:rFonts w:hint="eastAsia" w:ascii="宋体" w:hAnsi="宋体" w:eastAsia="宋体" w:cs="宋体"/>
                <w:spacing w:val="10"/>
                <w:sz w:val="21"/>
                <w:szCs w:val="21"/>
              </w:rPr>
            </w:pPr>
          </w:p>
          <w:p w14:paraId="0A00159C">
            <w:pPr>
              <w:spacing w:before="109" w:line="254" w:lineRule="auto"/>
              <w:ind w:left="136"/>
              <w:jc w:val="both"/>
              <w:rPr>
                <w:rFonts w:hint="eastAsia" w:ascii="宋体" w:hAnsi="宋体" w:eastAsia="宋体" w:cs="宋体"/>
                <w:spacing w:val="10"/>
                <w:sz w:val="21"/>
                <w:szCs w:val="21"/>
              </w:rPr>
            </w:pPr>
          </w:p>
          <w:p w14:paraId="31C7FCEF">
            <w:pPr>
              <w:spacing w:before="109" w:line="254" w:lineRule="auto"/>
              <w:ind w:left="136"/>
              <w:jc w:val="both"/>
              <w:rPr>
                <w:rFonts w:hint="eastAsia" w:ascii="宋体" w:hAnsi="宋体" w:eastAsia="宋体" w:cs="宋体"/>
                <w:spacing w:val="10"/>
                <w:sz w:val="21"/>
                <w:szCs w:val="21"/>
              </w:rPr>
            </w:pPr>
          </w:p>
          <w:p w14:paraId="137A6A02">
            <w:pPr>
              <w:spacing w:before="109" w:line="254" w:lineRule="auto"/>
              <w:ind w:left="136"/>
              <w:jc w:val="both"/>
              <w:rPr>
                <w:rFonts w:hint="eastAsia" w:ascii="宋体" w:hAnsi="宋体" w:eastAsia="宋体" w:cs="宋体"/>
                <w:spacing w:val="10"/>
                <w:sz w:val="21"/>
                <w:szCs w:val="21"/>
              </w:rPr>
            </w:pPr>
          </w:p>
          <w:p w14:paraId="720B84AE">
            <w:pPr>
              <w:spacing w:before="109" w:line="254" w:lineRule="auto"/>
              <w:ind w:left="136"/>
              <w:jc w:val="both"/>
              <w:rPr>
                <w:rFonts w:hint="eastAsia" w:ascii="宋体" w:hAnsi="宋体" w:eastAsia="宋体" w:cs="宋体"/>
                <w:spacing w:val="10"/>
                <w:sz w:val="21"/>
                <w:szCs w:val="21"/>
              </w:rPr>
            </w:pPr>
          </w:p>
          <w:p w14:paraId="79EAF9CE">
            <w:pPr>
              <w:spacing w:before="109" w:line="254" w:lineRule="auto"/>
              <w:ind w:left="136"/>
              <w:jc w:val="both"/>
              <w:rPr>
                <w:rFonts w:hint="eastAsia" w:ascii="宋体" w:hAnsi="宋体" w:eastAsia="宋体" w:cs="宋体"/>
                <w:spacing w:val="10"/>
                <w:sz w:val="21"/>
                <w:szCs w:val="21"/>
              </w:rPr>
            </w:pPr>
            <w:r>
              <w:rPr>
                <w:rFonts w:hint="eastAsia" w:ascii="宋体" w:hAnsi="宋体" w:eastAsia="宋体" w:cs="宋体"/>
                <w:spacing w:val="10"/>
                <w:sz w:val="21"/>
                <w:szCs w:val="21"/>
              </w:rPr>
              <w:t>1.《危险化学品安全管理条例》第二十四条第二款危险化学品的储存方式、方法以及储存数量应当符合国家标准或者国家有关规定。</w:t>
            </w:r>
          </w:p>
          <w:p w14:paraId="77EB4B04">
            <w:pPr>
              <w:spacing w:before="109" w:line="254" w:lineRule="auto"/>
              <w:ind w:left="136"/>
              <w:jc w:val="both"/>
              <w:rPr>
                <w:rFonts w:hint="eastAsia" w:ascii="宋体" w:hAnsi="宋体" w:eastAsia="宋体" w:cs="宋体"/>
                <w:spacing w:val="10"/>
                <w:sz w:val="21"/>
                <w:szCs w:val="21"/>
              </w:rPr>
            </w:pPr>
            <w:r>
              <w:rPr>
                <w:rFonts w:hint="eastAsia" w:ascii="宋体" w:hAnsi="宋体" w:eastAsia="宋体" w:cs="宋体"/>
                <w:spacing w:val="10"/>
                <w:sz w:val="21"/>
                <w:szCs w:val="21"/>
              </w:rPr>
              <w:t>2.《油气罐区防火防爆十条规定》(安监总政法〔2017〕15号)第一条严禁油气储罐超温、超压、超液位操作和随意变更储存介质。</w:t>
            </w:r>
            <w:r>
              <w:rPr>
                <w:rFonts w:hint="eastAsia" w:ascii="宋体" w:hAnsi="宋体" w:eastAsia="宋体" w:cs="宋体"/>
                <w:spacing w:val="8"/>
                <w:sz w:val="21"/>
                <w:szCs w:val="21"/>
              </w:rPr>
              <w:t>1.《危险化学品安全管理条</w:t>
            </w:r>
          </w:p>
        </w:tc>
        <w:tc>
          <w:tcPr>
            <w:tcW w:w="1882" w:type="dxa"/>
            <w:noWrap w:val="0"/>
            <w:vAlign w:val="top"/>
          </w:tcPr>
          <w:p w14:paraId="5AFB9231">
            <w:pPr>
              <w:spacing w:before="109" w:line="254" w:lineRule="auto"/>
              <w:ind w:left="136"/>
              <w:jc w:val="both"/>
              <w:rPr>
                <w:rFonts w:hint="eastAsia" w:ascii="宋体" w:hAnsi="宋体" w:eastAsia="宋体" w:cs="宋体"/>
                <w:spacing w:val="10"/>
                <w:sz w:val="21"/>
                <w:szCs w:val="21"/>
              </w:rPr>
            </w:pPr>
          </w:p>
        </w:tc>
        <w:tc>
          <w:tcPr>
            <w:tcW w:w="3681" w:type="dxa"/>
            <w:noWrap w:val="0"/>
            <w:vAlign w:val="top"/>
          </w:tcPr>
          <w:p w14:paraId="4C53E593">
            <w:pPr>
              <w:spacing w:before="109" w:line="254" w:lineRule="auto"/>
              <w:ind w:left="136"/>
              <w:jc w:val="both"/>
              <w:rPr>
                <w:rFonts w:hint="eastAsia" w:ascii="宋体" w:hAnsi="宋体" w:eastAsia="宋体" w:cs="宋体"/>
                <w:spacing w:val="10"/>
                <w:sz w:val="21"/>
                <w:szCs w:val="21"/>
              </w:rPr>
            </w:pPr>
            <w:r>
              <w:rPr>
                <w:rFonts w:hint="eastAsia" w:ascii="宋体" w:hAnsi="宋体" w:eastAsia="宋体" w:cs="宋体"/>
                <w:spacing w:val="10"/>
                <w:sz w:val="21"/>
                <w:szCs w:val="21"/>
              </w:rPr>
              <w:t>《危险化学品安全管理条例》第八十条第五项生产、储存、使用危险化学品的单位有下列情形之一的，由安全生产监督管理部门责令改正，处5万元以上10万元以下的罚款；拒不改正的，责令停产停业整顿直至由原发证机关吊销其相关许可证件，并由工商行政管理部门责令其办理经营范围变更登记或者吊销其营业执照；有关责任人员构成犯罪的，依法追究刑事责任：</w:t>
            </w:r>
          </w:p>
          <w:p w14:paraId="0F623499">
            <w:pPr>
              <w:spacing w:before="109" w:line="254" w:lineRule="auto"/>
              <w:ind w:left="136"/>
              <w:jc w:val="both"/>
              <w:rPr>
                <w:rFonts w:hint="eastAsia" w:ascii="宋体" w:hAnsi="宋体" w:eastAsia="宋体" w:cs="宋体"/>
                <w:spacing w:val="10"/>
                <w:sz w:val="21"/>
                <w:szCs w:val="21"/>
              </w:rPr>
            </w:pPr>
            <w:r>
              <w:rPr>
                <w:rFonts w:hint="eastAsia" w:ascii="宋体" w:hAnsi="宋体" w:eastAsia="宋体" w:cs="宋体"/>
                <w:spacing w:val="10"/>
                <w:sz w:val="21"/>
                <w:szCs w:val="21"/>
              </w:rPr>
              <w:t>(五)危险化学品的储存方式、方法或者储存数量不符合国家标准或者国家有关规定的。</w:t>
            </w:r>
            <w:r>
              <w:rPr>
                <w:rFonts w:hint="eastAsia" w:ascii="宋体" w:hAnsi="宋体" w:eastAsia="宋体" w:cs="宋体"/>
                <w:spacing w:val="27"/>
                <w:sz w:val="21"/>
                <w:szCs w:val="21"/>
              </w:rPr>
              <w:t>《危险化学品安全</w:t>
            </w:r>
          </w:p>
        </w:tc>
        <w:tc>
          <w:tcPr>
            <w:tcW w:w="1129" w:type="dxa"/>
            <w:noWrap w:val="0"/>
            <w:vAlign w:val="top"/>
          </w:tcPr>
          <w:p w14:paraId="156E9377">
            <w:pPr>
              <w:spacing w:before="109" w:line="254" w:lineRule="auto"/>
              <w:ind w:left="136"/>
              <w:jc w:val="both"/>
              <w:rPr>
                <w:rFonts w:hint="eastAsia" w:ascii="宋体" w:hAnsi="宋体" w:eastAsia="宋体" w:cs="宋体"/>
                <w:spacing w:val="10"/>
                <w:sz w:val="21"/>
                <w:szCs w:val="21"/>
              </w:rPr>
            </w:pPr>
          </w:p>
          <w:p w14:paraId="373F8869">
            <w:pPr>
              <w:spacing w:before="109" w:line="254" w:lineRule="auto"/>
              <w:ind w:left="136"/>
              <w:jc w:val="both"/>
              <w:rPr>
                <w:rFonts w:hint="eastAsia" w:ascii="宋体" w:hAnsi="宋体" w:eastAsia="宋体" w:cs="宋体"/>
                <w:spacing w:val="10"/>
                <w:sz w:val="21"/>
                <w:szCs w:val="21"/>
              </w:rPr>
            </w:pPr>
          </w:p>
          <w:p w14:paraId="2B20B18A">
            <w:pPr>
              <w:spacing w:before="109" w:line="254" w:lineRule="auto"/>
              <w:ind w:left="136"/>
              <w:jc w:val="both"/>
              <w:rPr>
                <w:rFonts w:hint="eastAsia" w:ascii="宋体" w:hAnsi="宋体" w:eastAsia="宋体" w:cs="宋体"/>
                <w:spacing w:val="10"/>
                <w:sz w:val="21"/>
                <w:szCs w:val="21"/>
              </w:rPr>
            </w:pPr>
          </w:p>
          <w:p w14:paraId="287DDD3A">
            <w:pPr>
              <w:spacing w:before="109" w:line="254" w:lineRule="auto"/>
              <w:ind w:left="136"/>
              <w:jc w:val="both"/>
              <w:rPr>
                <w:rFonts w:hint="eastAsia" w:ascii="宋体" w:hAnsi="宋体" w:eastAsia="宋体" w:cs="宋体"/>
                <w:spacing w:val="10"/>
                <w:sz w:val="21"/>
                <w:szCs w:val="21"/>
              </w:rPr>
            </w:pPr>
          </w:p>
          <w:p w14:paraId="7FC24553">
            <w:pPr>
              <w:spacing w:before="109" w:line="254" w:lineRule="auto"/>
              <w:ind w:left="136"/>
              <w:jc w:val="both"/>
              <w:rPr>
                <w:rFonts w:hint="eastAsia" w:ascii="宋体" w:hAnsi="宋体" w:eastAsia="宋体" w:cs="宋体"/>
                <w:spacing w:val="10"/>
                <w:sz w:val="21"/>
                <w:szCs w:val="21"/>
              </w:rPr>
            </w:pPr>
          </w:p>
          <w:p w14:paraId="629F161C">
            <w:pPr>
              <w:spacing w:before="109" w:line="254" w:lineRule="auto"/>
              <w:ind w:left="136"/>
              <w:jc w:val="both"/>
              <w:rPr>
                <w:rFonts w:hint="eastAsia" w:ascii="宋体" w:hAnsi="宋体" w:eastAsia="宋体" w:cs="宋体"/>
                <w:spacing w:val="10"/>
                <w:sz w:val="21"/>
                <w:szCs w:val="21"/>
              </w:rPr>
            </w:pPr>
          </w:p>
          <w:p w14:paraId="15D80A9D">
            <w:pPr>
              <w:spacing w:before="109" w:line="254" w:lineRule="auto"/>
              <w:ind w:left="136"/>
              <w:jc w:val="both"/>
              <w:rPr>
                <w:rFonts w:hint="eastAsia" w:ascii="宋体" w:hAnsi="宋体" w:eastAsia="宋体" w:cs="宋体"/>
                <w:spacing w:val="10"/>
                <w:sz w:val="21"/>
                <w:szCs w:val="21"/>
              </w:rPr>
            </w:pPr>
          </w:p>
          <w:p w14:paraId="07039C04">
            <w:pPr>
              <w:spacing w:before="109" w:line="254" w:lineRule="auto"/>
              <w:ind w:left="136"/>
              <w:jc w:val="both"/>
              <w:rPr>
                <w:rFonts w:hint="eastAsia" w:ascii="宋体" w:hAnsi="宋体" w:eastAsia="宋体" w:cs="宋体"/>
                <w:spacing w:val="10"/>
                <w:sz w:val="21"/>
                <w:szCs w:val="21"/>
              </w:rPr>
            </w:pPr>
          </w:p>
          <w:p w14:paraId="21E45383">
            <w:pPr>
              <w:spacing w:before="109" w:line="254" w:lineRule="auto"/>
              <w:ind w:left="136"/>
              <w:jc w:val="both"/>
              <w:rPr>
                <w:rFonts w:hint="eastAsia" w:ascii="宋体" w:hAnsi="宋体" w:eastAsia="宋体" w:cs="宋体"/>
                <w:spacing w:val="10"/>
                <w:sz w:val="21"/>
                <w:szCs w:val="21"/>
              </w:rPr>
            </w:pPr>
          </w:p>
          <w:p w14:paraId="4632F949">
            <w:pPr>
              <w:spacing w:before="109" w:line="254" w:lineRule="auto"/>
              <w:ind w:left="136"/>
              <w:jc w:val="both"/>
              <w:rPr>
                <w:rFonts w:hint="eastAsia" w:ascii="宋体" w:hAnsi="宋体" w:eastAsia="宋体" w:cs="宋体"/>
                <w:spacing w:val="10"/>
                <w:sz w:val="21"/>
                <w:szCs w:val="21"/>
              </w:rPr>
            </w:pPr>
          </w:p>
          <w:p w14:paraId="66407094">
            <w:pPr>
              <w:spacing w:before="109" w:line="254" w:lineRule="auto"/>
              <w:ind w:left="136"/>
              <w:jc w:val="both"/>
              <w:rPr>
                <w:rFonts w:hint="eastAsia" w:ascii="宋体" w:hAnsi="宋体" w:eastAsia="宋体" w:cs="宋体"/>
                <w:spacing w:val="10"/>
                <w:sz w:val="21"/>
                <w:szCs w:val="21"/>
              </w:rPr>
            </w:pPr>
            <w:r>
              <w:rPr>
                <w:rFonts w:hint="eastAsia" w:ascii="宋体" w:hAnsi="宋体" w:eastAsia="宋体" w:cs="宋体"/>
                <w:spacing w:val="10"/>
                <w:sz w:val="21"/>
                <w:szCs w:val="21"/>
              </w:rPr>
              <w:t>储存设施异常运行和变更管理</w:t>
            </w:r>
            <w:r>
              <w:rPr>
                <w:rFonts w:hint="eastAsia" w:ascii="宋体" w:hAnsi="宋体" w:eastAsia="宋体" w:cs="宋体"/>
                <w:spacing w:val="-2"/>
                <w:sz w:val="21"/>
                <w:szCs w:val="21"/>
              </w:rPr>
              <w:t>储存设施</w:t>
            </w:r>
          </w:p>
        </w:tc>
      </w:tr>
    </w:tbl>
    <w:p w14:paraId="702E8CC5">
      <w:pPr>
        <w:sectPr>
          <w:pgSz w:w="16840" w:h="11900"/>
          <w:pgMar w:top="1440" w:right="1080" w:bottom="1440" w:left="1080" w:header="0" w:footer="0" w:gutter="0"/>
          <w:pgNumType w:fmt="decimal"/>
          <w:cols w:space="720" w:num="1"/>
        </w:sectPr>
      </w:pPr>
    </w:p>
    <w:p w14:paraId="3A4480DA"/>
    <w:p w14:paraId="72A61223">
      <w:pPr>
        <w:spacing w:line="230" w:lineRule="exact"/>
      </w:pP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4"/>
        <w:gridCol w:w="2218"/>
        <w:gridCol w:w="3497"/>
        <w:gridCol w:w="2868"/>
        <w:gridCol w:w="3511"/>
        <w:gridCol w:w="1160"/>
      </w:tblGrid>
      <w:tr w14:paraId="35635C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jc w:val="center"/>
        </w:trPr>
        <w:tc>
          <w:tcPr>
            <w:tcW w:w="874" w:type="dxa"/>
            <w:noWrap w:val="0"/>
            <w:vAlign w:val="top"/>
          </w:tcPr>
          <w:p w14:paraId="0655DC63">
            <w:pPr>
              <w:spacing w:before="222" w:line="221" w:lineRule="auto"/>
              <w:ind w:left="188"/>
              <w:rPr>
                <w:rFonts w:ascii="宋体" w:hAnsi="宋体" w:eastAsia="宋体" w:cs="宋体"/>
                <w:b/>
                <w:bCs/>
                <w:sz w:val="24"/>
                <w:szCs w:val="24"/>
              </w:rPr>
            </w:pPr>
            <w:r>
              <w:rPr>
                <w:rFonts w:ascii="宋体" w:hAnsi="宋体" w:eastAsia="宋体" w:cs="宋体"/>
                <w:b/>
                <w:bCs/>
                <w:spacing w:val="-5"/>
                <w:sz w:val="24"/>
                <w:szCs w:val="24"/>
              </w:rPr>
              <w:t>序号</w:t>
            </w:r>
          </w:p>
        </w:tc>
        <w:tc>
          <w:tcPr>
            <w:tcW w:w="2218" w:type="dxa"/>
            <w:noWrap w:val="0"/>
            <w:vAlign w:val="top"/>
          </w:tcPr>
          <w:p w14:paraId="042EF211">
            <w:pPr>
              <w:spacing w:before="85" w:line="219" w:lineRule="auto"/>
              <w:ind w:left="611"/>
              <w:rPr>
                <w:rFonts w:ascii="宋体" w:hAnsi="宋体" w:eastAsia="宋体" w:cs="宋体"/>
                <w:b/>
                <w:bCs/>
                <w:sz w:val="24"/>
                <w:szCs w:val="24"/>
              </w:rPr>
            </w:pPr>
            <w:r>
              <w:rPr>
                <w:rFonts w:ascii="宋体" w:hAnsi="宋体" w:eastAsia="宋体" w:cs="宋体"/>
                <w:b/>
                <w:bCs/>
                <w:spacing w:val="3"/>
                <w:sz w:val="24"/>
                <w:szCs w:val="24"/>
              </w:rPr>
              <w:t>执法检查</w:t>
            </w:r>
          </w:p>
          <w:p w14:paraId="1F50F8D8">
            <w:pPr>
              <w:spacing w:before="44" w:line="200" w:lineRule="auto"/>
              <w:ind w:left="401"/>
              <w:rPr>
                <w:rFonts w:ascii="宋体" w:hAnsi="宋体" w:eastAsia="宋体" w:cs="宋体"/>
                <w:b/>
                <w:bCs/>
                <w:sz w:val="24"/>
                <w:szCs w:val="24"/>
              </w:rPr>
            </w:pPr>
            <w:r>
              <w:rPr>
                <w:rFonts w:ascii="宋体" w:hAnsi="宋体" w:eastAsia="宋体" w:cs="宋体"/>
                <w:b/>
                <w:bCs/>
                <w:spacing w:val="2"/>
                <w:sz w:val="24"/>
                <w:szCs w:val="24"/>
              </w:rPr>
              <w:t>重点事项内容</w:t>
            </w:r>
          </w:p>
        </w:tc>
        <w:tc>
          <w:tcPr>
            <w:tcW w:w="3497" w:type="dxa"/>
            <w:noWrap w:val="0"/>
            <w:vAlign w:val="top"/>
          </w:tcPr>
          <w:p w14:paraId="5BC59B1A">
            <w:pPr>
              <w:spacing w:before="219" w:line="219" w:lineRule="auto"/>
              <w:ind w:left="1036"/>
              <w:rPr>
                <w:rFonts w:ascii="宋体" w:hAnsi="宋体" w:eastAsia="宋体" w:cs="宋体"/>
                <w:b/>
                <w:bCs/>
                <w:sz w:val="24"/>
                <w:szCs w:val="24"/>
              </w:rPr>
            </w:pPr>
            <w:r>
              <w:rPr>
                <w:rFonts w:ascii="宋体" w:hAnsi="宋体" w:eastAsia="宋体" w:cs="宋体"/>
                <w:b/>
                <w:bCs/>
                <w:spacing w:val="-4"/>
                <w:sz w:val="24"/>
                <w:szCs w:val="24"/>
              </w:rPr>
              <w:t>执法检查依据</w:t>
            </w:r>
          </w:p>
        </w:tc>
        <w:tc>
          <w:tcPr>
            <w:tcW w:w="2868" w:type="dxa"/>
            <w:noWrap w:val="0"/>
            <w:vAlign w:val="top"/>
          </w:tcPr>
          <w:p w14:paraId="6592F6EB">
            <w:pPr>
              <w:spacing w:before="95" w:line="220" w:lineRule="auto"/>
              <w:ind w:left="825"/>
              <w:rPr>
                <w:rFonts w:ascii="宋体" w:hAnsi="宋体" w:eastAsia="宋体" w:cs="宋体"/>
                <w:b/>
                <w:bCs/>
                <w:sz w:val="24"/>
                <w:szCs w:val="24"/>
              </w:rPr>
            </w:pPr>
            <w:r>
              <w:rPr>
                <w:rFonts w:ascii="宋体" w:hAnsi="宋体" w:eastAsia="宋体" w:cs="宋体"/>
                <w:b/>
                <w:bCs/>
                <w:spacing w:val="-2"/>
                <w:sz w:val="24"/>
                <w:szCs w:val="24"/>
              </w:rPr>
              <w:t>有关规范性</w:t>
            </w:r>
          </w:p>
          <w:p w14:paraId="4CD1A511">
            <w:pPr>
              <w:spacing w:before="29" w:line="202" w:lineRule="auto"/>
              <w:ind w:left="589"/>
              <w:rPr>
                <w:rFonts w:ascii="宋体" w:hAnsi="宋体" w:eastAsia="宋体" w:cs="宋体"/>
                <w:b/>
                <w:bCs/>
                <w:sz w:val="24"/>
                <w:szCs w:val="24"/>
              </w:rPr>
            </w:pPr>
            <w:r>
              <w:rPr>
                <w:rFonts w:ascii="宋体" w:hAnsi="宋体" w:eastAsia="宋体" w:cs="宋体"/>
                <w:b/>
                <w:bCs/>
                <w:spacing w:val="-4"/>
                <w:sz w:val="24"/>
                <w:szCs w:val="24"/>
              </w:rPr>
              <w:t>文件及标准要求</w:t>
            </w:r>
          </w:p>
        </w:tc>
        <w:tc>
          <w:tcPr>
            <w:tcW w:w="3511" w:type="dxa"/>
            <w:noWrap w:val="0"/>
            <w:vAlign w:val="top"/>
          </w:tcPr>
          <w:p w14:paraId="17F91FC4">
            <w:pPr>
              <w:spacing w:before="223" w:line="219" w:lineRule="auto"/>
              <w:ind w:left="957"/>
              <w:rPr>
                <w:rFonts w:ascii="宋体" w:hAnsi="宋体" w:eastAsia="宋体" w:cs="宋体"/>
                <w:b/>
                <w:bCs/>
                <w:sz w:val="24"/>
                <w:szCs w:val="24"/>
              </w:rPr>
            </w:pPr>
            <w:r>
              <w:rPr>
                <w:rFonts w:ascii="宋体" w:hAnsi="宋体" w:eastAsia="宋体" w:cs="宋体"/>
                <w:b/>
                <w:bCs/>
                <w:spacing w:val="3"/>
                <w:sz w:val="24"/>
                <w:szCs w:val="24"/>
              </w:rPr>
              <w:t>处罚依据</w:t>
            </w:r>
          </w:p>
        </w:tc>
        <w:tc>
          <w:tcPr>
            <w:tcW w:w="1160" w:type="dxa"/>
            <w:noWrap w:val="0"/>
            <w:vAlign w:val="top"/>
          </w:tcPr>
          <w:p w14:paraId="6F7CF172">
            <w:pPr>
              <w:spacing w:before="222" w:line="221" w:lineRule="auto"/>
              <w:ind w:left="403"/>
              <w:rPr>
                <w:rFonts w:ascii="宋体" w:hAnsi="宋体" w:eastAsia="宋体" w:cs="宋体"/>
                <w:b/>
                <w:bCs/>
                <w:sz w:val="24"/>
                <w:szCs w:val="24"/>
              </w:rPr>
            </w:pPr>
            <w:r>
              <w:rPr>
                <w:rFonts w:ascii="宋体" w:hAnsi="宋体" w:eastAsia="宋体" w:cs="宋体"/>
                <w:b/>
                <w:bCs/>
                <w:spacing w:val="-6"/>
                <w:sz w:val="24"/>
                <w:szCs w:val="24"/>
              </w:rPr>
              <w:t>备注</w:t>
            </w:r>
          </w:p>
        </w:tc>
      </w:tr>
      <w:tr w14:paraId="1B1309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4" w:hRule="atLeast"/>
          <w:jc w:val="center"/>
        </w:trPr>
        <w:tc>
          <w:tcPr>
            <w:tcW w:w="874" w:type="dxa"/>
            <w:noWrap w:val="0"/>
            <w:vAlign w:val="center"/>
          </w:tcPr>
          <w:p w14:paraId="7CFC6C8D">
            <w:pPr>
              <w:jc w:val="center"/>
              <w:rPr>
                <w:rFonts w:hint="eastAsia" w:ascii="Arial" w:eastAsia="宋体"/>
                <w:sz w:val="21"/>
                <w:lang w:val="en-US" w:eastAsia="zh-CN"/>
              </w:rPr>
            </w:pPr>
            <w:r>
              <w:rPr>
                <w:rFonts w:hint="eastAsia" w:ascii="宋体" w:hAnsi="宋体" w:eastAsia="宋体" w:cs="宋体"/>
                <w:sz w:val="24"/>
                <w:szCs w:val="24"/>
                <w:lang w:val="en-US" w:eastAsia="zh-CN"/>
              </w:rPr>
              <w:t>7</w:t>
            </w:r>
          </w:p>
        </w:tc>
        <w:tc>
          <w:tcPr>
            <w:tcW w:w="2218" w:type="dxa"/>
            <w:noWrap w:val="0"/>
            <w:vAlign w:val="top"/>
          </w:tcPr>
          <w:p w14:paraId="2C88CD35">
            <w:pPr>
              <w:spacing w:before="71" w:line="220" w:lineRule="auto"/>
              <w:ind w:left="111"/>
              <w:rPr>
                <w:rFonts w:ascii="宋体" w:hAnsi="宋体" w:eastAsia="宋体" w:cs="宋体"/>
                <w:sz w:val="21"/>
                <w:szCs w:val="21"/>
              </w:rPr>
            </w:pPr>
            <w:r>
              <w:rPr>
                <w:rFonts w:ascii="宋体" w:hAnsi="宋体" w:eastAsia="宋体" w:cs="宋体"/>
                <w:spacing w:val="17"/>
                <w:sz w:val="21"/>
                <w:szCs w:val="21"/>
              </w:rPr>
              <w:t>行中浮盘落底。</w:t>
            </w:r>
          </w:p>
        </w:tc>
        <w:tc>
          <w:tcPr>
            <w:tcW w:w="3497" w:type="dxa"/>
            <w:noWrap w:val="0"/>
            <w:vAlign w:val="top"/>
          </w:tcPr>
          <w:p w14:paraId="639DB46E">
            <w:pPr>
              <w:spacing w:before="89" w:line="250" w:lineRule="auto"/>
              <w:ind w:left="122"/>
              <w:jc w:val="both"/>
              <w:rPr>
                <w:rFonts w:ascii="宋体" w:hAnsi="宋体" w:eastAsia="宋体" w:cs="宋体"/>
                <w:sz w:val="21"/>
                <w:szCs w:val="21"/>
              </w:rPr>
            </w:pPr>
            <w:r>
              <w:rPr>
                <w:rFonts w:ascii="宋体" w:hAnsi="宋体" w:eastAsia="宋体" w:cs="宋体"/>
                <w:spacing w:val="7"/>
                <w:sz w:val="21"/>
                <w:szCs w:val="21"/>
              </w:rPr>
              <w:t>例》第二十四条第二款危险化</w:t>
            </w:r>
            <w:r>
              <w:rPr>
                <w:rFonts w:ascii="宋体" w:hAnsi="宋体" w:eastAsia="宋体" w:cs="宋体"/>
                <w:spacing w:val="10"/>
                <w:sz w:val="21"/>
                <w:szCs w:val="21"/>
              </w:rPr>
              <w:t>学品的储存方式、方法以及储存</w:t>
            </w:r>
            <w:r>
              <w:rPr>
                <w:rFonts w:ascii="宋体" w:hAnsi="宋体" w:eastAsia="宋体" w:cs="宋体"/>
                <w:spacing w:val="20"/>
                <w:sz w:val="21"/>
                <w:szCs w:val="21"/>
              </w:rPr>
              <w:t>数量应当符合国家标准或者国</w:t>
            </w:r>
            <w:r>
              <w:rPr>
                <w:rFonts w:ascii="宋体" w:hAnsi="宋体" w:eastAsia="宋体" w:cs="宋体"/>
                <w:spacing w:val="28"/>
                <w:sz w:val="21"/>
                <w:szCs w:val="21"/>
              </w:rPr>
              <w:t>家有关规定。</w:t>
            </w:r>
          </w:p>
          <w:p w14:paraId="7120F459">
            <w:pPr>
              <w:spacing w:before="33" w:line="244" w:lineRule="auto"/>
              <w:ind w:left="112" w:right="23" w:firstLine="470"/>
              <w:jc w:val="both"/>
              <w:rPr>
                <w:rFonts w:ascii="宋体" w:hAnsi="宋体" w:eastAsia="宋体" w:cs="宋体"/>
                <w:sz w:val="21"/>
                <w:szCs w:val="21"/>
              </w:rPr>
            </w:pPr>
            <w:r>
              <w:rPr>
                <w:rFonts w:ascii="宋体" w:hAnsi="宋体" w:eastAsia="宋体" w:cs="宋体"/>
                <w:spacing w:val="-11"/>
                <w:sz w:val="21"/>
                <w:szCs w:val="21"/>
              </w:rPr>
              <w:t>2.《油气罐区防火防爆十条</w:t>
            </w:r>
            <w:r>
              <w:rPr>
                <w:rFonts w:ascii="宋体" w:hAnsi="宋体" w:eastAsia="宋体" w:cs="宋体"/>
                <w:spacing w:val="2"/>
                <w:sz w:val="21"/>
                <w:szCs w:val="21"/>
              </w:rPr>
              <w:t>规定》(安监总政法〔2017〕15</w:t>
            </w:r>
            <w:r>
              <w:rPr>
                <w:rFonts w:ascii="宋体" w:hAnsi="宋体" w:eastAsia="宋体" w:cs="宋体"/>
                <w:sz w:val="21"/>
                <w:szCs w:val="21"/>
              </w:rPr>
              <w:t>号)第六条严禁内浮顶储罐运</w:t>
            </w:r>
            <w:r>
              <w:rPr>
                <w:rFonts w:ascii="宋体" w:hAnsi="宋体" w:eastAsia="宋体" w:cs="宋体"/>
                <w:spacing w:val="18"/>
                <w:sz w:val="21"/>
                <w:szCs w:val="21"/>
              </w:rPr>
              <w:t>行中浮盘落底。</w:t>
            </w:r>
          </w:p>
        </w:tc>
        <w:tc>
          <w:tcPr>
            <w:tcW w:w="2868" w:type="dxa"/>
            <w:noWrap w:val="0"/>
            <w:vAlign w:val="top"/>
          </w:tcPr>
          <w:p w14:paraId="75B93965">
            <w:pPr>
              <w:rPr>
                <w:rFonts w:ascii="Arial"/>
                <w:sz w:val="21"/>
                <w:szCs w:val="21"/>
              </w:rPr>
            </w:pPr>
          </w:p>
        </w:tc>
        <w:tc>
          <w:tcPr>
            <w:tcW w:w="3511" w:type="dxa"/>
            <w:noWrap w:val="0"/>
            <w:vAlign w:val="top"/>
          </w:tcPr>
          <w:p w14:paraId="0860649A">
            <w:pPr>
              <w:spacing w:before="96" w:line="255" w:lineRule="auto"/>
              <w:ind w:left="147"/>
              <w:jc w:val="both"/>
              <w:rPr>
                <w:rFonts w:ascii="宋体" w:hAnsi="宋体" w:eastAsia="宋体" w:cs="宋体"/>
                <w:sz w:val="21"/>
                <w:szCs w:val="21"/>
              </w:rPr>
            </w:pPr>
            <w:r>
              <w:rPr>
                <w:rFonts w:ascii="宋体" w:hAnsi="宋体" w:eastAsia="宋体" w:cs="宋体"/>
                <w:spacing w:val="4"/>
                <w:sz w:val="21"/>
                <w:szCs w:val="21"/>
              </w:rPr>
              <w:t>管理条例》第八十条第五</w:t>
            </w:r>
            <w:r>
              <w:rPr>
                <w:rFonts w:ascii="宋体" w:hAnsi="宋体" w:eastAsia="宋体" w:cs="宋体"/>
                <w:spacing w:val="3"/>
                <w:sz w:val="21"/>
                <w:szCs w:val="21"/>
              </w:rPr>
              <w:t>项生产、储存、使用危</w:t>
            </w:r>
            <w:r>
              <w:rPr>
                <w:rFonts w:ascii="宋体" w:hAnsi="宋体" w:eastAsia="宋体" w:cs="宋体"/>
                <w:spacing w:val="25"/>
                <w:sz w:val="21"/>
                <w:szCs w:val="21"/>
              </w:rPr>
              <w:t>险化学品的单位有下列</w:t>
            </w:r>
            <w:r>
              <w:rPr>
                <w:rFonts w:ascii="宋体" w:hAnsi="宋体" w:eastAsia="宋体" w:cs="宋体"/>
                <w:spacing w:val="5"/>
                <w:sz w:val="21"/>
                <w:szCs w:val="21"/>
              </w:rPr>
              <w:t>情形之一的，由安全生产</w:t>
            </w:r>
            <w:r>
              <w:rPr>
                <w:rFonts w:ascii="宋体" w:hAnsi="宋体" w:eastAsia="宋体" w:cs="宋体"/>
                <w:spacing w:val="14"/>
                <w:sz w:val="21"/>
                <w:szCs w:val="21"/>
              </w:rPr>
              <w:t>监督管理部门责令改正，</w:t>
            </w:r>
            <w:r>
              <w:rPr>
                <w:rFonts w:ascii="宋体" w:hAnsi="宋体" w:eastAsia="宋体" w:cs="宋体"/>
                <w:spacing w:val="33"/>
                <w:sz w:val="21"/>
                <w:szCs w:val="21"/>
              </w:rPr>
              <w:t>处5万元以上10万元以</w:t>
            </w:r>
            <w:r>
              <w:rPr>
                <w:rFonts w:ascii="宋体" w:hAnsi="宋体" w:eastAsia="宋体" w:cs="宋体"/>
                <w:spacing w:val="14"/>
                <w:sz w:val="21"/>
                <w:szCs w:val="21"/>
              </w:rPr>
              <w:t>下的罚款；拒不改正的，</w:t>
            </w:r>
            <w:r>
              <w:rPr>
                <w:rFonts w:ascii="宋体" w:hAnsi="宋体" w:eastAsia="宋体" w:cs="宋体"/>
                <w:spacing w:val="24"/>
                <w:sz w:val="21"/>
                <w:szCs w:val="21"/>
              </w:rPr>
              <w:t>责令停产停业整顿直至</w:t>
            </w:r>
            <w:r>
              <w:rPr>
                <w:rFonts w:ascii="宋体" w:hAnsi="宋体" w:eastAsia="宋体" w:cs="宋体"/>
                <w:spacing w:val="23"/>
                <w:sz w:val="21"/>
                <w:szCs w:val="21"/>
              </w:rPr>
              <w:t>由原发证机关吊销其相</w:t>
            </w:r>
            <w:r>
              <w:rPr>
                <w:rFonts w:ascii="宋体" w:hAnsi="宋体" w:eastAsia="宋体" w:cs="宋体"/>
                <w:spacing w:val="4"/>
                <w:sz w:val="21"/>
                <w:szCs w:val="21"/>
              </w:rPr>
              <w:t>关许可证件，并由工商行</w:t>
            </w:r>
            <w:r>
              <w:rPr>
                <w:rFonts w:ascii="宋体" w:hAnsi="宋体" w:eastAsia="宋体" w:cs="宋体"/>
                <w:spacing w:val="26"/>
                <w:sz w:val="21"/>
                <w:szCs w:val="21"/>
              </w:rPr>
              <w:t>政管理部门责令其办理</w:t>
            </w:r>
            <w:r>
              <w:rPr>
                <w:rFonts w:ascii="宋体" w:hAnsi="宋体" w:eastAsia="宋体" w:cs="宋体"/>
                <w:spacing w:val="24"/>
                <w:sz w:val="21"/>
                <w:szCs w:val="21"/>
              </w:rPr>
              <w:t>经营范围变更登记或者</w:t>
            </w:r>
            <w:r>
              <w:rPr>
                <w:rFonts w:ascii="宋体" w:hAnsi="宋体" w:eastAsia="宋体" w:cs="宋体"/>
                <w:spacing w:val="5"/>
                <w:sz w:val="21"/>
                <w:szCs w:val="21"/>
              </w:rPr>
              <w:t>吊销其营业执照；有关责</w:t>
            </w:r>
            <w:r>
              <w:rPr>
                <w:rFonts w:ascii="宋体" w:hAnsi="宋体" w:eastAsia="宋体" w:cs="宋体"/>
                <w:spacing w:val="3"/>
                <w:sz w:val="21"/>
                <w:szCs w:val="21"/>
              </w:rPr>
              <w:t>任人员构成犯罪的，依法</w:t>
            </w:r>
            <w:r>
              <w:rPr>
                <w:rFonts w:ascii="宋体" w:hAnsi="宋体" w:eastAsia="宋体" w:cs="宋体"/>
                <w:spacing w:val="20"/>
                <w:sz w:val="21"/>
                <w:szCs w:val="21"/>
              </w:rPr>
              <w:t>追究刑事责任：</w:t>
            </w:r>
          </w:p>
          <w:p w14:paraId="55B5CC7A">
            <w:pPr>
              <w:spacing w:before="48" w:line="231" w:lineRule="auto"/>
              <w:ind w:left="147" w:right="58" w:firstLine="560"/>
              <w:jc w:val="both"/>
              <w:rPr>
                <w:rFonts w:ascii="宋体" w:hAnsi="宋体" w:eastAsia="宋体" w:cs="宋体"/>
                <w:sz w:val="21"/>
                <w:szCs w:val="21"/>
              </w:rPr>
            </w:pPr>
            <w:r>
              <w:rPr>
                <w:rFonts w:ascii="宋体" w:hAnsi="宋体" w:eastAsia="宋体" w:cs="宋体"/>
                <w:spacing w:val="15"/>
                <w:sz w:val="21"/>
                <w:szCs w:val="21"/>
              </w:rPr>
              <w:t>(五)危险化学品的</w:t>
            </w:r>
            <w:r>
              <w:rPr>
                <w:rFonts w:ascii="宋体" w:hAnsi="宋体" w:eastAsia="宋体" w:cs="宋体"/>
                <w:spacing w:val="-1"/>
                <w:sz w:val="21"/>
                <w:szCs w:val="21"/>
              </w:rPr>
              <w:t>储存方式、方法或者储存</w:t>
            </w:r>
            <w:r>
              <w:rPr>
                <w:rFonts w:ascii="宋体" w:hAnsi="宋体" w:eastAsia="宋体" w:cs="宋体"/>
                <w:spacing w:val="21"/>
                <w:sz w:val="21"/>
                <w:szCs w:val="21"/>
              </w:rPr>
              <w:t>数量不符合国家标准或</w:t>
            </w:r>
            <w:r>
              <w:rPr>
                <w:rFonts w:ascii="宋体" w:hAnsi="宋体" w:eastAsia="宋体" w:cs="宋体"/>
                <w:spacing w:val="13"/>
                <w:sz w:val="21"/>
                <w:szCs w:val="21"/>
              </w:rPr>
              <w:t>者国家有关规定的。</w:t>
            </w:r>
          </w:p>
        </w:tc>
        <w:tc>
          <w:tcPr>
            <w:tcW w:w="1160" w:type="dxa"/>
            <w:noWrap w:val="0"/>
            <w:vAlign w:val="top"/>
          </w:tcPr>
          <w:p w14:paraId="6E7B69DE">
            <w:pPr>
              <w:spacing w:before="69" w:line="237" w:lineRule="auto"/>
              <w:ind w:left="139" w:right="121"/>
              <w:rPr>
                <w:rFonts w:ascii="宋体" w:hAnsi="宋体" w:eastAsia="宋体" w:cs="宋体"/>
                <w:sz w:val="21"/>
                <w:szCs w:val="21"/>
              </w:rPr>
            </w:pPr>
            <w:r>
              <w:rPr>
                <w:rFonts w:ascii="宋体" w:hAnsi="宋体" w:eastAsia="宋体" w:cs="宋体"/>
                <w:spacing w:val="3"/>
                <w:sz w:val="21"/>
                <w:szCs w:val="21"/>
              </w:rPr>
              <w:t>异常运行</w:t>
            </w:r>
            <w:r>
              <w:rPr>
                <w:rFonts w:ascii="宋体" w:hAnsi="宋体" w:eastAsia="宋体" w:cs="宋体"/>
                <w:spacing w:val="4"/>
                <w:sz w:val="21"/>
                <w:szCs w:val="21"/>
              </w:rPr>
              <w:t>管理</w:t>
            </w:r>
          </w:p>
        </w:tc>
      </w:tr>
      <w:tr w14:paraId="5517D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9" w:hRule="atLeast"/>
          <w:jc w:val="center"/>
        </w:trPr>
        <w:tc>
          <w:tcPr>
            <w:tcW w:w="874" w:type="dxa"/>
            <w:noWrap w:val="0"/>
            <w:vAlign w:val="top"/>
          </w:tcPr>
          <w:p w14:paraId="2C8B0E76">
            <w:pPr>
              <w:spacing w:line="259" w:lineRule="auto"/>
              <w:rPr>
                <w:rFonts w:ascii="Arial"/>
                <w:sz w:val="21"/>
              </w:rPr>
            </w:pPr>
          </w:p>
          <w:p w14:paraId="54B72A22">
            <w:pPr>
              <w:spacing w:line="260" w:lineRule="auto"/>
              <w:rPr>
                <w:rFonts w:ascii="Arial"/>
                <w:sz w:val="21"/>
              </w:rPr>
            </w:pPr>
          </w:p>
          <w:p w14:paraId="1A5C5F9D">
            <w:pPr>
              <w:spacing w:before="78" w:line="183" w:lineRule="auto"/>
              <w:ind w:left="364"/>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2218" w:type="dxa"/>
            <w:noWrap w:val="0"/>
            <w:vAlign w:val="top"/>
          </w:tcPr>
          <w:p w14:paraId="4E7C49B1">
            <w:pPr>
              <w:spacing w:before="108" w:line="241" w:lineRule="auto"/>
              <w:ind w:left="111" w:right="163"/>
              <w:jc w:val="both"/>
              <w:rPr>
                <w:rFonts w:ascii="宋体" w:hAnsi="宋体" w:eastAsia="宋体" w:cs="宋体"/>
                <w:sz w:val="21"/>
                <w:szCs w:val="21"/>
              </w:rPr>
            </w:pPr>
            <w:r>
              <w:rPr>
                <w:rFonts w:ascii="宋体" w:hAnsi="宋体" w:eastAsia="宋体" w:cs="宋体"/>
                <w:spacing w:val="11"/>
                <w:sz w:val="21"/>
                <w:szCs w:val="21"/>
              </w:rPr>
              <w:t>危险化学品重大危险源企业双重预防机制未构建或者未</w:t>
            </w:r>
            <w:r>
              <w:rPr>
                <w:rFonts w:ascii="宋体" w:hAnsi="宋体" w:eastAsia="宋体" w:cs="宋体"/>
                <w:spacing w:val="29"/>
                <w:sz w:val="21"/>
                <w:szCs w:val="21"/>
              </w:rPr>
              <w:t>有效运行的。</w:t>
            </w:r>
          </w:p>
        </w:tc>
        <w:tc>
          <w:tcPr>
            <w:tcW w:w="3497" w:type="dxa"/>
            <w:noWrap w:val="0"/>
            <w:vAlign w:val="top"/>
          </w:tcPr>
          <w:p w14:paraId="771D98BA">
            <w:pPr>
              <w:spacing w:before="117" w:line="239" w:lineRule="auto"/>
              <w:ind w:left="122" w:firstLine="458"/>
              <w:jc w:val="both"/>
              <w:rPr>
                <w:rFonts w:ascii="宋体" w:hAnsi="宋体" w:eastAsia="宋体" w:cs="宋体"/>
                <w:sz w:val="21"/>
                <w:szCs w:val="21"/>
              </w:rPr>
            </w:pPr>
            <w:r>
              <w:rPr>
                <w:rFonts w:ascii="宋体" w:hAnsi="宋体" w:eastAsia="宋体" w:cs="宋体"/>
                <w:spacing w:val="23"/>
                <w:sz w:val="21"/>
                <w:szCs w:val="21"/>
              </w:rPr>
              <w:t>《中华人民共和国安全生</w:t>
            </w:r>
            <w:r>
              <w:rPr>
                <w:rFonts w:ascii="宋体" w:hAnsi="宋体" w:eastAsia="宋体" w:cs="宋体"/>
                <w:spacing w:val="10"/>
                <w:sz w:val="21"/>
                <w:szCs w:val="21"/>
              </w:rPr>
              <w:t>产法》第四十一条第一款、第二</w:t>
            </w:r>
            <w:r>
              <w:rPr>
                <w:rFonts w:ascii="宋体" w:hAnsi="宋体" w:eastAsia="宋体" w:cs="宋体"/>
                <w:spacing w:val="18"/>
                <w:sz w:val="21"/>
                <w:szCs w:val="21"/>
              </w:rPr>
              <w:t>款生产经营单位应当建立安</w:t>
            </w:r>
            <w:r>
              <w:rPr>
                <w:rFonts w:ascii="宋体" w:hAnsi="宋体" w:eastAsia="宋体" w:cs="宋体"/>
                <w:spacing w:val="10"/>
                <w:sz w:val="21"/>
                <w:szCs w:val="21"/>
              </w:rPr>
              <w:t>全风险分级管控制度，按照安全</w:t>
            </w:r>
          </w:p>
        </w:tc>
        <w:tc>
          <w:tcPr>
            <w:tcW w:w="2868" w:type="dxa"/>
            <w:noWrap w:val="0"/>
            <w:vAlign w:val="top"/>
          </w:tcPr>
          <w:p w14:paraId="7D667CE7">
            <w:pPr>
              <w:rPr>
                <w:rFonts w:ascii="Arial"/>
                <w:sz w:val="21"/>
                <w:szCs w:val="21"/>
              </w:rPr>
            </w:pPr>
          </w:p>
        </w:tc>
        <w:tc>
          <w:tcPr>
            <w:tcW w:w="3511" w:type="dxa"/>
            <w:noWrap w:val="0"/>
            <w:vAlign w:val="top"/>
          </w:tcPr>
          <w:p w14:paraId="0DA73151">
            <w:pPr>
              <w:spacing w:before="107" w:line="231" w:lineRule="auto"/>
              <w:ind w:left="147" w:right="35" w:firstLine="459"/>
              <w:jc w:val="both"/>
              <w:rPr>
                <w:rFonts w:ascii="宋体" w:hAnsi="宋体" w:eastAsia="宋体" w:cs="宋体"/>
                <w:sz w:val="21"/>
                <w:szCs w:val="21"/>
              </w:rPr>
            </w:pPr>
            <w:r>
              <w:rPr>
                <w:rFonts w:ascii="宋体" w:hAnsi="宋体" w:eastAsia="宋体" w:cs="宋体"/>
                <w:spacing w:val="27"/>
                <w:sz w:val="21"/>
                <w:szCs w:val="21"/>
              </w:rPr>
              <w:t>《中华人民共和国</w:t>
            </w:r>
            <w:r>
              <w:rPr>
                <w:rFonts w:ascii="宋体" w:hAnsi="宋体" w:eastAsia="宋体" w:cs="宋体"/>
                <w:spacing w:val="1"/>
                <w:sz w:val="21"/>
                <w:szCs w:val="21"/>
              </w:rPr>
              <w:t>安全生产法》第一百零一</w:t>
            </w:r>
            <w:r>
              <w:rPr>
                <w:rFonts w:ascii="宋体" w:hAnsi="宋体" w:eastAsia="宋体" w:cs="宋体"/>
                <w:spacing w:val="-1"/>
                <w:sz w:val="21"/>
                <w:szCs w:val="21"/>
              </w:rPr>
              <w:t>条第四项、第五项生产</w:t>
            </w:r>
            <w:r>
              <w:rPr>
                <w:rFonts w:ascii="宋体" w:hAnsi="宋体" w:eastAsia="宋体" w:cs="宋体"/>
                <w:spacing w:val="20"/>
                <w:sz w:val="21"/>
                <w:szCs w:val="21"/>
              </w:rPr>
              <w:t>经营单位有下列行为之</w:t>
            </w:r>
          </w:p>
        </w:tc>
        <w:tc>
          <w:tcPr>
            <w:tcW w:w="1160" w:type="dxa"/>
            <w:noWrap w:val="0"/>
            <w:vAlign w:val="top"/>
          </w:tcPr>
          <w:p w14:paraId="3A15CB3D">
            <w:pPr>
              <w:spacing w:line="330" w:lineRule="auto"/>
              <w:rPr>
                <w:rFonts w:ascii="Arial"/>
                <w:sz w:val="21"/>
                <w:szCs w:val="21"/>
              </w:rPr>
            </w:pPr>
          </w:p>
          <w:p w14:paraId="00236C2F">
            <w:pPr>
              <w:spacing w:before="78" w:line="236" w:lineRule="auto"/>
              <w:ind w:left="139" w:right="123"/>
              <w:rPr>
                <w:rFonts w:ascii="宋体" w:hAnsi="宋体" w:eastAsia="宋体" w:cs="宋体"/>
                <w:sz w:val="21"/>
                <w:szCs w:val="21"/>
              </w:rPr>
            </w:pPr>
            <w:r>
              <w:rPr>
                <w:rFonts w:ascii="宋体" w:hAnsi="宋体" w:eastAsia="宋体" w:cs="宋体"/>
                <w:spacing w:val="2"/>
                <w:sz w:val="21"/>
                <w:szCs w:val="21"/>
              </w:rPr>
              <w:t>重大危险</w:t>
            </w:r>
            <w:r>
              <w:rPr>
                <w:rFonts w:ascii="宋体" w:hAnsi="宋体" w:eastAsia="宋体" w:cs="宋体"/>
                <w:spacing w:val="-2"/>
                <w:sz w:val="21"/>
                <w:szCs w:val="21"/>
              </w:rPr>
              <w:t>源管理</w:t>
            </w:r>
          </w:p>
        </w:tc>
      </w:tr>
    </w:tbl>
    <w:p w14:paraId="1DD705FE">
      <w:pPr>
        <w:rPr>
          <w:rFonts w:ascii="Arial"/>
          <w:sz w:val="21"/>
        </w:rPr>
      </w:pPr>
    </w:p>
    <w:p w14:paraId="113E551E">
      <w:pPr>
        <w:sectPr>
          <w:pgSz w:w="16840" w:h="11900"/>
          <w:pgMar w:top="1440" w:right="1080" w:bottom="1440" w:left="1080" w:header="0" w:footer="0" w:gutter="0"/>
          <w:pgNumType w:fmt="decimal"/>
          <w:cols w:space="720" w:num="1"/>
        </w:sectPr>
      </w:pPr>
    </w:p>
    <w:p w14:paraId="7FA0B812"/>
    <w:p w14:paraId="6869822B">
      <w:pPr>
        <w:spacing w:line="149" w:lineRule="exact"/>
      </w:pP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4"/>
        <w:gridCol w:w="2239"/>
        <w:gridCol w:w="3507"/>
        <w:gridCol w:w="2868"/>
        <w:gridCol w:w="2838"/>
        <w:gridCol w:w="1244"/>
      </w:tblGrid>
      <w:tr w14:paraId="0E6E7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jc w:val="center"/>
        </w:trPr>
        <w:tc>
          <w:tcPr>
            <w:tcW w:w="864" w:type="dxa"/>
            <w:noWrap w:val="0"/>
            <w:vAlign w:val="top"/>
          </w:tcPr>
          <w:p w14:paraId="461C37FA">
            <w:pPr>
              <w:spacing w:before="212" w:line="221" w:lineRule="auto"/>
              <w:ind w:left="188"/>
              <w:rPr>
                <w:rFonts w:ascii="宋体" w:hAnsi="宋体" w:eastAsia="宋体" w:cs="宋体"/>
                <w:b/>
                <w:bCs/>
                <w:sz w:val="24"/>
                <w:szCs w:val="24"/>
              </w:rPr>
            </w:pPr>
            <w:r>
              <w:rPr>
                <w:rFonts w:ascii="宋体" w:hAnsi="宋体" w:eastAsia="宋体" w:cs="宋体"/>
                <w:b/>
                <w:bCs/>
                <w:spacing w:val="-5"/>
                <w:sz w:val="24"/>
                <w:szCs w:val="24"/>
              </w:rPr>
              <w:t>序号</w:t>
            </w:r>
          </w:p>
        </w:tc>
        <w:tc>
          <w:tcPr>
            <w:tcW w:w="2239" w:type="dxa"/>
            <w:noWrap w:val="0"/>
            <w:vAlign w:val="top"/>
          </w:tcPr>
          <w:p w14:paraId="5742E303">
            <w:pPr>
              <w:spacing w:before="71" w:line="219" w:lineRule="auto"/>
              <w:ind w:left="634"/>
              <w:rPr>
                <w:rFonts w:ascii="宋体" w:hAnsi="宋体" w:eastAsia="宋体" w:cs="宋体"/>
                <w:b/>
                <w:bCs/>
                <w:sz w:val="24"/>
                <w:szCs w:val="24"/>
              </w:rPr>
            </w:pPr>
            <w:r>
              <w:rPr>
                <w:rFonts w:ascii="宋体" w:hAnsi="宋体" w:eastAsia="宋体" w:cs="宋体"/>
                <w:b/>
                <w:bCs/>
                <w:spacing w:val="-5"/>
                <w:sz w:val="24"/>
                <w:szCs w:val="24"/>
              </w:rPr>
              <w:t>执法检查</w:t>
            </w:r>
          </w:p>
          <w:p w14:paraId="476DE277">
            <w:pPr>
              <w:spacing w:before="38" w:line="207" w:lineRule="auto"/>
              <w:ind w:left="390"/>
              <w:rPr>
                <w:rFonts w:ascii="宋体" w:hAnsi="宋体" w:eastAsia="宋体" w:cs="宋体"/>
                <w:b/>
                <w:bCs/>
                <w:sz w:val="24"/>
                <w:szCs w:val="24"/>
              </w:rPr>
            </w:pPr>
            <w:r>
              <w:rPr>
                <w:rFonts w:ascii="宋体" w:hAnsi="宋体" w:eastAsia="宋体" w:cs="宋体"/>
                <w:b/>
                <w:bCs/>
                <w:spacing w:val="2"/>
                <w:sz w:val="24"/>
                <w:szCs w:val="24"/>
              </w:rPr>
              <w:t>重点事项内容</w:t>
            </w:r>
          </w:p>
        </w:tc>
        <w:tc>
          <w:tcPr>
            <w:tcW w:w="3507" w:type="dxa"/>
            <w:noWrap w:val="0"/>
            <w:vAlign w:val="top"/>
          </w:tcPr>
          <w:p w14:paraId="29FDD008">
            <w:pPr>
              <w:spacing w:before="213" w:line="219" w:lineRule="auto"/>
              <w:ind w:left="1031"/>
              <w:rPr>
                <w:rFonts w:ascii="宋体" w:hAnsi="宋体" w:eastAsia="宋体" w:cs="宋体"/>
                <w:b/>
                <w:bCs/>
                <w:sz w:val="24"/>
                <w:szCs w:val="24"/>
              </w:rPr>
            </w:pPr>
            <w:r>
              <w:rPr>
                <w:rFonts w:ascii="宋体" w:hAnsi="宋体" w:eastAsia="宋体" w:cs="宋体"/>
                <w:b/>
                <w:bCs/>
                <w:spacing w:val="2"/>
                <w:sz w:val="24"/>
                <w:szCs w:val="24"/>
              </w:rPr>
              <w:t>执法检查依据</w:t>
            </w:r>
          </w:p>
        </w:tc>
        <w:tc>
          <w:tcPr>
            <w:tcW w:w="2868" w:type="dxa"/>
            <w:noWrap w:val="0"/>
            <w:vAlign w:val="top"/>
          </w:tcPr>
          <w:p w14:paraId="11B89A3F">
            <w:pPr>
              <w:spacing w:before="65" w:line="220" w:lineRule="auto"/>
              <w:ind w:left="825"/>
              <w:rPr>
                <w:rFonts w:ascii="宋体" w:hAnsi="宋体" w:eastAsia="宋体" w:cs="宋体"/>
                <w:b/>
                <w:bCs/>
                <w:sz w:val="24"/>
                <w:szCs w:val="24"/>
              </w:rPr>
            </w:pPr>
            <w:r>
              <w:rPr>
                <w:rFonts w:ascii="宋体" w:hAnsi="宋体" w:eastAsia="宋体" w:cs="宋体"/>
                <w:b/>
                <w:bCs/>
                <w:spacing w:val="-2"/>
                <w:sz w:val="24"/>
                <w:szCs w:val="24"/>
              </w:rPr>
              <w:t>有关规范性</w:t>
            </w:r>
          </w:p>
          <w:p w14:paraId="20B9E053">
            <w:pPr>
              <w:spacing w:before="43" w:line="207" w:lineRule="auto"/>
              <w:ind w:left="584"/>
              <w:rPr>
                <w:rFonts w:ascii="宋体" w:hAnsi="宋体" w:eastAsia="宋体" w:cs="宋体"/>
                <w:b/>
                <w:bCs/>
                <w:sz w:val="24"/>
                <w:szCs w:val="24"/>
              </w:rPr>
            </w:pPr>
            <w:r>
              <w:rPr>
                <w:rFonts w:ascii="宋体" w:hAnsi="宋体" w:eastAsia="宋体" w:cs="宋体"/>
                <w:b/>
                <w:bCs/>
                <w:spacing w:val="1"/>
                <w:sz w:val="24"/>
                <w:szCs w:val="24"/>
              </w:rPr>
              <w:t>文件及标准要求</w:t>
            </w:r>
          </w:p>
        </w:tc>
        <w:tc>
          <w:tcPr>
            <w:tcW w:w="2838" w:type="dxa"/>
            <w:noWrap w:val="0"/>
            <w:vAlign w:val="top"/>
          </w:tcPr>
          <w:p w14:paraId="541643E7">
            <w:pPr>
              <w:spacing w:before="213" w:line="219" w:lineRule="auto"/>
              <w:ind w:left="956"/>
              <w:rPr>
                <w:rFonts w:ascii="宋体" w:hAnsi="宋体" w:eastAsia="宋体" w:cs="宋体"/>
                <w:b/>
                <w:bCs/>
                <w:sz w:val="24"/>
                <w:szCs w:val="24"/>
              </w:rPr>
            </w:pPr>
            <w:r>
              <w:rPr>
                <w:rFonts w:ascii="宋体" w:hAnsi="宋体" w:eastAsia="宋体" w:cs="宋体"/>
                <w:b/>
                <w:bCs/>
                <w:spacing w:val="8"/>
                <w:sz w:val="24"/>
                <w:szCs w:val="24"/>
              </w:rPr>
              <w:t>处罚依据</w:t>
            </w:r>
          </w:p>
        </w:tc>
        <w:tc>
          <w:tcPr>
            <w:tcW w:w="1244" w:type="dxa"/>
            <w:noWrap w:val="0"/>
            <w:vAlign w:val="top"/>
          </w:tcPr>
          <w:p w14:paraId="73D5BA9E">
            <w:pPr>
              <w:spacing w:before="212" w:line="221" w:lineRule="auto"/>
              <w:ind w:left="392"/>
              <w:rPr>
                <w:rFonts w:ascii="宋体" w:hAnsi="宋体" w:eastAsia="宋体" w:cs="宋体"/>
                <w:b/>
                <w:bCs/>
                <w:sz w:val="24"/>
                <w:szCs w:val="24"/>
              </w:rPr>
            </w:pPr>
            <w:r>
              <w:rPr>
                <w:rFonts w:ascii="宋体" w:hAnsi="宋体" w:eastAsia="宋体" w:cs="宋体"/>
                <w:b/>
                <w:bCs/>
                <w:spacing w:val="-6"/>
                <w:sz w:val="24"/>
                <w:szCs w:val="24"/>
              </w:rPr>
              <w:t>备注</w:t>
            </w:r>
          </w:p>
        </w:tc>
      </w:tr>
      <w:tr w14:paraId="564C7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2" w:hRule="atLeast"/>
          <w:jc w:val="center"/>
        </w:trPr>
        <w:tc>
          <w:tcPr>
            <w:tcW w:w="864" w:type="dxa"/>
            <w:noWrap w:val="0"/>
            <w:vAlign w:val="top"/>
          </w:tcPr>
          <w:p w14:paraId="43C536E2">
            <w:pPr>
              <w:rPr>
                <w:rFonts w:ascii="Arial"/>
                <w:sz w:val="21"/>
              </w:rPr>
            </w:pPr>
          </w:p>
        </w:tc>
        <w:tc>
          <w:tcPr>
            <w:tcW w:w="2239" w:type="dxa"/>
            <w:noWrap w:val="0"/>
            <w:vAlign w:val="top"/>
          </w:tcPr>
          <w:p w14:paraId="70D87827">
            <w:pPr>
              <w:rPr>
                <w:rFonts w:ascii="Arial"/>
                <w:sz w:val="21"/>
              </w:rPr>
            </w:pPr>
          </w:p>
        </w:tc>
        <w:tc>
          <w:tcPr>
            <w:tcW w:w="3507" w:type="dxa"/>
            <w:noWrap w:val="0"/>
            <w:vAlign w:val="top"/>
          </w:tcPr>
          <w:p w14:paraId="7A0E37C9">
            <w:pPr>
              <w:spacing w:before="79" w:line="227" w:lineRule="auto"/>
              <w:ind w:left="132"/>
              <w:rPr>
                <w:rFonts w:ascii="宋体" w:hAnsi="宋体" w:eastAsia="宋体" w:cs="宋体"/>
                <w:sz w:val="21"/>
                <w:szCs w:val="21"/>
              </w:rPr>
            </w:pPr>
            <w:r>
              <w:rPr>
                <w:rFonts w:ascii="宋体" w:hAnsi="宋体" w:eastAsia="宋体" w:cs="宋体"/>
                <w:spacing w:val="10"/>
                <w:sz w:val="21"/>
                <w:szCs w:val="21"/>
              </w:rPr>
              <w:t>风险分级采取相应的管控措施。</w:t>
            </w:r>
          </w:p>
          <w:p w14:paraId="15BCA51C">
            <w:pPr>
              <w:spacing w:before="50" w:line="254" w:lineRule="auto"/>
              <w:ind w:left="132" w:firstLine="454"/>
              <w:jc w:val="both"/>
              <w:rPr>
                <w:rFonts w:ascii="宋体" w:hAnsi="宋体" w:eastAsia="宋体" w:cs="宋体"/>
                <w:sz w:val="21"/>
                <w:szCs w:val="21"/>
              </w:rPr>
            </w:pPr>
            <w:r>
              <w:rPr>
                <w:rFonts w:ascii="宋体" w:hAnsi="宋体" w:eastAsia="宋体" w:cs="宋体"/>
                <w:spacing w:val="16"/>
                <w:sz w:val="21"/>
                <w:szCs w:val="21"/>
              </w:rPr>
              <w:t>生产经营单位应当建立健</w:t>
            </w:r>
            <w:r>
              <w:rPr>
                <w:rFonts w:ascii="宋体" w:hAnsi="宋体" w:eastAsia="宋体" w:cs="宋体"/>
                <w:spacing w:val="13"/>
                <w:sz w:val="21"/>
                <w:szCs w:val="21"/>
              </w:rPr>
              <w:t>全并落实生产安全事故隐患排</w:t>
            </w:r>
            <w:r>
              <w:rPr>
                <w:rFonts w:ascii="宋体" w:hAnsi="宋体" w:eastAsia="宋体" w:cs="宋体"/>
                <w:spacing w:val="2"/>
                <w:sz w:val="21"/>
                <w:szCs w:val="21"/>
              </w:rPr>
              <w:t>查治理制度，采取技术、管理措</w:t>
            </w:r>
            <w:r>
              <w:rPr>
                <w:rFonts w:ascii="宋体" w:hAnsi="宋体" w:eastAsia="宋体" w:cs="宋体"/>
                <w:spacing w:val="10"/>
                <w:sz w:val="21"/>
                <w:szCs w:val="21"/>
              </w:rPr>
              <w:t>施，及时发现并消除事故隐患。</w:t>
            </w:r>
            <w:r>
              <w:rPr>
                <w:rFonts w:ascii="宋体" w:hAnsi="宋体" w:eastAsia="宋体" w:cs="宋体"/>
                <w:spacing w:val="13"/>
                <w:sz w:val="21"/>
                <w:szCs w:val="21"/>
              </w:rPr>
              <w:t>事故隐患排查治理情况应当如</w:t>
            </w:r>
            <w:r>
              <w:rPr>
                <w:rFonts w:ascii="宋体" w:hAnsi="宋体" w:eastAsia="宋体" w:cs="宋体"/>
                <w:spacing w:val="2"/>
                <w:sz w:val="21"/>
                <w:szCs w:val="21"/>
              </w:rPr>
              <w:t>实记录，并通过职工大会或者职工代表大会、信息公示栏等方式向从业人员通报。其中，重大事</w:t>
            </w:r>
            <w:r>
              <w:rPr>
                <w:rFonts w:ascii="宋体" w:hAnsi="宋体" w:eastAsia="宋体" w:cs="宋体"/>
                <w:spacing w:val="15"/>
                <w:sz w:val="21"/>
                <w:szCs w:val="21"/>
              </w:rPr>
              <w:t>故隐患排查治理情况应当及时</w:t>
            </w:r>
            <w:r>
              <w:rPr>
                <w:rFonts w:ascii="宋体" w:hAnsi="宋体" w:eastAsia="宋体" w:cs="宋体"/>
                <w:spacing w:val="13"/>
                <w:sz w:val="21"/>
                <w:szCs w:val="21"/>
              </w:rPr>
              <w:t>向负有安全生产监督管理职责</w:t>
            </w:r>
            <w:r>
              <w:rPr>
                <w:rFonts w:ascii="宋体" w:hAnsi="宋体" w:eastAsia="宋体" w:cs="宋体"/>
                <w:spacing w:val="14"/>
                <w:sz w:val="21"/>
                <w:szCs w:val="21"/>
              </w:rPr>
              <w:t>的部门和职工大会或者职工代</w:t>
            </w:r>
            <w:r>
              <w:rPr>
                <w:rFonts w:ascii="宋体" w:hAnsi="宋体" w:eastAsia="宋体" w:cs="宋体"/>
                <w:spacing w:val="21"/>
                <w:sz w:val="21"/>
                <w:szCs w:val="21"/>
              </w:rPr>
              <w:t>表大会报告。</w:t>
            </w:r>
          </w:p>
        </w:tc>
        <w:tc>
          <w:tcPr>
            <w:tcW w:w="2868" w:type="dxa"/>
            <w:noWrap w:val="0"/>
            <w:vAlign w:val="top"/>
          </w:tcPr>
          <w:p w14:paraId="07E07C17">
            <w:pPr>
              <w:rPr>
                <w:rFonts w:ascii="Arial"/>
                <w:sz w:val="21"/>
                <w:szCs w:val="21"/>
              </w:rPr>
            </w:pPr>
          </w:p>
        </w:tc>
        <w:tc>
          <w:tcPr>
            <w:tcW w:w="2838" w:type="dxa"/>
            <w:noWrap w:val="0"/>
            <w:vAlign w:val="top"/>
          </w:tcPr>
          <w:p w14:paraId="5E59AFD4">
            <w:pPr>
              <w:spacing w:before="80" w:line="243" w:lineRule="auto"/>
              <w:ind w:left="146" w:right="21"/>
              <w:jc w:val="both"/>
              <w:rPr>
                <w:rFonts w:ascii="宋体" w:hAnsi="宋体" w:eastAsia="宋体" w:cs="宋体"/>
                <w:sz w:val="21"/>
                <w:szCs w:val="21"/>
              </w:rPr>
            </w:pPr>
            <w:r>
              <w:rPr>
                <w:rFonts w:ascii="宋体" w:hAnsi="宋体" w:eastAsia="宋体" w:cs="宋体"/>
                <w:sz w:val="21"/>
                <w:szCs w:val="21"/>
              </w:rPr>
              <w:t>一的，责令限期改正，处</w:t>
            </w:r>
            <w:r>
              <w:rPr>
                <w:rFonts w:ascii="宋体" w:hAnsi="宋体" w:eastAsia="宋体" w:cs="宋体"/>
                <w:spacing w:val="1"/>
                <w:sz w:val="21"/>
                <w:szCs w:val="21"/>
              </w:rPr>
              <w:t>十万元以下的罚款；逾期</w:t>
            </w:r>
            <w:r>
              <w:rPr>
                <w:rFonts w:ascii="宋体" w:hAnsi="宋体" w:eastAsia="宋体" w:cs="宋体"/>
                <w:sz w:val="21"/>
                <w:szCs w:val="21"/>
              </w:rPr>
              <w:t>未改正的，责令停产停业</w:t>
            </w:r>
            <w:r>
              <w:rPr>
                <w:rFonts w:ascii="宋体" w:hAnsi="宋体" w:eastAsia="宋体" w:cs="宋体"/>
                <w:spacing w:val="1"/>
                <w:sz w:val="21"/>
                <w:szCs w:val="21"/>
              </w:rPr>
              <w:t>整顿，并处十万元以上二</w:t>
            </w:r>
            <w:r>
              <w:rPr>
                <w:rFonts w:ascii="宋体" w:hAnsi="宋体" w:eastAsia="宋体" w:cs="宋体"/>
                <w:sz w:val="21"/>
                <w:szCs w:val="21"/>
              </w:rPr>
              <w:t>十万元以下的罚款，对其</w:t>
            </w:r>
            <w:r>
              <w:rPr>
                <w:rFonts w:ascii="宋体" w:hAnsi="宋体" w:eastAsia="宋体" w:cs="宋体"/>
                <w:spacing w:val="21"/>
                <w:sz w:val="21"/>
                <w:szCs w:val="21"/>
              </w:rPr>
              <w:t>直接负责的主管人员和其他直接责任人员处二万元以上五万元以下的</w:t>
            </w:r>
            <w:r>
              <w:rPr>
                <w:rFonts w:ascii="宋体" w:hAnsi="宋体" w:eastAsia="宋体" w:cs="宋体"/>
                <w:spacing w:val="1"/>
                <w:sz w:val="21"/>
                <w:szCs w:val="21"/>
              </w:rPr>
              <w:t>罚款；构成犯罪的，依照</w:t>
            </w:r>
            <w:r>
              <w:rPr>
                <w:rFonts w:ascii="宋体" w:hAnsi="宋体" w:eastAsia="宋体" w:cs="宋体"/>
                <w:spacing w:val="21"/>
                <w:sz w:val="21"/>
                <w:szCs w:val="21"/>
              </w:rPr>
              <w:t>刑法有关规定追究刑事</w:t>
            </w:r>
            <w:r>
              <w:rPr>
                <w:rFonts w:ascii="宋体" w:hAnsi="宋体" w:eastAsia="宋体" w:cs="宋体"/>
                <w:spacing w:val="-9"/>
                <w:sz w:val="21"/>
                <w:szCs w:val="21"/>
              </w:rPr>
              <w:t>责任：</w:t>
            </w:r>
          </w:p>
          <w:p w14:paraId="1D9F2330">
            <w:pPr>
              <w:spacing w:before="26" w:line="245" w:lineRule="auto"/>
              <w:ind w:left="146" w:right="49" w:firstLine="540"/>
              <w:jc w:val="both"/>
              <w:rPr>
                <w:rFonts w:ascii="宋体" w:hAnsi="宋体" w:eastAsia="宋体" w:cs="宋体"/>
                <w:sz w:val="21"/>
                <w:szCs w:val="21"/>
              </w:rPr>
            </w:pPr>
            <w:r>
              <w:rPr>
                <w:rFonts w:ascii="宋体" w:hAnsi="宋体" w:eastAsia="宋体" w:cs="宋体"/>
                <w:spacing w:val="14"/>
                <w:sz w:val="21"/>
                <w:szCs w:val="21"/>
              </w:rPr>
              <w:t>(四)未建立安全风</w:t>
            </w:r>
            <w:r>
              <w:rPr>
                <w:rFonts w:ascii="宋体" w:hAnsi="宋体" w:eastAsia="宋体" w:cs="宋体"/>
                <w:spacing w:val="21"/>
                <w:sz w:val="21"/>
                <w:szCs w:val="21"/>
              </w:rPr>
              <w:t>险分级管控制度或者未</w:t>
            </w:r>
            <w:r>
              <w:rPr>
                <w:rFonts w:ascii="宋体" w:hAnsi="宋体" w:eastAsia="宋体" w:cs="宋体"/>
                <w:spacing w:val="23"/>
                <w:sz w:val="21"/>
                <w:szCs w:val="21"/>
              </w:rPr>
              <w:t>按照安全风险分级采取</w:t>
            </w:r>
            <w:r>
              <w:rPr>
                <w:rFonts w:ascii="宋体" w:hAnsi="宋体" w:eastAsia="宋体" w:cs="宋体"/>
                <w:spacing w:val="15"/>
                <w:sz w:val="21"/>
                <w:szCs w:val="21"/>
              </w:rPr>
              <w:t>相应管控措施的；</w:t>
            </w:r>
          </w:p>
          <w:p w14:paraId="379CCB5F">
            <w:pPr>
              <w:spacing w:before="23" w:line="237" w:lineRule="auto"/>
              <w:ind w:left="146" w:right="29" w:firstLine="560"/>
              <w:jc w:val="both"/>
              <w:rPr>
                <w:rFonts w:ascii="宋体" w:hAnsi="宋体" w:eastAsia="宋体" w:cs="宋体"/>
                <w:sz w:val="21"/>
                <w:szCs w:val="21"/>
              </w:rPr>
            </w:pPr>
            <w:r>
              <w:rPr>
                <w:rFonts w:ascii="宋体" w:hAnsi="宋体" w:eastAsia="宋体" w:cs="宋体"/>
                <w:spacing w:val="14"/>
                <w:sz w:val="21"/>
                <w:szCs w:val="21"/>
              </w:rPr>
              <w:t>(五)未建立事故隐</w:t>
            </w:r>
            <w:r>
              <w:rPr>
                <w:rFonts w:ascii="宋体" w:hAnsi="宋体" w:eastAsia="宋体" w:cs="宋体"/>
                <w:spacing w:val="1"/>
                <w:sz w:val="21"/>
                <w:szCs w:val="21"/>
              </w:rPr>
              <w:t>患排查治理制度，或者重</w:t>
            </w:r>
            <w:r>
              <w:rPr>
                <w:rFonts w:ascii="宋体" w:hAnsi="宋体" w:eastAsia="宋体" w:cs="宋体"/>
                <w:spacing w:val="21"/>
                <w:sz w:val="21"/>
                <w:szCs w:val="21"/>
              </w:rPr>
              <w:t>大事故隐患排查治理情</w:t>
            </w:r>
            <w:r>
              <w:rPr>
                <w:rFonts w:ascii="宋体" w:hAnsi="宋体" w:eastAsia="宋体" w:cs="宋体"/>
                <w:spacing w:val="12"/>
                <w:sz w:val="21"/>
                <w:szCs w:val="21"/>
              </w:rPr>
              <w:t>况未按照规定报告的。</w:t>
            </w:r>
          </w:p>
        </w:tc>
        <w:tc>
          <w:tcPr>
            <w:tcW w:w="1244" w:type="dxa"/>
            <w:noWrap w:val="0"/>
            <w:vAlign w:val="top"/>
          </w:tcPr>
          <w:p w14:paraId="466F1289">
            <w:pPr>
              <w:rPr>
                <w:rFonts w:ascii="Arial"/>
                <w:sz w:val="21"/>
                <w:szCs w:val="21"/>
              </w:rPr>
            </w:pPr>
          </w:p>
        </w:tc>
      </w:tr>
      <w:tr w14:paraId="36EBD1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4" w:hRule="atLeast"/>
          <w:jc w:val="center"/>
        </w:trPr>
        <w:tc>
          <w:tcPr>
            <w:tcW w:w="864" w:type="dxa"/>
            <w:noWrap w:val="0"/>
            <w:vAlign w:val="top"/>
          </w:tcPr>
          <w:p w14:paraId="27928A63">
            <w:pPr>
              <w:spacing w:line="259" w:lineRule="auto"/>
              <w:rPr>
                <w:rFonts w:ascii="Arial"/>
                <w:sz w:val="21"/>
              </w:rPr>
            </w:pPr>
          </w:p>
          <w:p w14:paraId="38E11951">
            <w:pPr>
              <w:spacing w:line="259" w:lineRule="auto"/>
              <w:rPr>
                <w:rFonts w:ascii="Arial"/>
                <w:sz w:val="21"/>
              </w:rPr>
            </w:pPr>
          </w:p>
          <w:p w14:paraId="5C07BF78">
            <w:pPr>
              <w:spacing w:before="78" w:line="184" w:lineRule="auto"/>
              <w:ind w:left="305"/>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w:t>
            </w:r>
          </w:p>
        </w:tc>
        <w:tc>
          <w:tcPr>
            <w:tcW w:w="2239" w:type="dxa"/>
            <w:noWrap w:val="0"/>
            <w:vAlign w:val="top"/>
          </w:tcPr>
          <w:p w14:paraId="0C01CFE7">
            <w:pPr>
              <w:spacing w:before="108" w:line="230" w:lineRule="auto"/>
              <w:ind w:left="150" w:right="146"/>
              <w:jc w:val="both"/>
              <w:rPr>
                <w:rFonts w:ascii="宋体" w:hAnsi="宋体" w:eastAsia="宋体" w:cs="宋体"/>
                <w:sz w:val="21"/>
                <w:szCs w:val="21"/>
              </w:rPr>
            </w:pPr>
            <w:r>
              <w:rPr>
                <w:rFonts w:ascii="宋体" w:hAnsi="宋体" w:eastAsia="宋体" w:cs="宋体"/>
                <w:spacing w:val="1"/>
                <w:sz w:val="21"/>
                <w:szCs w:val="21"/>
              </w:rPr>
              <w:t>未建立并落实安全</w:t>
            </w:r>
            <w:r>
              <w:rPr>
                <w:rFonts w:ascii="宋体" w:hAnsi="宋体" w:eastAsia="宋体" w:cs="宋体"/>
                <w:spacing w:val="8"/>
                <w:sz w:val="21"/>
                <w:szCs w:val="21"/>
              </w:rPr>
              <w:t>生产责任制(包括</w:t>
            </w:r>
            <w:r>
              <w:rPr>
                <w:rFonts w:ascii="宋体" w:hAnsi="宋体" w:eastAsia="宋体" w:cs="宋体"/>
                <w:spacing w:val="1"/>
                <w:sz w:val="21"/>
                <w:szCs w:val="21"/>
              </w:rPr>
              <w:t>未建立重大危险源主要负责人、技术</w:t>
            </w:r>
          </w:p>
        </w:tc>
        <w:tc>
          <w:tcPr>
            <w:tcW w:w="3507" w:type="dxa"/>
            <w:noWrap w:val="0"/>
            <w:vAlign w:val="top"/>
          </w:tcPr>
          <w:p w14:paraId="5578D7E5">
            <w:pPr>
              <w:spacing w:before="118" w:line="244" w:lineRule="auto"/>
              <w:ind w:left="132" w:firstLine="468"/>
              <w:rPr>
                <w:rFonts w:ascii="宋体" w:hAnsi="宋体" w:eastAsia="宋体" w:cs="宋体"/>
                <w:sz w:val="21"/>
                <w:szCs w:val="21"/>
              </w:rPr>
            </w:pPr>
            <w:r>
              <w:rPr>
                <w:rFonts w:ascii="宋体" w:hAnsi="宋体" w:eastAsia="宋体" w:cs="宋体"/>
                <w:spacing w:val="-2"/>
                <w:sz w:val="21"/>
                <w:szCs w:val="21"/>
              </w:rPr>
              <w:t>1.《中华人民共和国安全生</w:t>
            </w:r>
            <w:r>
              <w:rPr>
                <w:rFonts w:ascii="宋体" w:hAnsi="宋体" w:eastAsia="宋体" w:cs="宋体"/>
                <w:spacing w:val="9"/>
                <w:sz w:val="21"/>
                <w:szCs w:val="21"/>
              </w:rPr>
              <w:t>产法》第二十一条第一项生产</w:t>
            </w:r>
            <w:r>
              <w:rPr>
                <w:rFonts w:ascii="宋体" w:hAnsi="宋体" w:eastAsia="宋体" w:cs="宋体"/>
                <w:spacing w:val="10"/>
                <w:sz w:val="21"/>
                <w:szCs w:val="21"/>
              </w:rPr>
              <w:t>经营单位的主要负责人对本单</w:t>
            </w:r>
          </w:p>
          <w:p w14:paraId="038ACA00">
            <w:pPr>
              <w:spacing w:before="38" w:line="189" w:lineRule="auto"/>
              <w:ind w:left="132"/>
              <w:rPr>
                <w:rFonts w:ascii="宋体" w:hAnsi="宋体" w:eastAsia="宋体" w:cs="宋体"/>
                <w:sz w:val="21"/>
                <w:szCs w:val="21"/>
              </w:rPr>
            </w:pPr>
            <w:r>
              <w:rPr>
                <w:rFonts w:ascii="宋体" w:hAnsi="宋体" w:eastAsia="宋体" w:cs="宋体"/>
                <w:spacing w:val="10"/>
                <w:sz w:val="21"/>
                <w:szCs w:val="21"/>
              </w:rPr>
              <w:t>位安全生产工作负有下列职责：</w:t>
            </w:r>
          </w:p>
        </w:tc>
        <w:tc>
          <w:tcPr>
            <w:tcW w:w="2868" w:type="dxa"/>
            <w:noWrap w:val="0"/>
            <w:vAlign w:val="top"/>
          </w:tcPr>
          <w:p w14:paraId="040922DF">
            <w:pPr>
              <w:spacing w:before="108" w:line="230" w:lineRule="auto"/>
              <w:ind w:left="105" w:right="3" w:firstLine="470"/>
              <w:rPr>
                <w:rFonts w:ascii="宋体" w:hAnsi="宋体" w:eastAsia="宋体" w:cs="宋体"/>
                <w:sz w:val="21"/>
                <w:szCs w:val="21"/>
              </w:rPr>
            </w:pPr>
            <w:r>
              <w:rPr>
                <w:rFonts w:ascii="宋体" w:hAnsi="宋体" w:eastAsia="宋体" w:cs="宋体"/>
                <w:spacing w:val="13"/>
                <w:sz w:val="21"/>
                <w:szCs w:val="21"/>
              </w:rPr>
              <w:t>《关于印发危险化学</w:t>
            </w:r>
            <w:r>
              <w:rPr>
                <w:rFonts w:ascii="宋体" w:hAnsi="宋体" w:eastAsia="宋体" w:cs="宋体"/>
                <w:spacing w:val="1"/>
                <w:sz w:val="21"/>
                <w:szCs w:val="21"/>
              </w:rPr>
              <w:t>品企业重大危险源安全包</w:t>
            </w:r>
            <w:r>
              <w:rPr>
                <w:rFonts w:ascii="宋体" w:hAnsi="宋体" w:eastAsia="宋体" w:cs="宋体"/>
                <w:spacing w:val="12"/>
                <w:sz w:val="21"/>
                <w:szCs w:val="21"/>
              </w:rPr>
              <w:t>保责任制办法(试行)的</w:t>
            </w:r>
            <w:r>
              <w:rPr>
                <w:rFonts w:ascii="宋体" w:hAnsi="宋体" w:eastAsia="宋体" w:cs="宋体"/>
                <w:spacing w:val="13"/>
                <w:sz w:val="21"/>
                <w:szCs w:val="21"/>
              </w:rPr>
              <w:t>通知》(应急厅〔2021〕</w:t>
            </w:r>
          </w:p>
        </w:tc>
        <w:tc>
          <w:tcPr>
            <w:tcW w:w="2838" w:type="dxa"/>
            <w:noWrap w:val="0"/>
            <w:vAlign w:val="top"/>
          </w:tcPr>
          <w:p w14:paraId="0526DD30">
            <w:pPr>
              <w:spacing w:before="97" w:line="232" w:lineRule="auto"/>
              <w:ind w:left="146" w:right="30" w:firstLine="470"/>
              <w:jc w:val="both"/>
              <w:rPr>
                <w:rFonts w:ascii="宋体" w:hAnsi="宋体" w:eastAsia="宋体" w:cs="宋体"/>
                <w:sz w:val="21"/>
                <w:szCs w:val="21"/>
              </w:rPr>
            </w:pPr>
            <w:r>
              <w:rPr>
                <w:rFonts w:ascii="宋体" w:hAnsi="宋体" w:eastAsia="宋体" w:cs="宋体"/>
                <w:spacing w:val="-14"/>
                <w:sz w:val="21"/>
                <w:szCs w:val="21"/>
              </w:rPr>
              <w:t>1.《中华人民共和国</w:t>
            </w:r>
            <w:r>
              <w:rPr>
                <w:rFonts w:ascii="宋体" w:hAnsi="宋体" w:eastAsia="宋体" w:cs="宋体"/>
                <w:sz w:val="21"/>
                <w:szCs w:val="21"/>
              </w:rPr>
              <w:t>安全生产法》第九十四条</w:t>
            </w:r>
            <w:r>
              <w:rPr>
                <w:rFonts w:ascii="宋体" w:hAnsi="宋体" w:eastAsia="宋体" w:cs="宋体"/>
                <w:spacing w:val="-3"/>
                <w:sz w:val="21"/>
                <w:szCs w:val="21"/>
              </w:rPr>
              <w:t>第一款、第二款生产经</w:t>
            </w:r>
            <w:r>
              <w:rPr>
                <w:rFonts w:ascii="宋体" w:hAnsi="宋体" w:eastAsia="宋体" w:cs="宋体"/>
                <w:spacing w:val="21"/>
                <w:sz w:val="21"/>
                <w:szCs w:val="21"/>
              </w:rPr>
              <w:t>营单位的主要负责人未</w:t>
            </w:r>
          </w:p>
        </w:tc>
        <w:tc>
          <w:tcPr>
            <w:tcW w:w="1244" w:type="dxa"/>
            <w:noWrap w:val="0"/>
            <w:vAlign w:val="top"/>
          </w:tcPr>
          <w:p w14:paraId="7B1A3060">
            <w:pPr>
              <w:spacing w:line="338" w:lineRule="auto"/>
              <w:rPr>
                <w:rFonts w:ascii="Arial"/>
                <w:sz w:val="21"/>
                <w:szCs w:val="21"/>
              </w:rPr>
            </w:pPr>
          </w:p>
          <w:p w14:paraId="33A9ECA4">
            <w:pPr>
              <w:spacing w:before="78" w:line="229" w:lineRule="auto"/>
              <w:ind w:left="108" w:right="154"/>
              <w:rPr>
                <w:rFonts w:ascii="宋体" w:hAnsi="宋体" w:eastAsia="宋体" w:cs="宋体"/>
                <w:sz w:val="21"/>
                <w:szCs w:val="21"/>
              </w:rPr>
            </w:pPr>
            <w:r>
              <w:rPr>
                <w:rFonts w:ascii="宋体" w:hAnsi="宋体" w:eastAsia="宋体" w:cs="宋体"/>
                <w:spacing w:val="2"/>
                <w:sz w:val="21"/>
                <w:szCs w:val="21"/>
              </w:rPr>
              <w:t>重大危险</w:t>
            </w:r>
            <w:r>
              <w:rPr>
                <w:rFonts w:ascii="宋体" w:hAnsi="宋体" w:eastAsia="宋体" w:cs="宋体"/>
                <w:spacing w:val="-2"/>
                <w:sz w:val="21"/>
                <w:szCs w:val="21"/>
              </w:rPr>
              <w:t>源管理</w:t>
            </w:r>
          </w:p>
        </w:tc>
      </w:tr>
    </w:tbl>
    <w:p w14:paraId="5F789C95">
      <w:pPr>
        <w:rPr>
          <w:rFonts w:ascii="Arial"/>
          <w:sz w:val="21"/>
        </w:rPr>
      </w:pPr>
    </w:p>
    <w:p w14:paraId="4E8D3DFC">
      <w:pPr>
        <w:sectPr>
          <w:pgSz w:w="16840" w:h="11900"/>
          <w:pgMar w:top="1440" w:right="1080" w:bottom="1440" w:left="1080" w:header="0" w:footer="0" w:gutter="0"/>
          <w:pgNumType w:fmt="decimal"/>
          <w:cols w:space="720" w:num="1"/>
        </w:sectPr>
      </w:pPr>
    </w:p>
    <w:p w14:paraId="655711CF"/>
    <w:p w14:paraId="29C0E7A0">
      <w:pPr>
        <w:spacing w:line="200" w:lineRule="exact"/>
      </w:pP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4"/>
        <w:gridCol w:w="2228"/>
        <w:gridCol w:w="3498"/>
        <w:gridCol w:w="2878"/>
        <w:gridCol w:w="3649"/>
        <w:gridCol w:w="696"/>
      </w:tblGrid>
      <w:tr w14:paraId="4E817B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jc w:val="center"/>
        </w:trPr>
        <w:tc>
          <w:tcPr>
            <w:tcW w:w="864" w:type="dxa"/>
            <w:noWrap w:val="0"/>
            <w:vAlign w:val="top"/>
          </w:tcPr>
          <w:p w14:paraId="5E5B1355">
            <w:pPr>
              <w:spacing w:before="226" w:line="221" w:lineRule="auto"/>
              <w:ind w:left="184"/>
              <w:rPr>
                <w:rFonts w:ascii="宋体" w:hAnsi="宋体" w:eastAsia="宋体" w:cs="宋体"/>
                <w:b/>
                <w:bCs/>
                <w:sz w:val="24"/>
                <w:szCs w:val="24"/>
              </w:rPr>
            </w:pPr>
            <w:r>
              <w:rPr>
                <w:rFonts w:ascii="宋体" w:hAnsi="宋体" w:eastAsia="宋体" w:cs="宋体"/>
                <w:b/>
                <w:bCs/>
                <w:spacing w:val="7"/>
                <w:sz w:val="24"/>
                <w:szCs w:val="24"/>
              </w:rPr>
              <w:t>序号</w:t>
            </w:r>
          </w:p>
        </w:tc>
        <w:tc>
          <w:tcPr>
            <w:tcW w:w="2228" w:type="dxa"/>
            <w:noWrap w:val="0"/>
            <w:vAlign w:val="top"/>
          </w:tcPr>
          <w:p w14:paraId="11FCA0A2">
            <w:pPr>
              <w:spacing w:before="75" w:line="219" w:lineRule="auto"/>
              <w:ind w:left="650"/>
              <w:rPr>
                <w:rFonts w:ascii="宋体" w:hAnsi="宋体" w:eastAsia="宋体" w:cs="宋体"/>
                <w:b/>
                <w:bCs/>
                <w:sz w:val="24"/>
                <w:szCs w:val="24"/>
              </w:rPr>
            </w:pPr>
            <w:r>
              <w:rPr>
                <w:rFonts w:ascii="宋体" w:hAnsi="宋体" w:eastAsia="宋体" w:cs="宋体"/>
                <w:b/>
                <w:bCs/>
                <w:spacing w:val="3"/>
                <w:sz w:val="24"/>
                <w:szCs w:val="24"/>
              </w:rPr>
              <w:t>执法检查</w:t>
            </w:r>
          </w:p>
          <w:p w14:paraId="52B3CA67">
            <w:pPr>
              <w:spacing w:before="54" w:line="200" w:lineRule="auto"/>
              <w:ind w:left="431"/>
              <w:rPr>
                <w:rFonts w:ascii="宋体" w:hAnsi="宋体" w:eastAsia="宋体" w:cs="宋体"/>
                <w:b/>
                <w:bCs/>
                <w:sz w:val="24"/>
                <w:szCs w:val="24"/>
              </w:rPr>
            </w:pPr>
            <w:r>
              <w:rPr>
                <w:rFonts w:ascii="宋体" w:hAnsi="宋体" w:eastAsia="宋体" w:cs="宋体"/>
                <w:b/>
                <w:bCs/>
                <w:spacing w:val="2"/>
                <w:sz w:val="24"/>
                <w:szCs w:val="24"/>
              </w:rPr>
              <w:t>重点事项内容</w:t>
            </w:r>
          </w:p>
        </w:tc>
        <w:tc>
          <w:tcPr>
            <w:tcW w:w="3498" w:type="dxa"/>
            <w:noWrap w:val="0"/>
            <w:vAlign w:val="top"/>
          </w:tcPr>
          <w:p w14:paraId="20096CC7">
            <w:pPr>
              <w:spacing w:before="219" w:line="219" w:lineRule="auto"/>
              <w:ind w:left="1036"/>
              <w:rPr>
                <w:rFonts w:ascii="宋体" w:hAnsi="宋体" w:eastAsia="宋体" w:cs="宋体"/>
                <w:b/>
                <w:bCs/>
                <w:sz w:val="24"/>
                <w:szCs w:val="24"/>
              </w:rPr>
            </w:pPr>
            <w:r>
              <w:rPr>
                <w:rFonts w:ascii="宋体" w:hAnsi="宋体" w:eastAsia="宋体" w:cs="宋体"/>
                <w:b/>
                <w:bCs/>
                <w:spacing w:val="-4"/>
                <w:sz w:val="24"/>
                <w:szCs w:val="24"/>
              </w:rPr>
              <w:t>执法检查依据</w:t>
            </w:r>
          </w:p>
        </w:tc>
        <w:tc>
          <w:tcPr>
            <w:tcW w:w="2878" w:type="dxa"/>
            <w:noWrap w:val="0"/>
            <w:vAlign w:val="top"/>
          </w:tcPr>
          <w:p w14:paraId="3FAE663E">
            <w:pPr>
              <w:spacing w:before="75" w:line="220" w:lineRule="auto"/>
              <w:ind w:left="864"/>
              <w:rPr>
                <w:rFonts w:ascii="宋体" w:hAnsi="宋体" w:eastAsia="宋体" w:cs="宋体"/>
                <w:b/>
                <w:bCs/>
                <w:sz w:val="24"/>
                <w:szCs w:val="24"/>
              </w:rPr>
            </w:pPr>
            <w:r>
              <w:rPr>
                <w:rFonts w:ascii="宋体" w:hAnsi="宋体" w:eastAsia="宋体" w:cs="宋体"/>
                <w:b/>
                <w:bCs/>
                <w:spacing w:val="-2"/>
                <w:sz w:val="24"/>
                <w:szCs w:val="24"/>
              </w:rPr>
              <w:t>有关规范性</w:t>
            </w:r>
          </w:p>
          <w:p w14:paraId="651636C2">
            <w:pPr>
              <w:spacing w:before="49" w:line="202" w:lineRule="auto"/>
              <w:ind w:left="628"/>
              <w:rPr>
                <w:rFonts w:ascii="宋体" w:hAnsi="宋体" w:eastAsia="宋体" w:cs="宋体"/>
                <w:b/>
                <w:bCs/>
                <w:sz w:val="24"/>
                <w:szCs w:val="24"/>
              </w:rPr>
            </w:pPr>
            <w:r>
              <w:rPr>
                <w:rFonts w:ascii="宋体" w:hAnsi="宋体" w:eastAsia="宋体" w:cs="宋体"/>
                <w:b/>
                <w:bCs/>
                <w:spacing w:val="-4"/>
                <w:sz w:val="24"/>
                <w:szCs w:val="24"/>
              </w:rPr>
              <w:t>文件及标准要求</w:t>
            </w:r>
          </w:p>
        </w:tc>
        <w:tc>
          <w:tcPr>
            <w:tcW w:w="3649" w:type="dxa"/>
            <w:noWrap w:val="0"/>
            <w:vAlign w:val="top"/>
          </w:tcPr>
          <w:p w14:paraId="1FE0F1F0">
            <w:pPr>
              <w:spacing w:before="223" w:line="219" w:lineRule="auto"/>
              <w:ind w:left="946"/>
              <w:rPr>
                <w:rFonts w:ascii="宋体" w:hAnsi="宋体" w:eastAsia="宋体" w:cs="宋体"/>
                <w:b/>
                <w:bCs/>
                <w:sz w:val="24"/>
                <w:szCs w:val="24"/>
              </w:rPr>
            </w:pPr>
            <w:r>
              <w:rPr>
                <w:rFonts w:ascii="宋体" w:hAnsi="宋体" w:eastAsia="宋体" w:cs="宋体"/>
                <w:b/>
                <w:bCs/>
                <w:spacing w:val="8"/>
                <w:sz w:val="24"/>
                <w:szCs w:val="24"/>
              </w:rPr>
              <w:t>处罚依据</w:t>
            </w:r>
          </w:p>
        </w:tc>
        <w:tc>
          <w:tcPr>
            <w:tcW w:w="696" w:type="dxa"/>
            <w:noWrap w:val="0"/>
            <w:vAlign w:val="top"/>
          </w:tcPr>
          <w:p w14:paraId="4FE2A60D">
            <w:pPr>
              <w:spacing w:before="222" w:line="221" w:lineRule="auto"/>
              <w:ind w:left="382"/>
              <w:rPr>
                <w:rFonts w:ascii="宋体" w:hAnsi="宋体" w:eastAsia="宋体" w:cs="宋体"/>
                <w:b/>
                <w:bCs/>
                <w:sz w:val="24"/>
                <w:szCs w:val="24"/>
              </w:rPr>
            </w:pPr>
            <w:r>
              <w:rPr>
                <w:rFonts w:ascii="宋体" w:hAnsi="宋体" w:eastAsia="宋体" w:cs="宋体"/>
                <w:b/>
                <w:bCs/>
                <w:spacing w:val="-6"/>
                <w:sz w:val="24"/>
                <w:szCs w:val="24"/>
              </w:rPr>
              <w:t>备注</w:t>
            </w:r>
          </w:p>
        </w:tc>
      </w:tr>
      <w:tr w14:paraId="463C87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0" w:hRule="atLeast"/>
          <w:jc w:val="center"/>
        </w:trPr>
        <w:tc>
          <w:tcPr>
            <w:tcW w:w="864" w:type="dxa"/>
            <w:noWrap w:val="0"/>
            <w:vAlign w:val="top"/>
          </w:tcPr>
          <w:p w14:paraId="74400C2E">
            <w:pPr>
              <w:rPr>
                <w:rFonts w:ascii="Arial"/>
                <w:sz w:val="21"/>
              </w:rPr>
            </w:pPr>
          </w:p>
        </w:tc>
        <w:tc>
          <w:tcPr>
            <w:tcW w:w="2228" w:type="dxa"/>
            <w:noWrap w:val="0"/>
            <w:vAlign w:val="top"/>
          </w:tcPr>
          <w:p w14:paraId="3A26E390">
            <w:pPr>
              <w:spacing w:before="79"/>
              <w:ind w:left="130" w:right="77" w:firstLine="70"/>
              <w:jc w:val="both"/>
              <w:rPr>
                <w:rFonts w:ascii="宋体" w:hAnsi="宋体" w:eastAsia="宋体" w:cs="宋体"/>
                <w:sz w:val="21"/>
                <w:szCs w:val="21"/>
              </w:rPr>
            </w:pPr>
            <w:r>
              <w:rPr>
                <w:rFonts w:ascii="宋体" w:hAnsi="宋体" w:eastAsia="宋体" w:cs="宋体"/>
                <w:spacing w:val="1"/>
                <w:sz w:val="21"/>
                <w:szCs w:val="21"/>
              </w:rPr>
              <w:t>负责人、操作负责</w:t>
            </w:r>
            <w:r>
              <w:rPr>
                <w:rFonts w:ascii="宋体" w:hAnsi="宋体" w:eastAsia="宋体" w:cs="宋体"/>
                <w:spacing w:val="10"/>
                <w:sz w:val="21"/>
                <w:szCs w:val="21"/>
              </w:rPr>
              <w:t>人的安全包保责任</w:t>
            </w:r>
            <w:r>
              <w:rPr>
                <w:rFonts w:ascii="宋体" w:hAnsi="宋体" w:eastAsia="宋体" w:cs="宋体"/>
                <w:spacing w:val="11"/>
                <w:sz w:val="21"/>
                <w:szCs w:val="21"/>
              </w:rPr>
              <w:t>制并如实履职等相</w:t>
            </w:r>
            <w:r>
              <w:rPr>
                <w:rFonts w:ascii="宋体" w:hAnsi="宋体" w:eastAsia="宋体" w:cs="宋体"/>
                <w:spacing w:val="23"/>
                <w:sz w:val="21"/>
                <w:szCs w:val="21"/>
              </w:rPr>
              <w:t>关情形)。</w:t>
            </w:r>
          </w:p>
        </w:tc>
        <w:tc>
          <w:tcPr>
            <w:tcW w:w="3498" w:type="dxa"/>
            <w:noWrap w:val="0"/>
            <w:vAlign w:val="top"/>
          </w:tcPr>
          <w:p w14:paraId="7883B189">
            <w:pPr>
              <w:spacing w:before="80" w:line="255" w:lineRule="auto"/>
              <w:ind w:left="132" w:firstLine="566"/>
              <w:jc w:val="both"/>
              <w:rPr>
                <w:rFonts w:ascii="宋体" w:hAnsi="宋体" w:eastAsia="宋体" w:cs="宋体"/>
                <w:sz w:val="21"/>
                <w:szCs w:val="21"/>
              </w:rPr>
            </w:pPr>
            <w:r>
              <w:rPr>
                <w:rFonts w:ascii="宋体" w:hAnsi="宋体" w:eastAsia="宋体" w:cs="宋体"/>
                <w:spacing w:val="12"/>
                <w:sz w:val="21"/>
                <w:szCs w:val="21"/>
              </w:rPr>
              <w:t>(一)建立健全并落实本单</w:t>
            </w:r>
            <w:r>
              <w:rPr>
                <w:rFonts w:ascii="宋体" w:hAnsi="宋体" w:eastAsia="宋体" w:cs="宋体"/>
                <w:spacing w:val="9"/>
                <w:sz w:val="21"/>
                <w:szCs w:val="21"/>
              </w:rPr>
              <w:t>位全员安全生产责任制，加强安</w:t>
            </w:r>
            <w:r>
              <w:rPr>
                <w:rFonts w:ascii="宋体" w:hAnsi="宋体" w:eastAsia="宋体" w:cs="宋体"/>
                <w:spacing w:val="21"/>
                <w:sz w:val="21"/>
                <w:szCs w:val="21"/>
              </w:rPr>
              <w:t>全生产标准化建设。</w:t>
            </w:r>
          </w:p>
          <w:p w14:paraId="6290EE58">
            <w:pPr>
              <w:spacing w:before="29" w:line="249" w:lineRule="auto"/>
              <w:ind w:left="132" w:firstLine="462"/>
              <w:jc w:val="both"/>
              <w:rPr>
                <w:rFonts w:ascii="宋体" w:hAnsi="宋体" w:eastAsia="宋体" w:cs="宋体"/>
                <w:sz w:val="21"/>
                <w:szCs w:val="21"/>
              </w:rPr>
            </w:pPr>
            <w:r>
              <w:rPr>
                <w:rFonts w:ascii="宋体" w:hAnsi="宋体" w:eastAsia="宋体" w:cs="宋体"/>
                <w:spacing w:val="12"/>
                <w:sz w:val="21"/>
                <w:szCs w:val="21"/>
              </w:rPr>
              <w:t>第二十二条第一款生产</w:t>
            </w:r>
            <w:r>
              <w:rPr>
                <w:rFonts w:ascii="宋体" w:hAnsi="宋体" w:eastAsia="宋体" w:cs="宋体"/>
                <w:spacing w:val="14"/>
                <w:sz w:val="21"/>
                <w:szCs w:val="21"/>
              </w:rPr>
              <w:t>经营单位的全员安全生产责任</w:t>
            </w:r>
            <w:r>
              <w:rPr>
                <w:rFonts w:ascii="宋体" w:hAnsi="宋体" w:eastAsia="宋体" w:cs="宋体"/>
                <w:spacing w:val="9"/>
                <w:sz w:val="21"/>
                <w:szCs w:val="21"/>
              </w:rPr>
              <w:t>制应当明确各岗位的责任人员、</w:t>
            </w:r>
            <w:r>
              <w:rPr>
                <w:rFonts w:ascii="宋体" w:hAnsi="宋体" w:eastAsia="宋体" w:cs="宋体"/>
                <w:spacing w:val="10"/>
                <w:sz w:val="21"/>
                <w:szCs w:val="21"/>
              </w:rPr>
              <w:t>责任范围和考核标准等内容。</w:t>
            </w:r>
          </w:p>
          <w:p w14:paraId="139D0774">
            <w:pPr>
              <w:spacing w:before="41" w:line="254" w:lineRule="auto"/>
              <w:ind w:left="132" w:firstLine="456"/>
              <w:jc w:val="both"/>
              <w:rPr>
                <w:rFonts w:ascii="宋体" w:hAnsi="宋体" w:eastAsia="宋体" w:cs="宋体"/>
                <w:sz w:val="21"/>
                <w:szCs w:val="21"/>
              </w:rPr>
            </w:pPr>
            <w:r>
              <w:rPr>
                <w:rFonts w:ascii="宋体" w:hAnsi="宋体" w:eastAsia="宋体" w:cs="宋体"/>
                <w:spacing w:val="-3"/>
                <w:sz w:val="21"/>
                <w:szCs w:val="21"/>
              </w:rPr>
              <w:t>2.《危险化学品重大危险源</w:t>
            </w:r>
            <w:r>
              <w:rPr>
                <w:rFonts w:ascii="宋体" w:hAnsi="宋体" w:eastAsia="宋体" w:cs="宋体"/>
                <w:spacing w:val="10"/>
                <w:sz w:val="21"/>
                <w:szCs w:val="21"/>
              </w:rPr>
              <w:t>监督管理暂行规定》(国家安全</w:t>
            </w:r>
            <w:r>
              <w:rPr>
                <w:rFonts w:ascii="宋体" w:hAnsi="宋体" w:eastAsia="宋体" w:cs="宋体"/>
                <w:spacing w:val="26"/>
                <w:sz w:val="21"/>
                <w:szCs w:val="21"/>
              </w:rPr>
              <w:t>监管总局令第40号)第十六条</w:t>
            </w:r>
            <w:r>
              <w:rPr>
                <w:rFonts w:ascii="宋体" w:hAnsi="宋体" w:eastAsia="宋体" w:cs="宋体"/>
                <w:spacing w:val="21"/>
                <w:sz w:val="21"/>
                <w:szCs w:val="21"/>
              </w:rPr>
              <w:t>危险化学品单位应当明确重大</w:t>
            </w:r>
            <w:r>
              <w:rPr>
                <w:rFonts w:ascii="宋体" w:hAnsi="宋体" w:eastAsia="宋体" w:cs="宋体"/>
                <w:spacing w:val="9"/>
                <w:sz w:val="21"/>
                <w:szCs w:val="21"/>
              </w:rPr>
              <w:t>危险源中关键装置、重点部位的责任人或者责任机构，并对重大</w:t>
            </w:r>
            <w:r>
              <w:rPr>
                <w:rFonts w:ascii="宋体" w:hAnsi="宋体" w:eastAsia="宋体" w:cs="宋体"/>
                <w:spacing w:val="21"/>
                <w:sz w:val="21"/>
                <w:szCs w:val="21"/>
              </w:rPr>
              <w:t>危险源的安全生产状况进行定</w:t>
            </w:r>
            <w:r>
              <w:rPr>
                <w:rFonts w:ascii="宋体" w:hAnsi="宋体" w:eastAsia="宋体" w:cs="宋体"/>
                <w:spacing w:val="9"/>
                <w:sz w:val="21"/>
                <w:szCs w:val="21"/>
              </w:rPr>
              <w:t>期检查，及时采取措施消除事故</w:t>
            </w:r>
            <w:r>
              <w:rPr>
                <w:rFonts w:ascii="宋体" w:hAnsi="宋体" w:eastAsia="宋体" w:cs="宋体"/>
                <w:spacing w:val="-10"/>
                <w:sz w:val="21"/>
                <w:szCs w:val="21"/>
              </w:rPr>
              <w:t>隐患。</w:t>
            </w:r>
          </w:p>
        </w:tc>
        <w:tc>
          <w:tcPr>
            <w:tcW w:w="2878" w:type="dxa"/>
            <w:noWrap w:val="0"/>
            <w:vAlign w:val="top"/>
          </w:tcPr>
          <w:p w14:paraId="700157CD">
            <w:pPr>
              <w:spacing w:before="79" w:line="219" w:lineRule="auto"/>
              <w:ind w:left="145"/>
              <w:rPr>
                <w:rFonts w:ascii="宋体" w:hAnsi="宋体" w:eastAsia="宋体" w:cs="宋体"/>
                <w:sz w:val="21"/>
                <w:szCs w:val="21"/>
              </w:rPr>
            </w:pPr>
            <w:r>
              <w:rPr>
                <w:rFonts w:ascii="宋体" w:hAnsi="宋体" w:eastAsia="宋体" w:cs="宋体"/>
                <w:spacing w:val="-1"/>
                <w:sz w:val="21"/>
                <w:szCs w:val="21"/>
              </w:rPr>
              <w:t>12号)第二章包保责</w:t>
            </w:r>
          </w:p>
          <w:p w14:paraId="115270C9">
            <w:pPr>
              <w:spacing w:before="26" w:line="219" w:lineRule="auto"/>
              <w:ind w:left="145"/>
              <w:rPr>
                <w:rFonts w:ascii="宋体" w:hAnsi="宋体" w:eastAsia="宋体" w:cs="宋体"/>
                <w:sz w:val="21"/>
                <w:szCs w:val="21"/>
              </w:rPr>
            </w:pPr>
            <w:r>
              <w:rPr>
                <w:rFonts w:ascii="宋体" w:hAnsi="宋体" w:eastAsia="宋体" w:cs="宋体"/>
                <w:spacing w:val="-5"/>
                <w:sz w:val="21"/>
                <w:szCs w:val="21"/>
              </w:rPr>
              <w:t>任。</w:t>
            </w:r>
          </w:p>
        </w:tc>
        <w:tc>
          <w:tcPr>
            <w:tcW w:w="3649" w:type="dxa"/>
            <w:noWrap w:val="0"/>
            <w:vAlign w:val="top"/>
          </w:tcPr>
          <w:p w14:paraId="500D5E5B">
            <w:pPr>
              <w:spacing w:before="80" w:line="255" w:lineRule="auto"/>
              <w:ind w:left="156"/>
              <w:jc w:val="both"/>
              <w:rPr>
                <w:rFonts w:ascii="宋体" w:hAnsi="宋体" w:eastAsia="宋体" w:cs="宋体"/>
                <w:sz w:val="21"/>
                <w:szCs w:val="21"/>
              </w:rPr>
            </w:pPr>
            <w:r>
              <w:rPr>
                <w:rFonts w:ascii="宋体" w:hAnsi="宋体" w:eastAsia="宋体" w:cs="宋体"/>
                <w:spacing w:val="23"/>
                <w:sz w:val="21"/>
                <w:szCs w:val="21"/>
              </w:rPr>
              <w:t>履行本法规定的安全生</w:t>
            </w:r>
            <w:r>
              <w:rPr>
                <w:rFonts w:ascii="宋体" w:hAnsi="宋体" w:eastAsia="宋体" w:cs="宋体"/>
                <w:spacing w:val="4"/>
                <w:sz w:val="21"/>
                <w:szCs w:val="21"/>
              </w:rPr>
              <w:t>产管理职责的，责令限期改正，处二万元以上五万元以下的罚款；逾期未改正的，处五万元以上十万元以下的罚款，责令生产</w:t>
            </w:r>
            <w:r>
              <w:rPr>
                <w:rFonts w:ascii="宋体" w:hAnsi="宋体" w:eastAsia="宋体" w:cs="宋体"/>
                <w:spacing w:val="13"/>
                <w:sz w:val="21"/>
                <w:szCs w:val="21"/>
              </w:rPr>
              <w:t>经营单位停产停业整顿。</w:t>
            </w:r>
          </w:p>
          <w:p w14:paraId="3D29ADCF">
            <w:pPr>
              <w:spacing w:before="40" w:line="241" w:lineRule="auto"/>
              <w:ind w:left="156" w:right="25" w:firstLine="460"/>
              <w:jc w:val="both"/>
              <w:rPr>
                <w:rFonts w:ascii="宋体" w:hAnsi="宋体" w:eastAsia="宋体" w:cs="宋体"/>
                <w:sz w:val="21"/>
                <w:szCs w:val="21"/>
              </w:rPr>
            </w:pPr>
            <w:r>
              <w:rPr>
                <w:rFonts w:ascii="宋体" w:hAnsi="宋体" w:eastAsia="宋体" w:cs="宋体"/>
                <w:spacing w:val="26"/>
                <w:sz w:val="21"/>
                <w:szCs w:val="21"/>
              </w:rPr>
              <w:t>生产经营单位的主</w:t>
            </w:r>
            <w:r>
              <w:rPr>
                <w:rFonts w:ascii="宋体" w:hAnsi="宋体" w:eastAsia="宋体" w:cs="宋体"/>
                <w:spacing w:val="19"/>
                <w:sz w:val="21"/>
                <w:szCs w:val="21"/>
              </w:rPr>
              <w:t>要负责人有前款违法行</w:t>
            </w:r>
            <w:r>
              <w:rPr>
                <w:rFonts w:ascii="宋体" w:hAnsi="宋体" w:eastAsia="宋体" w:cs="宋体"/>
                <w:spacing w:val="1"/>
                <w:sz w:val="21"/>
                <w:szCs w:val="21"/>
              </w:rPr>
              <w:t>为，导致发生生产安全事故的，给予撤职处分；构成犯罪的，依照刑法有关</w:t>
            </w:r>
            <w:r>
              <w:rPr>
                <w:rFonts w:ascii="宋体" w:hAnsi="宋体" w:eastAsia="宋体" w:cs="宋体"/>
                <w:spacing w:val="13"/>
                <w:sz w:val="21"/>
                <w:szCs w:val="21"/>
              </w:rPr>
              <w:t>规定追究刑事责任。</w:t>
            </w:r>
          </w:p>
          <w:p w14:paraId="23161F77">
            <w:pPr>
              <w:spacing w:before="26" w:line="252" w:lineRule="auto"/>
              <w:ind w:left="156" w:right="25" w:firstLine="480"/>
              <w:jc w:val="both"/>
              <w:rPr>
                <w:rFonts w:ascii="宋体" w:hAnsi="宋体" w:eastAsia="宋体" w:cs="宋体"/>
                <w:sz w:val="21"/>
                <w:szCs w:val="21"/>
              </w:rPr>
            </w:pPr>
            <w:r>
              <w:rPr>
                <w:rFonts w:ascii="宋体" w:hAnsi="宋体" w:eastAsia="宋体" w:cs="宋体"/>
                <w:spacing w:val="27"/>
                <w:sz w:val="21"/>
                <w:szCs w:val="21"/>
              </w:rPr>
              <w:t>第九十六条生产</w:t>
            </w:r>
            <w:r>
              <w:rPr>
                <w:rFonts w:ascii="宋体" w:hAnsi="宋体" w:eastAsia="宋体" w:cs="宋体"/>
                <w:spacing w:val="31"/>
                <w:sz w:val="21"/>
                <w:szCs w:val="21"/>
              </w:rPr>
              <w:t>经营单位的其他负责人</w:t>
            </w:r>
            <w:r>
              <w:rPr>
                <w:rFonts w:ascii="宋体" w:hAnsi="宋体" w:eastAsia="宋体" w:cs="宋体"/>
                <w:spacing w:val="33"/>
                <w:sz w:val="21"/>
                <w:szCs w:val="21"/>
              </w:rPr>
              <w:t>和安全生产管理人员未履行本法规定的安全生</w:t>
            </w:r>
            <w:r>
              <w:rPr>
                <w:rFonts w:ascii="宋体" w:hAnsi="宋体" w:eastAsia="宋体" w:cs="宋体"/>
                <w:spacing w:val="11"/>
                <w:sz w:val="21"/>
                <w:szCs w:val="21"/>
              </w:rPr>
              <w:t>产管理职责的，责令限期改正，处一万元以上三万元以下的罚款；导致发生生产安全事故的，暂停或</w:t>
            </w:r>
            <w:r>
              <w:rPr>
                <w:rFonts w:ascii="宋体" w:hAnsi="宋体" w:eastAsia="宋体" w:cs="宋体"/>
                <w:spacing w:val="31"/>
                <w:sz w:val="21"/>
                <w:szCs w:val="21"/>
              </w:rPr>
              <w:t>者吊销其与安全生产有</w:t>
            </w:r>
            <w:r>
              <w:rPr>
                <w:rFonts w:ascii="宋体" w:hAnsi="宋体" w:eastAsia="宋体" w:cs="宋体"/>
                <w:spacing w:val="10"/>
                <w:sz w:val="21"/>
                <w:szCs w:val="21"/>
              </w:rPr>
              <w:t>关的资格，并处上一年年</w:t>
            </w:r>
          </w:p>
        </w:tc>
        <w:tc>
          <w:tcPr>
            <w:tcW w:w="696" w:type="dxa"/>
            <w:noWrap w:val="0"/>
            <w:vAlign w:val="top"/>
          </w:tcPr>
          <w:p w14:paraId="5D143404">
            <w:pPr>
              <w:rPr>
                <w:rFonts w:ascii="Arial"/>
                <w:sz w:val="21"/>
              </w:rPr>
            </w:pPr>
          </w:p>
        </w:tc>
      </w:tr>
    </w:tbl>
    <w:p w14:paraId="79AEE712">
      <w:pPr>
        <w:rPr>
          <w:rFonts w:ascii="Arial"/>
          <w:sz w:val="21"/>
        </w:rPr>
      </w:pPr>
    </w:p>
    <w:p w14:paraId="5B31DC0A">
      <w:pPr>
        <w:sectPr>
          <w:pgSz w:w="16840" w:h="11900"/>
          <w:pgMar w:top="1440" w:right="1080" w:bottom="1440" w:left="1080" w:header="0" w:footer="0" w:gutter="0"/>
          <w:pgNumType w:fmt="decimal"/>
          <w:cols w:space="720" w:num="1"/>
        </w:sectPr>
      </w:pPr>
    </w:p>
    <w:p w14:paraId="6878A202"/>
    <w:p w14:paraId="4895357E"/>
    <w:p w14:paraId="721797E2">
      <w:pPr>
        <w:spacing w:line="119" w:lineRule="exact"/>
      </w:pP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4"/>
        <w:gridCol w:w="2238"/>
        <w:gridCol w:w="3508"/>
        <w:gridCol w:w="2868"/>
        <w:gridCol w:w="3073"/>
        <w:gridCol w:w="1330"/>
      </w:tblGrid>
      <w:tr w14:paraId="419CE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jc w:val="center"/>
        </w:trPr>
        <w:tc>
          <w:tcPr>
            <w:tcW w:w="874" w:type="dxa"/>
            <w:noWrap w:val="0"/>
            <w:vAlign w:val="top"/>
          </w:tcPr>
          <w:p w14:paraId="0C465F5D">
            <w:pPr>
              <w:spacing w:before="212" w:line="221" w:lineRule="auto"/>
              <w:ind w:left="188"/>
              <w:rPr>
                <w:rFonts w:ascii="宋体" w:hAnsi="宋体" w:eastAsia="宋体" w:cs="宋体"/>
                <w:b/>
                <w:bCs/>
                <w:sz w:val="24"/>
                <w:szCs w:val="24"/>
              </w:rPr>
            </w:pPr>
            <w:r>
              <w:rPr>
                <w:rFonts w:ascii="宋体" w:hAnsi="宋体" w:eastAsia="宋体" w:cs="宋体"/>
                <w:b/>
                <w:bCs/>
                <w:spacing w:val="-5"/>
                <w:sz w:val="24"/>
                <w:szCs w:val="24"/>
              </w:rPr>
              <w:t>序号</w:t>
            </w:r>
          </w:p>
        </w:tc>
        <w:tc>
          <w:tcPr>
            <w:tcW w:w="2238" w:type="dxa"/>
            <w:noWrap w:val="0"/>
            <w:vAlign w:val="top"/>
          </w:tcPr>
          <w:p w14:paraId="734E0822">
            <w:pPr>
              <w:spacing w:before="75" w:line="219" w:lineRule="auto"/>
              <w:ind w:left="631"/>
              <w:rPr>
                <w:rFonts w:ascii="宋体" w:hAnsi="宋体" w:eastAsia="宋体" w:cs="宋体"/>
                <w:b/>
                <w:bCs/>
                <w:sz w:val="24"/>
                <w:szCs w:val="24"/>
              </w:rPr>
            </w:pPr>
            <w:r>
              <w:rPr>
                <w:rFonts w:ascii="宋体" w:hAnsi="宋体" w:eastAsia="宋体" w:cs="宋体"/>
                <w:b/>
                <w:bCs/>
                <w:spacing w:val="3"/>
                <w:sz w:val="24"/>
                <w:szCs w:val="24"/>
              </w:rPr>
              <w:t>执法检查</w:t>
            </w:r>
          </w:p>
          <w:p w14:paraId="2B3C37E8">
            <w:pPr>
              <w:spacing w:before="44" w:line="200" w:lineRule="auto"/>
              <w:ind w:left="391"/>
              <w:rPr>
                <w:rFonts w:ascii="宋体" w:hAnsi="宋体" w:eastAsia="宋体" w:cs="宋体"/>
                <w:b/>
                <w:bCs/>
                <w:sz w:val="24"/>
                <w:szCs w:val="24"/>
              </w:rPr>
            </w:pPr>
            <w:r>
              <w:rPr>
                <w:rFonts w:ascii="宋体" w:hAnsi="宋体" w:eastAsia="宋体" w:cs="宋体"/>
                <w:b/>
                <w:bCs/>
                <w:spacing w:val="2"/>
                <w:sz w:val="24"/>
                <w:szCs w:val="24"/>
              </w:rPr>
              <w:t>重点事项内容</w:t>
            </w:r>
          </w:p>
        </w:tc>
        <w:tc>
          <w:tcPr>
            <w:tcW w:w="3508" w:type="dxa"/>
            <w:noWrap w:val="0"/>
            <w:vAlign w:val="top"/>
          </w:tcPr>
          <w:p w14:paraId="3254F401">
            <w:pPr>
              <w:spacing w:before="213" w:line="219" w:lineRule="auto"/>
              <w:ind w:left="1023"/>
              <w:rPr>
                <w:rFonts w:ascii="宋体" w:hAnsi="宋体" w:eastAsia="宋体" w:cs="宋体"/>
                <w:b/>
                <w:bCs/>
                <w:sz w:val="24"/>
                <w:szCs w:val="24"/>
              </w:rPr>
            </w:pPr>
            <w:r>
              <w:rPr>
                <w:rFonts w:ascii="宋体" w:hAnsi="宋体" w:eastAsia="宋体" w:cs="宋体"/>
                <w:b/>
                <w:bCs/>
                <w:spacing w:val="9"/>
                <w:sz w:val="24"/>
                <w:szCs w:val="24"/>
              </w:rPr>
              <w:t>执法检查依据</w:t>
            </w:r>
          </w:p>
        </w:tc>
        <w:tc>
          <w:tcPr>
            <w:tcW w:w="2868" w:type="dxa"/>
            <w:noWrap w:val="0"/>
            <w:vAlign w:val="top"/>
          </w:tcPr>
          <w:p w14:paraId="7B6541F4">
            <w:pPr>
              <w:spacing w:before="75" w:line="220" w:lineRule="auto"/>
              <w:ind w:left="825"/>
              <w:rPr>
                <w:rFonts w:ascii="宋体" w:hAnsi="宋体" w:eastAsia="宋体" w:cs="宋体"/>
                <w:b/>
                <w:bCs/>
                <w:sz w:val="24"/>
                <w:szCs w:val="24"/>
              </w:rPr>
            </w:pPr>
            <w:r>
              <w:rPr>
                <w:rFonts w:ascii="宋体" w:hAnsi="宋体" w:eastAsia="宋体" w:cs="宋体"/>
                <w:b/>
                <w:bCs/>
                <w:spacing w:val="-2"/>
                <w:sz w:val="24"/>
                <w:szCs w:val="24"/>
              </w:rPr>
              <w:t>有关规范性</w:t>
            </w:r>
          </w:p>
          <w:p w14:paraId="65C49602">
            <w:pPr>
              <w:spacing w:before="33" w:line="207" w:lineRule="auto"/>
              <w:ind w:left="585"/>
              <w:rPr>
                <w:rFonts w:ascii="宋体" w:hAnsi="宋体" w:eastAsia="宋体" w:cs="宋体"/>
                <w:b/>
                <w:bCs/>
                <w:sz w:val="24"/>
                <w:szCs w:val="24"/>
              </w:rPr>
            </w:pPr>
            <w:r>
              <w:rPr>
                <w:rFonts w:ascii="宋体" w:hAnsi="宋体" w:eastAsia="宋体" w:cs="宋体"/>
                <w:b/>
                <w:bCs/>
                <w:spacing w:val="1"/>
                <w:sz w:val="24"/>
                <w:szCs w:val="24"/>
              </w:rPr>
              <w:t>文件及标准要求</w:t>
            </w:r>
          </w:p>
        </w:tc>
        <w:tc>
          <w:tcPr>
            <w:tcW w:w="3073" w:type="dxa"/>
            <w:noWrap w:val="0"/>
            <w:vAlign w:val="top"/>
          </w:tcPr>
          <w:p w14:paraId="58E43458">
            <w:pPr>
              <w:spacing w:before="213" w:line="219" w:lineRule="auto"/>
              <w:ind w:left="966"/>
              <w:rPr>
                <w:rFonts w:ascii="宋体" w:hAnsi="宋体" w:eastAsia="宋体" w:cs="宋体"/>
                <w:b/>
                <w:bCs/>
                <w:sz w:val="24"/>
                <w:szCs w:val="24"/>
              </w:rPr>
            </w:pPr>
            <w:r>
              <w:rPr>
                <w:rFonts w:ascii="宋体" w:hAnsi="宋体" w:eastAsia="宋体" w:cs="宋体"/>
                <w:b/>
                <w:bCs/>
                <w:spacing w:val="3"/>
                <w:sz w:val="24"/>
                <w:szCs w:val="24"/>
              </w:rPr>
              <w:t>处罚依据</w:t>
            </w:r>
          </w:p>
        </w:tc>
        <w:tc>
          <w:tcPr>
            <w:tcW w:w="1330" w:type="dxa"/>
            <w:noWrap w:val="0"/>
            <w:vAlign w:val="top"/>
          </w:tcPr>
          <w:p w14:paraId="745A89D4">
            <w:pPr>
              <w:spacing w:before="212" w:line="221" w:lineRule="auto"/>
              <w:ind w:left="432"/>
              <w:rPr>
                <w:rFonts w:ascii="宋体" w:hAnsi="宋体" w:eastAsia="宋体" w:cs="宋体"/>
                <w:b/>
                <w:bCs/>
                <w:sz w:val="24"/>
                <w:szCs w:val="24"/>
              </w:rPr>
            </w:pPr>
            <w:r>
              <w:rPr>
                <w:rFonts w:ascii="宋体" w:hAnsi="宋体" w:eastAsia="宋体" w:cs="宋体"/>
                <w:b/>
                <w:bCs/>
                <w:spacing w:val="-6"/>
                <w:sz w:val="24"/>
                <w:szCs w:val="24"/>
              </w:rPr>
              <w:t>备注</w:t>
            </w:r>
          </w:p>
        </w:tc>
      </w:tr>
      <w:tr w14:paraId="0E8890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3" w:hRule="atLeast"/>
          <w:jc w:val="center"/>
        </w:trPr>
        <w:tc>
          <w:tcPr>
            <w:tcW w:w="874" w:type="dxa"/>
            <w:noWrap w:val="0"/>
            <w:vAlign w:val="top"/>
          </w:tcPr>
          <w:p w14:paraId="00C779B5">
            <w:pPr>
              <w:rPr>
                <w:rFonts w:ascii="Arial"/>
                <w:sz w:val="21"/>
                <w:szCs w:val="21"/>
              </w:rPr>
            </w:pPr>
          </w:p>
        </w:tc>
        <w:tc>
          <w:tcPr>
            <w:tcW w:w="2238" w:type="dxa"/>
            <w:noWrap w:val="0"/>
            <w:vAlign w:val="top"/>
          </w:tcPr>
          <w:p w14:paraId="5855A2C9">
            <w:pPr>
              <w:rPr>
                <w:rFonts w:ascii="Arial"/>
                <w:sz w:val="21"/>
                <w:szCs w:val="21"/>
              </w:rPr>
            </w:pPr>
          </w:p>
        </w:tc>
        <w:tc>
          <w:tcPr>
            <w:tcW w:w="3508" w:type="dxa"/>
            <w:noWrap w:val="0"/>
            <w:vAlign w:val="top"/>
          </w:tcPr>
          <w:p w14:paraId="16588A0D">
            <w:pPr>
              <w:rPr>
                <w:rFonts w:ascii="Arial"/>
                <w:sz w:val="21"/>
                <w:szCs w:val="21"/>
              </w:rPr>
            </w:pPr>
          </w:p>
        </w:tc>
        <w:tc>
          <w:tcPr>
            <w:tcW w:w="2868" w:type="dxa"/>
            <w:noWrap w:val="0"/>
            <w:vAlign w:val="top"/>
          </w:tcPr>
          <w:p w14:paraId="1A55B32B">
            <w:pPr>
              <w:rPr>
                <w:rFonts w:ascii="Arial"/>
                <w:sz w:val="21"/>
                <w:szCs w:val="21"/>
              </w:rPr>
            </w:pPr>
          </w:p>
        </w:tc>
        <w:tc>
          <w:tcPr>
            <w:tcW w:w="3073" w:type="dxa"/>
            <w:noWrap w:val="0"/>
            <w:vAlign w:val="top"/>
          </w:tcPr>
          <w:p w14:paraId="1C6410C2">
            <w:pPr>
              <w:spacing w:before="90" w:line="241" w:lineRule="auto"/>
              <w:ind w:left="117" w:right="55"/>
              <w:jc w:val="both"/>
              <w:rPr>
                <w:rFonts w:ascii="宋体" w:hAnsi="宋体" w:eastAsia="宋体" w:cs="宋体"/>
                <w:sz w:val="21"/>
                <w:szCs w:val="21"/>
              </w:rPr>
            </w:pPr>
            <w:r>
              <w:rPr>
                <w:rFonts w:ascii="宋体" w:hAnsi="宋体" w:eastAsia="宋体" w:cs="宋体"/>
                <w:spacing w:val="21"/>
                <w:sz w:val="21"/>
                <w:szCs w:val="21"/>
              </w:rPr>
              <w:t>收入百分之二十以上百</w:t>
            </w:r>
            <w:r>
              <w:rPr>
                <w:rFonts w:ascii="宋体" w:hAnsi="宋体" w:eastAsia="宋体" w:cs="宋体"/>
                <w:spacing w:val="1"/>
                <w:sz w:val="21"/>
                <w:szCs w:val="21"/>
              </w:rPr>
              <w:t>分之五十以下的罚款；构成犯罪的，依照刑法有关</w:t>
            </w:r>
            <w:r>
              <w:rPr>
                <w:rFonts w:ascii="宋体" w:hAnsi="宋体" w:eastAsia="宋体" w:cs="宋体"/>
                <w:spacing w:val="13"/>
                <w:sz w:val="21"/>
                <w:szCs w:val="21"/>
              </w:rPr>
              <w:t>规定追究刑事责任。</w:t>
            </w:r>
          </w:p>
          <w:p w14:paraId="4CAF7B52">
            <w:pPr>
              <w:spacing w:before="31" w:line="244" w:lineRule="auto"/>
              <w:ind w:left="117" w:right="42" w:firstLine="459"/>
              <w:jc w:val="both"/>
              <w:rPr>
                <w:rFonts w:ascii="宋体" w:hAnsi="宋体" w:eastAsia="宋体" w:cs="宋体"/>
                <w:sz w:val="21"/>
                <w:szCs w:val="21"/>
              </w:rPr>
            </w:pPr>
            <w:r>
              <w:rPr>
                <w:rFonts w:ascii="宋体" w:hAnsi="宋体" w:eastAsia="宋体" w:cs="宋体"/>
                <w:spacing w:val="-14"/>
                <w:sz w:val="21"/>
                <w:szCs w:val="21"/>
              </w:rPr>
              <w:t>2.《危险化学品重大</w:t>
            </w:r>
            <w:r>
              <w:rPr>
                <w:rFonts w:ascii="宋体" w:hAnsi="宋体" w:eastAsia="宋体" w:cs="宋体"/>
                <w:spacing w:val="23"/>
                <w:sz w:val="21"/>
                <w:szCs w:val="21"/>
              </w:rPr>
              <w:t>危险源监督管理暂行规</w:t>
            </w:r>
            <w:r>
              <w:rPr>
                <w:rFonts w:ascii="宋体" w:hAnsi="宋体" w:eastAsia="宋体" w:cs="宋体"/>
                <w:spacing w:val="9"/>
                <w:sz w:val="21"/>
                <w:szCs w:val="21"/>
              </w:rPr>
              <w:t>定》(国家安全监管总局</w:t>
            </w:r>
            <w:r>
              <w:rPr>
                <w:rFonts w:ascii="宋体" w:hAnsi="宋体" w:eastAsia="宋体" w:cs="宋体"/>
                <w:spacing w:val="30"/>
                <w:sz w:val="21"/>
                <w:szCs w:val="21"/>
              </w:rPr>
              <w:t>令第40号)第三十四条</w:t>
            </w:r>
            <w:r>
              <w:rPr>
                <w:rFonts w:ascii="宋体" w:hAnsi="宋体" w:eastAsia="宋体" w:cs="宋体"/>
                <w:spacing w:val="14"/>
                <w:sz w:val="21"/>
                <w:szCs w:val="21"/>
              </w:rPr>
              <w:t>第二项危险化学品单</w:t>
            </w:r>
            <w:r>
              <w:rPr>
                <w:rFonts w:ascii="宋体" w:hAnsi="宋体" w:eastAsia="宋体" w:cs="宋体"/>
                <w:spacing w:val="2"/>
                <w:sz w:val="21"/>
                <w:szCs w:val="21"/>
              </w:rPr>
              <w:t>位有下列情形之一的，由</w:t>
            </w:r>
            <w:r>
              <w:rPr>
                <w:rFonts w:ascii="宋体" w:hAnsi="宋体" w:eastAsia="宋体" w:cs="宋体"/>
                <w:spacing w:val="21"/>
                <w:sz w:val="21"/>
                <w:szCs w:val="21"/>
              </w:rPr>
              <w:t>县级以上人民政府安全生产监督管理部门给予</w:t>
            </w:r>
            <w:r>
              <w:rPr>
                <w:rFonts w:ascii="宋体" w:hAnsi="宋体" w:eastAsia="宋体" w:cs="宋体"/>
                <w:spacing w:val="17"/>
                <w:sz w:val="21"/>
                <w:szCs w:val="21"/>
              </w:rPr>
              <w:t>警告，可以并处5000元</w:t>
            </w:r>
            <w:r>
              <w:rPr>
                <w:rFonts w:ascii="宋体" w:hAnsi="宋体" w:eastAsia="宋体" w:cs="宋体"/>
                <w:spacing w:val="10"/>
                <w:sz w:val="21"/>
                <w:szCs w:val="21"/>
              </w:rPr>
              <w:t>以上3万元以下的罚款：</w:t>
            </w:r>
          </w:p>
          <w:p w14:paraId="149BF8D6">
            <w:pPr>
              <w:spacing w:before="23" w:line="235" w:lineRule="auto"/>
              <w:ind w:left="117" w:right="75" w:firstLine="579"/>
              <w:jc w:val="both"/>
              <w:rPr>
                <w:rFonts w:ascii="宋体" w:hAnsi="宋体" w:eastAsia="宋体" w:cs="宋体"/>
                <w:sz w:val="21"/>
                <w:szCs w:val="21"/>
              </w:rPr>
            </w:pPr>
            <w:r>
              <w:rPr>
                <w:rFonts w:ascii="宋体" w:hAnsi="宋体" w:eastAsia="宋体" w:cs="宋体"/>
                <w:spacing w:val="15"/>
                <w:sz w:val="21"/>
                <w:szCs w:val="21"/>
              </w:rPr>
              <w:t>(二)未按照本规定</w:t>
            </w:r>
            <w:r>
              <w:rPr>
                <w:rFonts w:ascii="宋体" w:hAnsi="宋体" w:eastAsia="宋体" w:cs="宋体"/>
                <w:spacing w:val="20"/>
                <w:sz w:val="21"/>
                <w:szCs w:val="21"/>
              </w:rPr>
              <w:t>明确重大危险源中关键</w:t>
            </w:r>
            <w:r>
              <w:rPr>
                <w:rFonts w:ascii="宋体" w:hAnsi="宋体" w:eastAsia="宋体" w:cs="宋体"/>
                <w:spacing w:val="-1"/>
                <w:sz w:val="21"/>
                <w:szCs w:val="21"/>
              </w:rPr>
              <w:t>装置、重点部位的责任人</w:t>
            </w:r>
            <w:r>
              <w:rPr>
                <w:rFonts w:ascii="宋体" w:hAnsi="宋体" w:eastAsia="宋体" w:cs="宋体"/>
                <w:spacing w:val="14"/>
                <w:sz w:val="21"/>
                <w:szCs w:val="21"/>
              </w:rPr>
              <w:t>或者责任机构的。</w:t>
            </w:r>
          </w:p>
        </w:tc>
        <w:tc>
          <w:tcPr>
            <w:tcW w:w="1330" w:type="dxa"/>
            <w:noWrap w:val="0"/>
            <w:vAlign w:val="top"/>
          </w:tcPr>
          <w:p w14:paraId="6C5E3735">
            <w:pPr>
              <w:rPr>
                <w:rFonts w:ascii="Arial"/>
                <w:sz w:val="21"/>
                <w:szCs w:val="21"/>
              </w:rPr>
            </w:pPr>
          </w:p>
        </w:tc>
      </w:tr>
      <w:tr w14:paraId="6B91F8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23" w:hRule="atLeast"/>
          <w:jc w:val="center"/>
        </w:trPr>
        <w:tc>
          <w:tcPr>
            <w:tcW w:w="874" w:type="dxa"/>
            <w:noWrap w:val="0"/>
            <w:vAlign w:val="top"/>
          </w:tcPr>
          <w:p w14:paraId="24E39795">
            <w:pPr>
              <w:spacing w:line="338" w:lineRule="auto"/>
              <w:rPr>
                <w:rFonts w:ascii="Arial"/>
                <w:sz w:val="21"/>
                <w:szCs w:val="21"/>
              </w:rPr>
            </w:pPr>
          </w:p>
          <w:p w14:paraId="69B768B2">
            <w:pPr>
              <w:spacing w:line="338" w:lineRule="auto"/>
              <w:rPr>
                <w:rFonts w:ascii="Arial"/>
                <w:sz w:val="21"/>
                <w:szCs w:val="21"/>
              </w:rPr>
            </w:pPr>
          </w:p>
          <w:p w14:paraId="0582A10B">
            <w:pPr>
              <w:spacing w:before="78" w:line="184" w:lineRule="auto"/>
              <w:ind w:left="305"/>
              <w:rPr>
                <w:rFonts w:ascii="宋体" w:hAnsi="宋体" w:eastAsia="宋体" w:cs="宋体"/>
                <w:sz w:val="21"/>
                <w:szCs w:val="21"/>
              </w:rPr>
            </w:pPr>
          </w:p>
        </w:tc>
        <w:tc>
          <w:tcPr>
            <w:tcW w:w="2238" w:type="dxa"/>
            <w:noWrap w:val="0"/>
            <w:vAlign w:val="top"/>
          </w:tcPr>
          <w:p w14:paraId="1928B088">
            <w:pPr>
              <w:spacing w:before="96" w:line="245" w:lineRule="auto"/>
              <w:ind w:left="151" w:right="141"/>
              <w:jc w:val="both"/>
              <w:rPr>
                <w:rFonts w:ascii="宋体" w:hAnsi="宋体" w:eastAsia="宋体" w:cs="宋体"/>
                <w:sz w:val="21"/>
                <w:szCs w:val="21"/>
              </w:rPr>
            </w:pPr>
            <w:r>
              <w:rPr>
                <w:rFonts w:ascii="宋体" w:hAnsi="宋体" w:eastAsia="宋体" w:cs="宋体"/>
                <w:spacing w:val="11"/>
                <w:sz w:val="21"/>
                <w:szCs w:val="21"/>
              </w:rPr>
              <w:t>构成一级、二级重大危险源的危险化学品罐区未实现紧急切断功能；涉及毒性气体、液化气</w:t>
            </w:r>
          </w:p>
        </w:tc>
        <w:tc>
          <w:tcPr>
            <w:tcW w:w="3508" w:type="dxa"/>
            <w:noWrap w:val="0"/>
            <w:vAlign w:val="top"/>
          </w:tcPr>
          <w:p w14:paraId="757CBD5D">
            <w:pPr>
              <w:spacing w:before="90" w:line="246" w:lineRule="auto"/>
              <w:ind w:left="123" w:firstLine="470"/>
              <w:jc w:val="both"/>
              <w:rPr>
                <w:rFonts w:ascii="宋体" w:hAnsi="宋体" w:eastAsia="宋体" w:cs="宋体"/>
                <w:sz w:val="21"/>
                <w:szCs w:val="21"/>
              </w:rPr>
            </w:pPr>
            <w:r>
              <w:rPr>
                <w:rFonts w:ascii="宋体" w:hAnsi="宋体" w:eastAsia="宋体" w:cs="宋体"/>
                <w:spacing w:val="-2"/>
                <w:sz w:val="21"/>
                <w:szCs w:val="21"/>
              </w:rPr>
              <w:t>1.《中华人民共和国安全生</w:t>
            </w:r>
            <w:r>
              <w:rPr>
                <w:rFonts w:ascii="宋体" w:hAnsi="宋体" w:eastAsia="宋体" w:cs="宋体"/>
                <w:spacing w:val="9"/>
                <w:sz w:val="21"/>
                <w:szCs w:val="21"/>
              </w:rPr>
              <w:t>产法》第四十一条第二款生产</w:t>
            </w:r>
            <w:r>
              <w:rPr>
                <w:rFonts w:ascii="宋体" w:hAnsi="宋体" w:eastAsia="宋体" w:cs="宋体"/>
                <w:spacing w:val="21"/>
                <w:sz w:val="21"/>
                <w:szCs w:val="21"/>
              </w:rPr>
              <w:t>经营单位应当建立健全并落实</w:t>
            </w:r>
            <w:r>
              <w:rPr>
                <w:rFonts w:ascii="宋体" w:hAnsi="宋体" w:eastAsia="宋体" w:cs="宋体"/>
                <w:spacing w:val="22"/>
                <w:sz w:val="21"/>
                <w:szCs w:val="21"/>
              </w:rPr>
              <w:t>生产安全事故隐患排查治理制</w:t>
            </w:r>
            <w:r>
              <w:rPr>
                <w:rFonts w:ascii="宋体" w:hAnsi="宋体" w:eastAsia="宋体" w:cs="宋体"/>
                <w:spacing w:val="11"/>
                <w:sz w:val="21"/>
                <w:szCs w:val="21"/>
              </w:rPr>
              <w:t>度，采取技术、管理措施，及时</w:t>
            </w:r>
          </w:p>
        </w:tc>
        <w:tc>
          <w:tcPr>
            <w:tcW w:w="2868" w:type="dxa"/>
            <w:noWrap w:val="0"/>
            <w:vAlign w:val="top"/>
          </w:tcPr>
          <w:p w14:paraId="1EFE6DB2">
            <w:pPr>
              <w:rPr>
                <w:rFonts w:ascii="Arial"/>
                <w:sz w:val="21"/>
                <w:szCs w:val="21"/>
              </w:rPr>
            </w:pPr>
          </w:p>
        </w:tc>
        <w:tc>
          <w:tcPr>
            <w:tcW w:w="3073" w:type="dxa"/>
            <w:noWrap w:val="0"/>
            <w:vAlign w:val="top"/>
          </w:tcPr>
          <w:p w14:paraId="2FBB45CD">
            <w:pPr>
              <w:spacing w:before="78" w:line="248" w:lineRule="auto"/>
              <w:ind w:left="117" w:firstLine="432"/>
              <w:jc w:val="both"/>
              <w:rPr>
                <w:rFonts w:ascii="宋体" w:hAnsi="宋体" w:eastAsia="宋体" w:cs="宋体"/>
                <w:sz w:val="21"/>
                <w:szCs w:val="21"/>
              </w:rPr>
            </w:pPr>
            <w:r>
              <w:rPr>
                <w:rFonts w:ascii="宋体" w:hAnsi="宋体" w:eastAsia="宋体" w:cs="宋体"/>
                <w:spacing w:val="32"/>
                <w:sz w:val="21"/>
                <w:szCs w:val="21"/>
              </w:rPr>
              <w:t>《中华人民共和国</w:t>
            </w:r>
            <w:r>
              <w:rPr>
                <w:rFonts w:ascii="宋体" w:hAnsi="宋体" w:eastAsia="宋体" w:cs="宋体"/>
                <w:spacing w:val="6"/>
                <w:sz w:val="21"/>
                <w:szCs w:val="21"/>
              </w:rPr>
              <w:t>安全生产法》第一百零二</w:t>
            </w:r>
            <w:r>
              <w:rPr>
                <w:rFonts w:ascii="宋体" w:hAnsi="宋体" w:eastAsia="宋体" w:cs="宋体"/>
                <w:spacing w:val="20"/>
                <w:sz w:val="21"/>
                <w:szCs w:val="21"/>
              </w:rPr>
              <w:t>条生产经营单位未采</w:t>
            </w:r>
            <w:r>
              <w:rPr>
                <w:rFonts w:ascii="宋体" w:hAnsi="宋体" w:eastAsia="宋体" w:cs="宋体"/>
                <w:spacing w:val="16"/>
                <w:sz w:val="21"/>
                <w:szCs w:val="21"/>
              </w:rPr>
              <w:t>取措施消除事故隐患的，</w:t>
            </w:r>
            <w:r>
              <w:rPr>
                <w:rFonts w:ascii="宋体" w:hAnsi="宋体" w:eastAsia="宋体" w:cs="宋体"/>
                <w:spacing w:val="26"/>
                <w:sz w:val="21"/>
                <w:szCs w:val="21"/>
              </w:rPr>
              <w:t>责令立即消除或者限期</w:t>
            </w:r>
          </w:p>
        </w:tc>
        <w:tc>
          <w:tcPr>
            <w:tcW w:w="1330" w:type="dxa"/>
            <w:noWrap w:val="0"/>
            <w:vAlign w:val="top"/>
          </w:tcPr>
          <w:p w14:paraId="21900BA6">
            <w:pPr>
              <w:spacing w:line="249" w:lineRule="auto"/>
              <w:rPr>
                <w:rFonts w:ascii="Arial"/>
                <w:sz w:val="21"/>
                <w:szCs w:val="21"/>
              </w:rPr>
            </w:pPr>
          </w:p>
          <w:p w14:paraId="66A1617F">
            <w:pPr>
              <w:spacing w:line="249" w:lineRule="auto"/>
              <w:rPr>
                <w:rFonts w:ascii="Arial"/>
                <w:sz w:val="21"/>
                <w:szCs w:val="21"/>
              </w:rPr>
            </w:pPr>
          </w:p>
          <w:p w14:paraId="2C7F1346">
            <w:pPr>
              <w:spacing w:before="78" w:line="232" w:lineRule="auto"/>
              <w:ind w:left="129" w:right="114" w:firstLine="20"/>
              <w:rPr>
                <w:rFonts w:ascii="宋体" w:hAnsi="宋体" w:eastAsia="宋体" w:cs="宋体"/>
                <w:sz w:val="21"/>
                <w:szCs w:val="21"/>
              </w:rPr>
            </w:pPr>
            <w:r>
              <w:rPr>
                <w:rFonts w:ascii="宋体" w:hAnsi="宋体" w:eastAsia="宋体" w:cs="宋体"/>
                <w:spacing w:val="2"/>
                <w:sz w:val="21"/>
                <w:szCs w:val="21"/>
              </w:rPr>
              <w:t>重大危险</w:t>
            </w:r>
            <w:r>
              <w:rPr>
                <w:rFonts w:ascii="宋体" w:hAnsi="宋体" w:eastAsia="宋体" w:cs="宋体"/>
                <w:spacing w:val="-2"/>
                <w:sz w:val="21"/>
                <w:szCs w:val="21"/>
              </w:rPr>
              <w:t>源管理</w:t>
            </w:r>
          </w:p>
        </w:tc>
      </w:tr>
    </w:tbl>
    <w:p w14:paraId="766BBC30">
      <w:pPr>
        <w:rPr>
          <w:rFonts w:ascii="Arial"/>
          <w:sz w:val="21"/>
        </w:rPr>
      </w:pPr>
    </w:p>
    <w:p w14:paraId="3557F69D">
      <w:pPr>
        <w:sectPr>
          <w:pgSz w:w="16840" w:h="11900"/>
          <w:pgMar w:top="1440" w:right="1080" w:bottom="1440" w:left="1080" w:header="0" w:footer="0" w:gutter="0"/>
          <w:pgNumType w:fmt="decimal"/>
          <w:cols w:space="720" w:num="1"/>
        </w:sectPr>
      </w:pPr>
    </w:p>
    <w:p w14:paraId="38DE2C59"/>
    <w:p w14:paraId="644652D7">
      <w:pPr>
        <w:spacing w:line="190" w:lineRule="exact"/>
      </w:pP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4"/>
        <w:gridCol w:w="2219"/>
        <w:gridCol w:w="3507"/>
        <w:gridCol w:w="2868"/>
        <w:gridCol w:w="3232"/>
        <w:gridCol w:w="1144"/>
      </w:tblGrid>
      <w:tr w14:paraId="26B8B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jc w:val="center"/>
        </w:trPr>
        <w:tc>
          <w:tcPr>
            <w:tcW w:w="874" w:type="dxa"/>
            <w:noWrap w:val="0"/>
            <w:vAlign w:val="top"/>
          </w:tcPr>
          <w:p w14:paraId="4BE19035">
            <w:pPr>
              <w:spacing w:before="226" w:line="221" w:lineRule="auto"/>
              <w:ind w:left="184"/>
              <w:rPr>
                <w:rFonts w:ascii="宋体" w:hAnsi="宋体" w:eastAsia="宋体" w:cs="宋体"/>
                <w:b/>
                <w:bCs/>
                <w:sz w:val="24"/>
                <w:szCs w:val="24"/>
              </w:rPr>
            </w:pPr>
            <w:r>
              <w:rPr>
                <w:rFonts w:ascii="宋体" w:hAnsi="宋体" w:eastAsia="宋体" w:cs="宋体"/>
                <w:b/>
                <w:bCs/>
                <w:spacing w:val="7"/>
                <w:sz w:val="24"/>
                <w:szCs w:val="24"/>
              </w:rPr>
              <w:t>序号</w:t>
            </w:r>
          </w:p>
        </w:tc>
        <w:tc>
          <w:tcPr>
            <w:tcW w:w="2219" w:type="dxa"/>
            <w:noWrap w:val="0"/>
            <w:vAlign w:val="top"/>
          </w:tcPr>
          <w:p w14:paraId="064A7369">
            <w:pPr>
              <w:spacing w:before="81" w:line="219" w:lineRule="auto"/>
              <w:ind w:left="624"/>
              <w:rPr>
                <w:rFonts w:ascii="宋体" w:hAnsi="宋体" w:eastAsia="宋体" w:cs="宋体"/>
                <w:b/>
                <w:bCs/>
                <w:sz w:val="24"/>
                <w:szCs w:val="24"/>
              </w:rPr>
            </w:pPr>
            <w:r>
              <w:rPr>
                <w:rFonts w:ascii="宋体" w:hAnsi="宋体" w:eastAsia="宋体" w:cs="宋体"/>
                <w:b/>
                <w:bCs/>
                <w:spacing w:val="-5"/>
                <w:sz w:val="24"/>
                <w:szCs w:val="24"/>
              </w:rPr>
              <w:t>执法检查</w:t>
            </w:r>
          </w:p>
          <w:p w14:paraId="266E8894">
            <w:pPr>
              <w:spacing w:before="45" w:line="202" w:lineRule="auto"/>
              <w:ind w:left="404"/>
              <w:rPr>
                <w:rFonts w:ascii="宋体" w:hAnsi="宋体" w:eastAsia="宋体" w:cs="宋体"/>
                <w:b/>
                <w:bCs/>
                <w:sz w:val="24"/>
                <w:szCs w:val="24"/>
              </w:rPr>
            </w:pPr>
            <w:r>
              <w:rPr>
                <w:rFonts w:ascii="宋体" w:hAnsi="宋体" w:eastAsia="宋体" w:cs="宋体"/>
                <w:b/>
                <w:bCs/>
                <w:spacing w:val="-4"/>
                <w:sz w:val="24"/>
                <w:szCs w:val="24"/>
              </w:rPr>
              <w:t>重点事项内容</w:t>
            </w:r>
          </w:p>
        </w:tc>
        <w:tc>
          <w:tcPr>
            <w:tcW w:w="3507" w:type="dxa"/>
            <w:noWrap w:val="0"/>
            <w:vAlign w:val="top"/>
          </w:tcPr>
          <w:p w14:paraId="41710380">
            <w:pPr>
              <w:spacing w:before="219" w:line="219" w:lineRule="auto"/>
              <w:ind w:left="1045"/>
              <w:rPr>
                <w:rFonts w:ascii="宋体" w:hAnsi="宋体" w:eastAsia="宋体" w:cs="宋体"/>
                <w:b/>
                <w:bCs/>
                <w:sz w:val="24"/>
                <w:szCs w:val="24"/>
              </w:rPr>
            </w:pPr>
            <w:r>
              <w:rPr>
                <w:rFonts w:ascii="宋体" w:hAnsi="宋体" w:eastAsia="宋体" w:cs="宋体"/>
                <w:b/>
                <w:bCs/>
                <w:spacing w:val="2"/>
                <w:sz w:val="24"/>
                <w:szCs w:val="24"/>
              </w:rPr>
              <w:t>执法检查依据</w:t>
            </w:r>
          </w:p>
        </w:tc>
        <w:tc>
          <w:tcPr>
            <w:tcW w:w="2868" w:type="dxa"/>
            <w:noWrap w:val="0"/>
            <w:vAlign w:val="top"/>
          </w:tcPr>
          <w:p w14:paraId="0CB32602">
            <w:pPr>
              <w:spacing w:before="85" w:line="220" w:lineRule="auto"/>
              <w:ind w:left="824"/>
              <w:rPr>
                <w:rFonts w:ascii="宋体" w:hAnsi="宋体" w:eastAsia="宋体" w:cs="宋体"/>
                <w:b/>
                <w:bCs/>
                <w:sz w:val="24"/>
                <w:szCs w:val="24"/>
              </w:rPr>
            </w:pPr>
            <w:r>
              <w:rPr>
                <w:rFonts w:ascii="宋体" w:hAnsi="宋体" w:eastAsia="宋体" w:cs="宋体"/>
                <w:b/>
                <w:bCs/>
                <w:spacing w:val="-2"/>
                <w:sz w:val="24"/>
                <w:szCs w:val="24"/>
              </w:rPr>
              <w:t>有关规范性</w:t>
            </w:r>
          </w:p>
          <w:p w14:paraId="038DAF9E">
            <w:pPr>
              <w:spacing w:before="42" w:line="200" w:lineRule="auto"/>
              <w:ind w:left="585"/>
              <w:rPr>
                <w:rFonts w:ascii="宋体" w:hAnsi="宋体" w:eastAsia="宋体" w:cs="宋体"/>
                <w:b/>
                <w:bCs/>
                <w:sz w:val="24"/>
                <w:szCs w:val="24"/>
              </w:rPr>
            </w:pPr>
            <w:r>
              <w:rPr>
                <w:rFonts w:ascii="宋体" w:hAnsi="宋体" w:eastAsia="宋体" w:cs="宋体"/>
                <w:b/>
                <w:bCs/>
                <w:spacing w:val="1"/>
                <w:sz w:val="24"/>
                <w:szCs w:val="24"/>
              </w:rPr>
              <w:t>文件及标准要求</w:t>
            </w:r>
          </w:p>
        </w:tc>
        <w:tc>
          <w:tcPr>
            <w:tcW w:w="3232" w:type="dxa"/>
            <w:noWrap w:val="0"/>
            <w:vAlign w:val="top"/>
          </w:tcPr>
          <w:p w14:paraId="3AFBEE59">
            <w:pPr>
              <w:spacing w:before="223" w:line="219" w:lineRule="auto"/>
              <w:ind w:left="966"/>
              <w:rPr>
                <w:rFonts w:ascii="宋体" w:hAnsi="宋体" w:eastAsia="宋体" w:cs="宋体"/>
                <w:b/>
                <w:bCs/>
                <w:sz w:val="24"/>
                <w:szCs w:val="24"/>
              </w:rPr>
            </w:pPr>
            <w:r>
              <w:rPr>
                <w:rFonts w:ascii="宋体" w:hAnsi="宋体" w:eastAsia="宋体" w:cs="宋体"/>
                <w:b/>
                <w:bCs/>
                <w:spacing w:val="8"/>
                <w:sz w:val="24"/>
                <w:szCs w:val="24"/>
              </w:rPr>
              <w:t>处罚依据</w:t>
            </w:r>
          </w:p>
        </w:tc>
        <w:tc>
          <w:tcPr>
            <w:tcW w:w="1144" w:type="dxa"/>
            <w:noWrap w:val="0"/>
            <w:vAlign w:val="top"/>
          </w:tcPr>
          <w:p w14:paraId="07B2734D">
            <w:pPr>
              <w:spacing w:before="222" w:line="221" w:lineRule="auto"/>
              <w:ind w:left="382"/>
              <w:rPr>
                <w:rFonts w:ascii="宋体" w:hAnsi="宋体" w:eastAsia="宋体" w:cs="宋体"/>
                <w:b/>
                <w:bCs/>
                <w:sz w:val="24"/>
                <w:szCs w:val="24"/>
              </w:rPr>
            </w:pPr>
            <w:r>
              <w:rPr>
                <w:rFonts w:ascii="宋体" w:hAnsi="宋体" w:eastAsia="宋体" w:cs="宋体"/>
                <w:b/>
                <w:bCs/>
                <w:spacing w:val="-6"/>
                <w:sz w:val="24"/>
                <w:szCs w:val="24"/>
              </w:rPr>
              <w:t>备注</w:t>
            </w:r>
          </w:p>
        </w:tc>
      </w:tr>
      <w:tr w14:paraId="677AE6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5" w:hRule="atLeast"/>
          <w:jc w:val="center"/>
        </w:trPr>
        <w:tc>
          <w:tcPr>
            <w:tcW w:w="874" w:type="dxa"/>
            <w:noWrap w:val="0"/>
            <w:vAlign w:val="center"/>
          </w:tcPr>
          <w:p w14:paraId="5336CC41">
            <w:pPr>
              <w:jc w:val="center"/>
              <w:rPr>
                <w:rFonts w:hint="eastAsia" w:ascii="Arial" w:eastAsia="宋体"/>
                <w:sz w:val="21"/>
                <w:szCs w:val="21"/>
                <w:lang w:val="en-US" w:eastAsia="zh-CN"/>
              </w:rPr>
            </w:pPr>
            <w:r>
              <w:rPr>
                <w:rFonts w:hint="eastAsia" w:ascii="宋体" w:hAnsi="宋体" w:eastAsia="宋体" w:cs="宋体"/>
                <w:sz w:val="21"/>
                <w:szCs w:val="21"/>
                <w:lang w:val="en-US" w:eastAsia="zh-CN"/>
              </w:rPr>
              <w:t>10</w:t>
            </w:r>
          </w:p>
        </w:tc>
        <w:tc>
          <w:tcPr>
            <w:tcW w:w="2219" w:type="dxa"/>
            <w:noWrap w:val="0"/>
            <w:vAlign w:val="top"/>
          </w:tcPr>
          <w:p w14:paraId="1060ABA4">
            <w:pPr>
              <w:spacing w:before="89" w:line="241" w:lineRule="auto"/>
              <w:ind w:left="130" w:right="143"/>
              <w:jc w:val="both"/>
              <w:rPr>
                <w:rFonts w:ascii="宋体" w:hAnsi="宋体" w:eastAsia="宋体" w:cs="宋体"/>
                <w:sz w:val="21"/>
                <w:szCs w:val="21"/>
              </w:rPr>
            </w:pPr>
            <w:r>
              <w:rPr>
                <w:rFonts w:ascii="宋体" w:hAnsi="宋体" w:eastAsia="宋体" w:cs="宋体"/>
                <w:spacing w:val="1"/>
                <w:sz w:val="21"/>
                <w:szCs w:val="21"/>
              </w:rPr>
              <w:t>体、剧毒液体的一级、二级重大危险</w:t>
            </w:r>
            <w:r>
              <w:rPr>
                <w:rFonts w:ascii="宋体" w:hAnsi="宋体" w:eastAsia="宋体" w:cs="宋体"/>
                <w:spacing w:val="-2"/>
                <w:sz w:val="21"/>
                <w:szCs w:val="21"/>
              </w:rPr>
              <w:t>源的危险化学品罐</w:t>
            </w:r>
            <w:r>
              <w:rPr>
                <w:rFonts w:ascii="宋体" w:hAnsi="宋体" w:eastAsia="宋体" w:cs="宋体"/>
                <w:spacing w:val="1"/>
                <w:sz w:val="21"/>
                <w:szCs w:val="21"/>
              </w:rPr>
              <w:t>区未配备独立的安</w:t>
            </w:r>
            <w:r>
              <w:rPr>
                <w:rFonts w:ascii="宋体" w:hAnsi="宋体" w:eastAsia="宋体" w:cs="宋体"/>
                <w:spacing w:val="19"/>
                <w:sz w:val="21"/>
                <w:szCs w:val="21"/>
              </w:rPr>
              <w:t>全仪表系统。</w:t>
            </w:r>
          </w:p>
        </w:tc>
        <w:tc>
          <w:tcPr>
            <w:tcW w:w="3507" w:type="dxa"/>
            <w:noWrap w:val="0"/>
            <w:vAlign w:val="top"/>
          </w:tcPr>
          <w:p w14:paraId="2E7C9D0C">
            <w:pPr>
              <w:spacing w:before="117" w:line="250" w:lineRule="auto"/>
              <w:ind w:left="151"/>
              <w:jc w:val="both"/>
              <w:rPr>
                <w:rFonts w:ascii="宋体" w:hAnsi="宋体" w:eastAsia="宋体" w:cs="宋体"/>
                <w:sz w:val="21"/>
                <w:szCs w:val="21"/>
              </w:rPr>
            </w:pPr>
            <w:r>
              <w:rPr>
                <w:rFonts w:ascii="宋体" w:hAnsi="宋体" w:eastAsia="宋体" w:cs="宋体"/>
                <w:spacing w:val="8"/>
                <w:sz w:val="21"/>
                <w:szCs w:val="21"/>
              </w:rPr>
              <w:t>发现并消除事故隐患。事故隐患排查治理情况应当如实记录，并</w:t>
            </w:r>
            <w:r>
              <w:rPr>
                <w:rFonts w:ascii="宋体" w:hAnsi="宋体" w:eastAsia="宋体" w:cs="宋体"/>
                <w:spacing w:val="22"/>
                <w:sz w:val="21"/>
                <w:szCs w:val="21"/>
              </w:rPr>
              <w:t>通过职工大会或者职工代表大</w:t>
            </w:r>
            <w:r>
              <w:rPr>
                <w:rFonts w:ascii="宋体" w:hAnsi="宋体" w:eastAsia="宋体" w:cs="宋体"/>
                <w:spacing w:val="8"/>
                <w:sz w:val="21"/>
                <w:szCs w:val="21"/>
              </w:rPr>
              <w:t>会、信息公示栏等方式向从业人员通报。其中，重大事故隐患排</w:t>
            </w:r>
            <w:r>
              <w:rPr>
                <w:rFonts w:ascii="宋体" w:hAnsi="宋体" w:eastAsia="宋体" w:cs="宋体"/>
                <w:spacing w:val="21"/>
                <w:sz w:val="21"/>
                <w:szCs w:val="21"/>
              </w:rPr>
              <w:t>查治理情况应当及时向负有安</w:t>
            </w:r>
            <w:r>
              <w:rPr>
                <w:rFonts w:ascii="宋体" w:hAnsi="宋体" w:eastAsia="宋体" w:cs="宋体"/>
                <w:spacing w:val="23"/>
                <w:sz w:val="21"/>
                <w:szCs w:val="21"/>
              </w:rPr>
              <w:t>全生产监督管理职责的部门和</w:t>
            </w:r>
            <w:r>
              <w:rPr>
                <w:rFonts w:ascii="宋体" w:hAnsi="宋体" w:eastAsia="宋体" w:cs="宋体"/>
                <w:spacing w:val="22"/>
                <w:sz w:val="21"/>
                <w:szCs w:val="21"/>
              </w:rPr>
              <w:t>职工大会或者职工代表大会报</w:t>
            </w:r>
            <w:r>
              <w:rPr>
                <w:rFonts w:ascii="宋体" w:hAnsi="宋体" w:eastAsia="宋体" w:cs="宋体"/>
                <w:spacing w:val="-3"/>
                <w:sz w:val="21"/>
                <w:szCs w:val="21"/>
              </w:rPr>
              <w:t>告。</w:t>
            </w:r>
          </w:p>
          <w:p w14:paraId="7F5A646E">
            <w:pPr>
              <w:spacing w:before="68" w:line="255" w:lineRule="auto"/>
              <w:ind w:left="151" w:firstLine="415"/>
              <w:jc w:val="both"/>
              <w:rPr>
                <w:rFonts w:ascii="宋体" w:hAnsi="宋体" w:eastAsia="宋体" w:cs="宋体"/>
                <w:sz w:val="21"/>
                <w:szCs w:val="21"/>
              </w:rPr>
            </w:pPr>
            <w:r>
              <w:rPr>
                <w:rFonts w:ascii="宋体" w:hAnsi="宋体" w:eastAsia="宋体" w:cs="宋体"/>
                <w:spacing w:val="-8"/>
                <w:sz w:val="21"/>
                <w:szCs w:val="21"/>
              </w:rPr>
              <w:t>2.《危险化学品重大危险源</w:t>
            </w:r>
            <w:r>
              <w:rPr>
                <w:rFonts w:ascii="宋体" w:hAnsi="宋体" w:eastAsia="宋体" w:cs="宋体"/>
                <w:spacing w:val="4"/>
                <w:sz w:val="21"/>
                <w:szCs w:val="21"/>
              </w:rPr>
              <w:t>监督管理暂行规定》(国家安全</w:t>
            </w:r>
            <w:r>
              <w:rPr>
                <w:rFonts w:ascii="宋体" w:hAnsi="宋体" w:eastAsia="宋体" w:cs="宋体"/>
                <w:spacing w:val="20"/>
                <w:sz w:val="21"/>
                <w:szCs w:val="21"/>
              </w:rPr>
              <w:t>监管总局令第40号)第十三条</w:t>
            </w:r>
            <w:r>
              <w:rPr>
                <w:rFonts w:ascii="宋体" w:hAnsi="宋体" w:eastAsia="宋体" w:cs="宋体"/>
                <w:sz w:val="21"/>
                <w:szCs w:val="21"/>
              </w:rPr>
              <w:t>第二项、第三项危险化学品单</w:t>
            </w:r>
            <w:r>
              <w:rPr>
                <w:rFonts w:ascii="宋体" w:hAnsi="宋体" w:eastAsia="宋体" w:cs="宋体"/>
                <w:spacing w:val="15"/>
                <w:sz w:val="21"/>
                <w:szCs w:val="21"/>
              </w:rPr>
              <w:t>位应当根据构成重大危险源的</w:t>
            </w:r>
            <w:r>
              <w:rPr>
                <w:rFonts w:ascii="宋体" w:hAnsi="宋体" w:eastAsia="宋体" w:cs="宋体"/>
                <w:spacing w:val="8"/>
                <w:sz w:val="21"/>
                <w:szCs w:val="21"/>
              </w:rPr>
              <w:t>危险化学品种类、数量、生产、使用工艺(方式)或者相关设备、</w:t>
            </w:r>
            <w:r>
              <w:rPr>
                <w:rFonts w:ascii="宋体" w:hAnsi="宋体" w:eastAsia="宋体" w:cs="宋体"/>
                <w:spacing w:val="1"/>
                <w:sz w:val="21"/>
                <w:szCs w:val="21"/>
              </w:rPr>
              <w:t>设施等实际情况，按照下列要求建立健全安全监测监控体系，完</w:t>
            </w:r>
            <w:r>
              <w:rPr>
                <w:rFonts w:ascii="宋体" w:hAnsi="宋体" w:eastAsia="宋体" w:cs="宋体"/>
                <w:spacing w:val="21"/>
                <w:sz w:val="21"/>
                <w:szCs w:val="21"/>
              </w:rPr>
              <w:t>善控制措施：</w:t>
            </w:r>
          </w:p>
          <w:p w14:paraId="53BDC745">
            <w:pPr>
              <w:spacing w:before="28" w:line="241" w:lineRule="auto"/>
              <w:ind w:left="151" w:firstLine="558"/>
              <w:jc w:val="both"/>
              <w:rPr>
                <w:rFonts w:ascii="宋体" w:hAnsi="宋体" w:eastAsia="宋体" w:cs="宋体"/>
                <w:sz w:val="21"/>
                <w:szCs w:val="21"/>
              </w:rPr>
            </w:pPr>
            <w:r>
              <w:rPr>
                <w:rFonts w:ascii="宋体" w:hAnsi="宋体" w:eastAsia="宋体" w:cs="宋体"/>
                <w:spacing w:val="12"/>
                <w:sz w:val="21"/>
                <w:szCs w:val="21"/>
              </w:rPr>
              <w:t>(二)重大危险源的化工生</w:t>
            </w:r>
            <w:r>
              <w:rPr>
                <w:rFonts w:ascii="宋体" w:hAnsi="宋体" w:eastAsia="宋体" w:cs="宋体"/>
                <w:spacing w:val="21"/>
                <w:sz w:val="21"/>
                <w:szCs w:val="21"/>
              </w:rPr>
              <w:t>产装置装备满足安全生产要求</w:t>
            </w:r>
            <w:r>
              <w:rPr>
                <w:rFonts w:ascii="宋体" w:hAnsi="宋体" w:eastAsia="宋体" w:cs="宋体"/>
                <w:spacing w:val="-5"/>
                <w:sz w:val="21"/>
                <w:szCs w:val="21"/>
              </w:rPr>
              <w:t>的自动化控制系统；一级或者二</w:t>
            </w:r>
            <w:r>
              <w:rPr>
                <w:rFonts w:ascii="宋体" w:hAnsi="宋体" w:eastAsia="宋体" w:cs="宋体"/>
                <w:spacing w:val="8"/>
                <w:sz w:val="21"/>
                <w:szCs w:val="21"/>
              </w:rPr>
              <w:t>级重大危险源，装备紧急停车系</w:t>
            </w:r>
          </w:p>
        </w:tc>
        <w:tc>
          <w:tcPr>
            <w:tcW w:w="2868" w:type="dxa"/>
            <w:noWrap w:val="0"/>
            <w:vAlign w:val="top"/>
          </w:tcPr>
          <w:p w14:paraId="6713FCF3">
            <w:pPr>
              <w:rPr>
                <w:rFonts w:ascii="Arial"/>
                <w:sz w:val="21"/>
                <w:szCs w:val="21"/>
              </w:rPr>
            </w:pPr>
          </w:p>
        </w:tc>
        <w:tc>
          <w:tcPr>
            <w:tcW w:w="3232" w:type="dxa"/>
            <w:noWrap w:val="0"/>
            <w:vAlign w:val="top"/>
          </w:tcPr>
          <w:p w14:paraId="6659C56B">
            <w:pPr>
              <w:spacing w:before="90" w:line="243" w:lineRule="auto"/>
              <w:ind w:left="156" w:right="12"/>
              <w:jc w:val="both"/>
              <w:rPr>
                <w:rFonts w:ascii="宋体" w:hAnsi="宋体" w:eastAsia="宋体" w:cs="宋体"/>
                <w:sz w:val="21"/>
                <w:szCs w:val="21"/>
              </w:rPr>
            </w:pPr>
            <w:r>
              <w:rPr>
                <w:rFonts w:ascii="宋体" w:hAnsi="宋体" w:eastAsia="宋体" w:cs="宋体"/>
                <w:spacing w:val="2"/>
                <w:sz w:val="21"/>
                <w:szCs w:val="21"/>
              </w:rPr>
              <w:t>消除，处五万元以下的罚</w:t>
            </w:r>
            <w:r>
              <w:rPr>
                <w:rFonts w:ascii="宋体" w:hAnsi="宋体" w:eastAsia="宋体" w:cs="宋体"/>
                <w:sz w:val="21"/>
                <w:szCs w:val="21"/>
              </w:rPr>
              <w:t>款；生产经营单位拒不执</w:t>
            </w:r>
            <w:r>
              <w:rPr>
                <w:rFonts w:ascii="宋体" w:hAnsi="宋体" w:eastAsia="宋体" w:cs="宋体"/>
                <w:spacing w:val="23"/>
                <w:sz w:val="21"/>
                <w:szCs w:val="21"/>
              </w:rPr>
              <w:t>行的，责令停产停业整</w:t>
            </w:r>
            <w:r>
              <w:rPr>
                <w:rFonts w:ascii="宋体" w:hAnsi="宋体" w:eastAsia="宋体" w:cs="宋体"/>
                <w:spacing w:val="1"/>
                <w:sz w:val="21"/>
                <w:szCs w:val="21"/>
              </w:rPr>
              <w:t>顿，对其直接负责的主管</w:t>
            </w:r>
            <w:r>
              <w:rPr>
                <w:rFonts w:ascii="宋体" w:hAnsi="宋体" w:eastAsia="宋体" w:cs="宋体"/>
                <w:spacing w:val="21"/>
                <w:sz w:val="21"/>
                <w:szCs w:val="21"/>
              </w:rPr>
              <w:t>人员和其他直接责任人员处五万元以上十万元以下的罚款；构成犯罪</w:t>
            </w:r>
            <w:r>
              <w:rPr>
                <w:rFonts w:ascii="宋体" w:hAnsi="宋体" w:eastAsia="宋体" w:cs="宋体"/>
                <w:spacing w:val="1"/>
                <w:sz w:val="21"/>
                <w:szCs w:val="21"/>
              </w:rPr>
              <w:t>的，依照刑法有关规定追</w:t>
            </w:r>
            <w:r>
              <w:rPr>
                <w:rFonts w:ascii="宋体" w:hAnsi="宋体" w:eastAsia="宋体" w:cs="宋体"/>
                <w:spacing w:val="19"/>
                <w:sz w:val="21"/>
                <w:szCs w:val="21"/>
              </w:rPr>
              <w:t>究刑事责任。</w:t>
            </w:r>
          </w:p>
        </w:tc>
        <w:tc>
          <w:tcPr>
            <w:tcW w:w="1144" w:type="dxa"/>
            <w:noWrap w:val="0"/>
            <w:vAlign w:val="top"/>
          </w:tcPr>
          <w:p w14:paraId="1A569001">
            <w:pPr>
              <w:rPr>
                <w:rFonts w:ascii="Arial"/>
                <w:sz w:val="21"/>
                <w:szCs w:val="21"/>
              </w:rPr>
            </w:pPr>
          </w:p>
        </w:tc>
      </w:tr>
    </w:tbl>
    <w:p w14:paraId="280AF72B">
      <w:pPr>
        <w:rPr>
          <w:rFonts w:ascii="Arial"/>
          <w:sz w:val="21"/>
        </w:rPr>
      </w:pPr>
    </w:p>
    <w:p w14:paraId="0FFA7274">
      <w:pPr>
        <w:sectPr>
          <w:pgSz w:w="16840" w:h="11900"/>
          <w:pgMar w:top="1440" w:right="1080" w:bottom="1440" w:left="1080" w:header="0" w:footer="0" w:gutter="0"/>
          <w:pgNumType w:fmt="decimal"/>
          <w:cols w:space="720" w:num="1"/>
        </w:sectPr>
      </w:pPr>
    </w:p>
    <w:p w14:paraId="4ABD1B1B"/>
    <w:p w14:paraId="50D4AFAD">
      <w:pPr>
        <w:spacing w:line="229" w:lineRule="exact"/>
      </w:pP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4"/>
        <w:gridCol w:w="2239"/>
        <w:gridCol w:w="3517"/>
        <w:gridCol w:w="2858"/>
        <w:gridCol w:w="2838"/>
        <w:gridCol w:w="1244"/>
      </w:tblGrid>
      <w:tr w14:paraId="41DFDF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jc w:val="center"/>
        </w:trPr>
        <w:tc>
          <w:tcPr>
            <w:tcW w:w="864" w:type="dxa"/>
            <w:noWrap w:val="0"/>
            <w:vAlign w:val="top"/>
          </w:tcPr>
          <w:p w14:paraId="016A00D3">
            <w:pPr>
              <w:spacing w:before="216" w:line="221" w:lineRule="auto"/>
              <w:ind w:left="184"/>
              <w:rPr>
                <w:rFonts w:ascii="宋体" w:hAnsi="宋体" w:eastAsia="宋体" w:cs="宋体"/>
                <w:b/>
                <w:bCs/>
                <w:sz w:val="24"/>
                <w:szCs w:val="24"/>
              </w:rPr>
            </w:pPr>
            <w:r>
              <w:rPr>
                <w:rFonts w:ascii="宋体" w:hAnsi="宋体" w:eastAsia="宋体" w:cs="宋体"/>
                <w:b/>
                <w:bCs/>
                <w:spacing w:val="7"/>
                <w:sz w:val="24"/>
                <w:szCs w:val="24"/>
              </w:rPr>
              <w:t>序号</w:t>
            </w:r>
          </w:p>
        </w:tc>
        <w:tc>
          <w:tcPr>
            <w:tcW w:w="2239" w:type="dxa"/>
            <w:noWrap w:val="0"/>
            <w:vAlign w:val="top"/>
          </w:tcPr>
          <w:p w14:paraId="24B495D3">
            <w:pPr>
              <w:spacing w:before="55" w:line="219" w:lineRule="auto"/>
              <w:ind w:left="630"/>
              <w:rPr>
                <w:rFonts w:ascii="宋体" w:hAnsi="宋体" w:eastAsia="宋体" w:cs="宋体"/>
                <w:b/>
                <w:bCs/>
                <w:sz w:val="24"/>
                <w:szCs w:val="24"/>
              </w:rPr>
            </w:pPr>
            <w:r>
              <w:rPr>
                <w:rFonts w:ascii="宋体" w:hAnsi="宋体" w:eastAsia="宋体" w:cs="宋体"/>
                <w:b/>
                <w:bCs/>
                <w:spacing w:val="3"/>
                <w:sz w:val="24"/>
                <w:szCs w:val="24"/>
              </w:rPr>
              <w:t>执法检查</w:t>
            </w:r>
          </w:p>
          <w:p w14:paraId="40CDC34B">
            <w:pPr>
              <w:spacing w:before="55" w:line="207" w:lineRule="auto"/>
              <w:ind w:left="390"/>
              <w:rPr>
                <w:rFonts w:ascii="宋体" w:hAnsi="宋体" w:eastAsia="宋体" w:cs="宋体"/>
                <w:b/>
                <w:bCs/>
                <w:sz w:val="24"/>
                <w:szCs w:val="24"/>
              </w:rPr>
            </w:pPr>
            <w:r>
              <w:rPr>
                <w:rFonts w:ascii="宋体" w:hAnsi="宋体" w:eastAsia="宋体" w:cs="宋体"/>
                <w:b/>
                <w:bCs/>
                <w:spacing w:val="2"/>
                <w:sz w:val="24"/>
                <w:szCs w:val="24"/>
              </w:rPr>
              <w:t>重点事项内容</w:t>
            </w:r>
          </w:p>
        </w:tc>
        <w:tc>
          <w:tcPr>
            <w:tcW w:w="3517" w:type="dxa"/>
            <w:noWrap w:val="0"/>
            <w:vAlign w:val="top"/>
          </w:tcPr>
          <w:p w14:paraId="3D83AF35">
            <w:pPr>
              <w:spacing w:before="213" w:line="219" w:lineRule="auto"/>
              <w:ind w:left="1051"/>
              <w:rPr>
                <w:rFonts w:ascii="宋体" w:hAnsi="宋体" w:eastAsia="宋体" w:cs="宋体"/>
                <w:b/>
                <w:bCs/>
                <w:sz w:val="24"/>
                <w:szCs w:val="24"/>
              </w:rPr>
            </w:pPr>
            <w:r>
              <w:rPr>
                <w:rFonts w:ascii="宋体" w:hAnsi="宋体" w:eastAsia="宋体" w:cs="宋体"/>
                <w:b/>
                <w:bCs/>
                <w:spacing w:val="2"/>
                <w:sz w:val="24"/>
                <w:szCs w:val="24"/>
              </w:rPr>
              <w:t>执法检查依据</w:t>
            </w:r>
          </w:p>
        </w:tc>
        <w:tc>
          <w:tcPr>
            <w:tcW w:w="2858" w:type="dxa"/>
            <w:noWrap w:val="0"/>
            <w:vAlign w:val="top"/>
          </w:tcPr>
          <w:p w14:paraId="33A0A72F">
            <w:pPr>
              <w:spacing w:before="85" w:line="220" w:lineRule="auto"/>
              <w:ind w:left="834"/>
              <w:rPr>
                <w:rFonts w:ascii="宋体" w:hAnsi="宋体" w:eastAsia="宋体" w:cs="宋体"/>
                <w:b/>
                <w:bCs/>
                <w:sz w:val="24"/>
                <w:szCs w:val="24"/>
              </w:rPr>
            </w:pPr>
            <w:r>
              <w:rPr>
                <w:rFonts w:ascii="宋体" w:hAnsi="宋体" w:eastAsia="宋体" w:cs="宋体"/>
                <w:b/>
                <w:bCs/>
                <w:spacing w:val="-2"/>
                <w:sz w:val="24"/>
                <w:szCs w:val="24"/>
              </w:rPr>
              <w:t>有关规范性</w:t>
            </w:r>
          </w:p>
          <w:p w14:paraId="67EE934C">
            <w:pPr>
              <w:spacing w:before="42" w:line="192" w:lineRule="auto"/>
              <w:ind w:left="604"/>
              <w:rPr>
                <w:rFonts w:ascii="宋体" w:hAnsi="宋体" w:eastAsia="宋体" w:cs="宋体"/>
                <w:b/>
                <w:bCs/>
                <w:sz w:val="24"/>
                <w:szCs w:val="24"/>
              </w:rPr>
            </w:pPr>
            <w:r>
              <w:rPr>
                <w:rFonts w:ascii="宋体" w:hAnsi="宋体" w:eastAsia="宋体" w:cs="宋体"/>
                <w:b/>
                <w:bCs/>
                <w:spacing w:val="1"/>
                <w:sz w:val="24"/>
                <w:szCs w:val="24"/>
              </w:rPr>
              <w:t>文件及标准要求</w:t>
            </w:r>
          </w:p>
        </w:tc>
        <w:tc>
          <w:tcPr>
            <w:tcW w:w="2838" w:type="dxa"/>
            <w:noWrap w:val="0"/>
            <w:vAlign w:val="top"/>
          </w:tcPr>
          <w:p w14:paraId="3B9F79CC">
            <w:pPr>
              <w:spacing w:before="213" w:line="219" w:lineRule="auto"/>
              <w:ind w:left="956"/>
              <w:rPr>
                <w:rFonts w:ascii="宋体" w:hAnsi="宋体" w:eastAsia="宋体" w:cs="宋体"/>
                <w:b/>
                <w:bCs/>
                <w:sz w:val="24"/>
                <w:szCs w:val="24"/>
              </w:rPr>
            </w:pPr>
            <w:r>
              <w:rPr>
                <w:rFonts w:ascii="宋体" w:hAnsi="宋体" w:eastAsia="宋体" w:cs="宋体"/>
                <w:b/>
                <w:bCs/>
                <w:spacing w:val="13"/>
                <w:sz w:val="24"/>
                <w:szCs w:val="24"/>
              </w:rPr>
              <w:t>处罚依据</w:t>
            </w:r>
          </w:p>
        </w:tc>
        <w:tc>
          <w:tcPr>
            <w:tcW w:w="1244" w:type="dxa"/>
            <w:noWrap w:val="0"/>
            <w:vAlign w:val="top"/>
          </w:tcPr>
          <w:p w14:paraId="6FB2F4A3">
            <w:pPr>
              <w:spacing w:before="212" w:line="221" w:lineRule="auto"/>
              <w:ind w:left="452"/>
              <w:rPr>
                <w:rFonts w:ascii="宋体" w:hAnsi="宋体" w:eastAsia="宋体" w:cs="宋体"/>
                <w:b/>
                <w:bCs/>
                <w:sz w:val="24"/>
                <w:szCs w:val="24"/>
              </w:rPr>
            </w:pPr>
            <w:r>
              <w:rPr>
                <w:rFonts w:ascii="宋体" w:hAnsi="宋体" w:eastAsia="宋体" w:cs="宋体"/>
                <w:b/>
                <w:bCs/>
                <w:spacing w:val="-6"/>
                <w:sz w:val="24"/>
                <w:szCs w:val="24"/>
              </w:rPr>
              <w:t>备注</w:t>
            </w:r>
          </w:p>
        </w:tc>
      </w:tr>
      <w:tr w14:paraId="6E8F0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2" w:hRule="atLeast"/>
          <w:jc w:val="center"/>
        </w:trPr>
        <w:tc>
          <w:tcPr>
            <w:tcW w:w="864" w:type="dxa"/>
            <w:noWrap w:val="0"/>
            <w:vAlign w:val="top"/>
          </w:tcPr>
          <w:p w14:paraId="4C4D8DC2">
            <w:pPr>
              <w:rPr>
                <w:rFonts w:ascii="Arial"/>
                <w:sz w:val="21"/>
                <w:szCs w:val="21"/>
              </w:rPr>
            </w:pPr>
          </w:p>
        </w:tc>
        <w:tc>
          <w:tcPr>
            <w:tcW w:w="2239" w:type="dxa"/>
            <w:noWrap w:val="0"/>
            <w:vAlign w:val="top"/>
          </w:tcPr>
          <w:p w14:paraId="654D777A">
            <w:pPr>
              <w:rPr>
                <w:rFonts w:ascii="Arial"/>
                <w:sz w:val="21"/>
                <w:szCs w:val="21"/>
              </w:rPr>
            </w:pPr>
          </w:p>
        </w:tc>
        <w:tc>
          <w:tcPr>
            <w:tcW w:w="3517" w:type="dxa"/>
            <w:noWrap w:val="0"/>
            <w:vAlign w:val="top"/>
          </w:tcPr>
          <w:p w14:paraId="5E235A19">
            <w:pPr>
              <w:spacing w:before="77" w:line="247" w:lineRule="auto"/>
              <w:jc w:val="both"/>
              <w:rPr>
                <w:rFonts w:ascii="宋体" w:hAnsi="宋体" w:eastAsia="宋体" w:cs="宋体"/>
                <w:spacing w:val="2"/>
                <w:sz w:val="21"/>
                <w:szCs w:val="21"/>
              </w:rPr>
            </w:pPr>
            <w:r>
              <w:rPr>
                <w:rFonts w:ascii="宋体" w:hAnsi="宋体" w:eastAsia="宋体" w:cs="宋体"/>
                <w:spacing w:val="2"/>
                <w:sz w:val="21"/>
                <w:szCs w:val="21"/>
              </w:rPr>
              <w:t>统；</w:t>
            </w:r>
          </w:p>
          <w:p w14:paraId="2B5798B1">
            <w:pPr>
              <w:spacing w:before="127" w:line="253" w:lineRule="auto"/>
              <w:ind w:left="141" w:firstLine="531"/>
              <w:rPr>
                <w:rFonts w:ascii="宋体" w:hAnsi="宋体" w:eastAsia="宋体" w:cs="宋体"/>
                <w:sz w:val="21"/>
                <w:szCs w:val="21"/>
              </w:rPr>
            </w:pPr>
            <w:r>
              <w:rPr>
                <w:rFonts w:ascii="宋体" w:hAnsi="宋体" w:eastAsia="宋体" w:cs="宋体"/>
                <w:spacing w:val="6"/>
                <w:sz w:val="21"/>
                <w:szCs w:val="21"/>
              </w:rPr>
              <w:t>(三)对重大危险源中的毒</w:t>
            </w:r>
            <w:r>
              <w:rPr>
                <w:rFonts w:ascii="宋体" w:hAnsi="宋体" w:eastAsia="宋体" w:cs="宋体"/>
                <w:spacing w:val="2"/>
                <w:sz w:val="21"/>
                <w:szCs w:val="21"/>
              </w:rPr>
              <w:t>性气体、剧毒液体和易燃气体等</w:t>
            </w:r>
            <w:r>
              <w:rPr>
                <w:rFonts w:ascii="宋体" w:hAnsi="宋体" w:eastAsia="宋体" w:cs="宋体"/>
                <w:spacing w:val="10"/>
                <w:sz w:val="21"/>
                <w:szCs w:val="21"/>
              </w:rPr>
              <w:t>重点设施，设置紧急切断装置；</w:t>
            </w:r>
            <w:r>
              <w:rPr>
                <w:rFonts w:ascii="宋体" w:hAnsi="宋体" w:eastAsia="宋体" w:cs="宋体"/>
                <w:spacing w:val="2"/>
                <w:sz w:val="21"/>
                <w:szCs w:val="21"/>
              </w:rPr>
              <w:t>毒性气体的设施，设置泄漏物紧急处置装置。涉及毒性气体、液化气体、剧毒液体的一级或者二级重大危险源，配备独立的安全</w:t>
            </w:r>
            <w:r>
              <w:rPr>
                <w:rFonts w:ascii="宋体" w:hAnsi="宋体" w:eastAsia="宋体" w:cs="宋体"/>
                <w:spacing w:val="29"/>
                <w:sz w:val="21"/>
                <w:szCs w:val="21"/>
              </w:rPr>
              <w:t>仪表系统(</w:t>
            </w:r>
            <w:r>
              <w:rPr>
                <w:rFonts w:ascii="宋体" w:hAnsi="宋体" w:eastAsia="宋体" w:cs="宋体"/>
                <w:sz w:val="21"/>
                <w:szCs w:val="21"/>
              </w:rPr>
              <w:t>SIS</w:t>
            </w:r>
            <w:r>
              <w:rPr>
                <w:rFonts w:ascii="宋体" w:hAnsi="宋体" w:eastAsia="宋体" w:cs="宋体"/>
                <w:spacing w:val="29"/>
                <w:sz w:val="21"/>
                <w:szCs w:val="21"/>
              </w:rPr>
              <w:t>)。</w:t>
            </w:r>
          </w:p>
          <w:p w14:paraId="239DE7D9">
            <w:pPr>
              <w:spacing w:before="26" w:line="253" w:lineRule="auto"/>
              <w:ind w:left="141" w:firstLine="415"/>
              <w:rPr>
                <w:rFonts w:ascii="宋体" w:hAnsi="宋体" w:eastAsia="宋体" w:cs="宋体"/>
                <w:sz w:val="21"/>
                <w:szCs w:val="21"/>
              </w:rPr>
            </w:pPr>
            <w:r>
              <w:rPr>
                <w:rFonts w:ascii="宋体" w:hAnsi="宋体" w:eastAsia="宋体" w:cs="宋体"/>
                <w:spacing w:val="-8"/>
                <w:sz w:val="21"/>
                <w:szCs w:val="21"/>
              </w:rPr>
              <w:t>3.《化工和危险化学品生产</w:t>
            </w:r>
            <w:r>
              <w:rPr>
                <w:rFonts w:ascii="宋体" w:hAnsi="宋体" w:eastAsia="宋体" w:cs="宋体"/>
                <w:spacing w:val="12"/>
                <w:sz w:val="21"/>
                <w:szCs w:val="21"/>
              </w:rPr>
              <w:t>经营单位重大生产安全事故隐</w:t>
            </w:r>
            <w:r>
              <w:rPr>
                <w:rFonts w:ascii="宋体" w:hAnsi="宋体" w:eastAsia="宋体" w:cs="宋体"/>
                <w:spacing w:val="19"/>
                <w:sz w:val="21"/>
                <w:szCs w:val="21"/>
              </w:rPr>
              <w:t>患判定标准(试行)》(安监总</w:t>
            </w:r>
            <w:r>
              <w:rPr>
                <w:rFonts w:ascii="宋体" w:hAnsi="宋体" w:eastAsia="宋体" w:cs="宋体"/>
                <w:spacing w:val="1"/>
                <w:sz w:val="21"/>
                <w:szCs w:val="21"/>
              </w:rPr>
              <w:t>管三〔2017〕121号)第五条构</w:t>
            </w:r>
            <w:r>
              <w:rPr>
                <w:rFonts w:ascii="宋体" w:hAnsi="宋体" w:eastAsia="宋体" w:cs="宋体"/>
                <w:spacing w:val="2"/>
                <w:sz w:val="21"/>
                <w:szCs w:val="21"/>
              </w:rPr>
              <w:t>成一级、二级重大危险源的危险</w:t>
            </w:r>
            <w:r>
              <w:rPr>
                <w:rFonts w:ascii="宋体" w:hAnsi="宋体" w:eastAsia="宋体" w:cs="宋体"/>
                <w:spacing w:val="12"/>
                <w:sz w:val="21"/>
                <w:szCs w:val="21"/>
              </w:rPr>
              <w:t>化学品罐区未实现紧急切断功</w:t>
            </w:r>
            <w:r>
              <w:rPr>
                <w:rFonts w:ascii="宋体" w:hAnsi="宋体" w:eastAsia="宋体" w:cs="宋体"/>
                <w:spacing w:val="10"/>
                <w:sz w:val="21"/>
                <w:szCs w:val="21"/>
              </w:rPr>
              <w:t>能；涉及毒性气体、液化气体、</w:t>
            </w:r>
            <w:r>
              <w:rPr>
                <w:rFonts w:ascii="宋体" w:hAnsi="宋体" w:eastAsia="宋体" w:cs="宋体"/>
                <w:spacing w:val="2"/>
                <w:sz w:val="21"/>
                <w:szCs w:val="21"/>
              </w:rPr>
              <w:t>剧毒液体的一级、二级重大危险</w:t>
            </w:r>
            <w:r>
              <w:rPr>
                <w:rFonts w:ascii="宋体" w:hAnsi="宋体" w:eastAsia="宋体" w:cs="宋体"/>
                <w:spacing w:val="11"/>
                <w:sz w:val="21"/>
                <w:szCs w:val="21"/>
              </w:rPr>
              <w:t>源的危险化学品罐区未配备独</w:t>
            </w:r>
            <w:r>
              <w:rPr>
                <w:rFonts w:ascii="宋体" w:hAnsi="宋体" w:eastAsia="宋体" w:cs="宋体"/>
                <w:spacing w:val="14"/>
                <w:sz w:val="21"/>
                <w:szCs w:val="21"/>
              </w:rPr>
              <w:t>立的安全仪表系统。</w:t>
            </w:r>
          </w:p>
        </w:tc>
        <w:tc>
          <w:tcPr>
            <w:tcW w:w="2858" w:type="dxa"/>
            <w:noWrap w:val="0"/>
            <w:vAlign w:val="top"/>
          </w:tcPr>
          <w:p w14:paraId="0613277E">
            <w:pPr>
              <w:rPr>
                <w:rFonts w:ascii="Arial"/>
                <w:sz w:val="21"/>
                <w:szCs w:val="21"/>
              </w:rPr>
            </w:pPr>
          </w:p>
        </w:tc>
        <w:tc>
          <w:tcPr>
            <w:tcW w:w="2838" w:type="dxa"/>
            <w:noWrap w:val="0"/>
            <w:vAlign w:val="top"/>
          </w:tcPr>
          <w:p w14:paraId="6DFB96B5">
            <w:pPr>
              <w:rPr>
                <w:rFonts w:ascii="Arial"/>
                <w:sz w:val="21"/>
                <w:szCs w:val="21"/>
              </w:rPr>
            </w:pPr>
          </w:p>
        </w:tc>
        <w:tc>
          <w:tcPr>
            <w:tcW w:w="1244" w:type="dxa"/>
            <w:noWrap w:val="0"/>
            <w:vAlign w:val="top"/>
          </w:tcPr>
          <w:p w14:paraId="6AA841CE">
            <w:pPr>
              <w:rPr>
                <w:rFonts w:ascii="Arial"/>
                <w:sz w:val="21"/>
                <w:szCs w:val="21"/>
              </w:rPr>
            </w:pPr>
          </w:p>
        </w:tc>
      </w:tr>
      <w:tr w14:paraId="3F371E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8" w:hRule="atLeast"/>
          <w:jc w:val="center"/>
        </w:trPr>
        <w:tc>
          <w:tcPr>
            <w:tcW w:w="864" w:type="dxa"/>
            <w:noWrap w:val="0"/>
            <w:vAlign w:val="top"/>
          </w:tcPr>
          <w:p w14:paraId="14DDDF8D">
            <w:pPr>
              <w:spacing w:line="259" w:lineRule="auto"/>
              <w:rPr>
                <w:rFonts w:ascii="Arial"/>
                <w:sz w:val="21"/>
                <w:szCs w:val="21"/>
              </w:rPr>
            </w:pPr>
          </w:p>
          <w:p w14:paraId="1F8379BA">
            <w:pPr>
              <w:spacing w:line="259" w:lineRule="auto"/>
              <w:rPr>
                <w:rFonts w:ascii="Arial"/>
                <w:sz w:val="21"/>
                <w:szCs w:val="21"/>
              </w:rPr>
            </w:pPr>
          </w:p>
          <w:p w14:paraId="4E076E99">
            <w:pPr>
              <w:spacing w:before="78" w:line="184" w:lineRule="auto"/>
              <w:ind w:left="305"/>
              <w:rPr>
                <w:rFonts w:ascii="宋体" w:hAnsi="宋体" w:eastAsia="宋体" w:cs="宋体"/>
                <w:sz w:val="21"/>
                <w:szCs w:val="21"/>
              </w:rPr>
            </w:pPr>
            <w:r>
              <w:rPr>
                <w:rFonts w:ascii="宋体" w:hAnsi="宋体" w:eastAsia="宋体" w:cs="宋体"/>
                <w:spacing w:val="-7"/>
                <w:sz w:val="21"/>
                <w:szCs w:val="21"/>
              </w:rPr>
              <w:t>1</w:t>
            </w:r>
            <w:r>
              <w:rPr>
                <w:rFonts w:hint="eastAsia" w:ascii="宋体" w:hAnsi="宋体" w:eastAsia="宋体" w:cs="宋体"/>
                <w:spacing w:val="-7"/>
                <w:sz w:val="21"/>
                <w:szCs w:val="21"/>
                <w:lang w:val="en-US" w:eastAsia="zh-CN"/>
              </w:rPr>
              <w:t>1</w:t>
            </w:r>
          </w:p>
        </w:tc>
        <w:tc>
          <w:tcPr>
            <w:tcW w:w="2239" w:type="dxa"/>
            <w:noWrap w:val="0"/>
            <w:vAlign w:val="top"/>
          </w:tcPr>
          <w:p w14:paraId="0F7113A8">
            <w:pPr>
              <w:spacing w:before="121" w:line="238" w:lineRule="auto"/>
              <w:ind w:left="150" w:right="38"/>
              <w:jc w:val="both"/>
              <w:rPr>
                <w:rFonts w:ascii="宋体" w:hAnsi="宋体" w:eastAsia="宋体" w:cs="宋体"/>
                <w:sz w:val="21"/>
                <w:szCs w:val="21"/>
              </w:rPr>
            </w:pPr>
            <w:r>
              <w:rPr>
                <w:rFonts w:ascii="宋体" w:hAnsi="宋体" w:eastAsia="宋体" w:cs="宋体"/>
                <w:spacing w:val="24"/>
                <w:sz w:val="21"/>
                <w:szCs w:val="21"/>
              </w:rPr>
              <w:t>涉及硝化、氯化、</w:t>
            </w:r>
            <w:r>
              <w:rPr>
                <w:rFonts w:ascii="宋体" w:hAnsi="宋体" w:eastAsia="宋体" w:cs="宋体"/>
                <w:spacing w:val="8"/>
                <w:sz w:val="21"/>
                <w:szCs w:val="21"/>
              </w:rPr>
              <w:t>氟化、重氮化、过</w:t>
            </w:r>
            <w:r>
              <w:rPr>
                <w:rFonts w:ascii="宋体" w:hAnsi="宋体" w:eastAsia="宋体" w:cs="宋体"/>
                <w:spacing w:val="11"/>
                <w:sz w:val="21"/>
                <w:szCs w:val="21"/>
              </w:rPr>
              <w:t>氧化工艺装置的上下游配套装置未实</w:t>
            </w:r>
          </w:p>
        </w:tc>
        <w:tc>
          <w:tcPr>
            <w:tcW w:w="3517" w:type="dxa"/>
            <w:noWrap w:val="0"/>
            <w:vAlign w:val="top"/>
          </w:tcPr>
          <w:p w14:paraId="32930555">
            <w:pPr>
              <w:spacing w:before="77" w:line="247" w:lineRule="auto"/>
              <w:ind w:left="141" w:firstLine="425"/>
              <w:jc w:val="both"/>
              <w:rPr>
                <w:rFonts w:ascii="宋体" w:hAnsi="宋体" w:eastAsia="宋体" w:cs="宋体"/>
                <w:sz w:val="21"/>
                <w:szCs w:val="21"/>
              </w:rPr>
            </w:pPr>
            <w:r>
              <w:rPr>
                <w:rFonts w:ascii="宋体" w:hAnsi="宋体" w:eastAsia="宋体" w:cs="宋体"/>
                <w:spacing w:val="-9"/>
                <w:sz w:val="21"/>
                <w:szCs w:val="21"/>
              </w:rPr>
              <w:t>1.《危险化学品生产企业安</w:t>
            </w:r>
            <w:r>
              <w:rPr>
                <w:rFonts w:ascii="宋体" w:hAnsi="宋体" w:eastAsia="宋体" w:cs="宋体"/>
                <w:spacing w:val="2"/>
                <w:sz w:val="21"/>
                <w:szCs w:val="21"/>
              </w:rPr>
              <w:t>全生产许可证实施办法》(国家</w:t>
            </w:r>
            <w:r>
              <w:rPr>
                <w:rFonts w:ascii="宋体" w:hAnsi="宋体" w:eastAsia="宋体" w:cs="宋体"/>
                <w:spacing w:val="20"/>
                <w:sz w:val="21"/>
                <w:szCs w:val="21"/>
              </w:rPr>
              <w:t>安全监管总局令第41号)第九</w:t>
            </w:r>
            <w:r>
              <w:rPr>
                <w:rFonts w:ascii="宋体" w:hAnsi="宋体" w:eastAsia="宋体" w:cs="宋体"/>
                <w:spacing w:val="7"/>
                <w:sz w:val="21"/>
                <w:szCs w:val="21"/>
              </w:rPr>
              <w:t>条第一款第三项企业的厂房、</w:t>
            </w:r>
          </w:p>
        </w:tc>
        <w:tc>
          <w:tcPr>
            <w:tcW w:w="2858" w:type="dxa"/>
            <w:noWrap w:val="0"/>
            <w:vAlign w:val="top"/>
          </w:tcPr>
          <w:p w14:paraId="7D49BA7C">
            <w:pPr>
              <w:spacing w:before="111"/>
              <w:ind w:left="124" w:right="3" w:firstLine="440"/>
              <w:jc w:val="both"/>
              <w:rPr>
                <w:rFonts w:ascii="宋体" w:hAnsi="宋体" w:eastAsia="宋体" w:cs="宋体"/>
                <w:sz w:val="21"/>
                <w:szCs w:val="21"/>
              </w:rPr>
            </w:pPr>
            <w:r>
              <w:rPr>
                <w:rFonts w:ascii="宋体" w:hAnsi="宋体" w:eastAsia="宋体" w:cs="宋体"/>
                <w:spacing w:val="23"/>
                <w:sz w:val="21"/>
                <w:szCs w:val="21"/>
              </w:rPr>
              <w:t>《危险化学品安全专</w:t>
            </w:r>
            <w:r>
              <w:rPr>
                <w:rFonts w:ascii="宋体" w:hAnsi="宋体" w:eastAsia="宋体" w:cs="宋体"/>
                <w:spacing w:val="32"/>
                <w:sz w:val="21"/>
                <w:szCs w:val="21"/>
              </w:rPr>
              <w:t>项整治三年行动实施方</w:t>
            </w:r>
            <w:r>
              <w:rPr>
                <w:rFonts w:ascii="宋体" w:hAnsi="宋体" w:eastAsia="宋体" w:cs="宋体"/>
                <w:spacing w:val="19"/>
                <w:sz w:val="21"/>
                <w:szCs w:val="21"/>
              </w:rPr>
              <w:t>案》(安委〔2020〕3号)</w:t>
            </w:r>
            <w:r>
              <w:rPr>
                <w:rFonts w:ascii="宋体" w:hAnsi="宋体" w:eastAsia="宋体" w:cs="宋体"/>
                <w:spacing w:val="29"/>
                <w:sz w:val="21"/>
                <w:szCs w:val="21"/>
              </w:rPr>
              <w:t>2022年底前所有涉及硝</w:t>
            </w:r>
          </w:p>
        </w:tc>
        <w:tc>
          <w:tcPr>
            <w:tcW w:w="2838" w:type="dxa"/>
            <w:noWrap w:val="0"/>
            <w:vAlign w:val="top"/>
          </w:tcPr>
          <w:p w14:paraId="59A4C982">
            <w:pPr>
              <w:spacing w:before="80" w:line="236" w:lineRule="auto"/>
              <w:ind w:left="116" w:right="97" w:firstLine="429"/>
              <w:jc w:val="both"/>
              <w:rPr>
                <w:rFonts w:ascii="宋体" w:hAnsi="宋体" w:eastAsia="宋体" w:cs="宋体"/>
                <w:sz w:val="21"/>
                <w:szCs w:val="21"/>
              </w:rPr>
            </w:pPr>
            <w:r>
              <w:rPr>
                <w:rFonts w:ascii="宋体" w:hAnsi="宋体" w:eastAsia="宋体" w:cs="宋体"/>
                <w:spacing w:val="29"/>
                <w:sz w:val="21"/>
                <w:szCs w:val="21"/>
              </w:rPr>
              <w:t>《危险化学品生产</w:t>
            </w:r>
            <w:r>
              <w:rPr>
                <w:rFonts w:ascii="宋体" w:hAnsi="宋体" w:eastAsia="宋体" w:cs="宋体"/>
                <w:spacing w:val="19"/>
                <w:sz w:val="21"/>
                <w:szCs w:val="21"/>
              </w:rPr>
              <w:t>企业安全生产许可证实</w:t>
            </w:r>
            <w:r>
              <w:rPr>
                <w:rFonts w:ascii="宋体" w:hAnsi="宋体" w:eastAsia="宋体" w:cs="宋体"/>
                <w:spacing w:val="8"/>
                <w:sz w:val="21"/>
                <w:szCs w:val="21"/>
              </w:rPr>
              <w:t>施办法》(国家安全监管</w:t>
            </w:r>
            <w:r>
              <w:rPr>
                <w:rFonts w:ascii="宋体" w:hAnsi="宋体" w:eastAsia="宋体" w:cs="宋体"/>
                <w:spacing w:val="30"/>
                <w:sz w:val="21"/>
                <w:szCs w:val="21"/>
              </w:rPr>
              <w:t>总局令第41号)第四十</w:t>
            </w:r>
          </w:p>
        </w:tc>
        <w:tc>
          <w:tcPr>
            <w:tcW w:w="1244" w:type="dxa"/>
            <w:noWrap w:val="0"/>
            <w:vAlign w:val="top"/>
          </w:tcPr>
          <w:p w14:paraId="7086518E">
            <w:pPr>
              <w:spacing w:line="340" w:lineRule="auto"/>
              <w:rPr>
                <w:rFonts w:ascii="Arial"/>
                <w:sz w:val="21"/>
                <w:szCs w:val="21"/>
              </w:rPr>
            </w:pPr>
          </w:p>
          <w:p w14:paraId="6E33B9E4">
            <w:pPr>
              <w:spacing w:before="78" w:line="236" w:lineRule="auto"/>
              <w:ind w:left="138" w:right="111" w:firstLine="10"/>
              <w:rPr>
                <w:rFonts w:ascii="宋体" w:hAnsi="宋体" w:eastAsia="宋体" w:cs="宋体"/>
                <w:sz w:val="21"/>
                <w:szCs w:val="21"/>
              </w:rPr>
            </w:pPr>
            <w:r>
              <w:rPr>
                <w:rFonts w:ascii="宋体" w:hAnsi="宋体" w:eastAsia="宋体" w:cs="宋体"/>
                <w:spacing w:val="3"/>
                <w:sz w:val="21"/>
                <w:szCs w:val="21"/>
              </w:rPr>
              <w:t>危险化工</w:t>
            </w:r>
            <w:r>
              <w:rPr>
                <w:rFonts w:ascii="宋体" w:hAnsi="宋体" w:eastAsia="宋体" w:cs="宋体"/>
                <w:spacing w:val="2"/>
                <w:sz w:val="21"/>
                <w:szCs w:val="21"/>
              </w:rPr>
              <w:t>工艺管理</w:t>
            </w:r>
          </w:p>
        </w:tc>
      </w:tr>
    </w:tbl>
    <w:p w14:paraId="293EEEBD">
      <w:pPr>
        <w:sectPr>
          <w:pgSz w:w="16840" w:h="11900"/>
          <w:pgMar w:top="1440" w:right="1080" w:bottom="1440" w:left="1080" w:header="0" w:footer="0" w:gutter="0"/>
          <w:pgNumType w:fmt="decimal"/>
          <w:cols w:space="720" w:num="1"/>
        </w:sectPr>
      </w:pPr>
    </w:p>
    <w:p w14:paraId="33C2B717"/>
    <w:p w14:paraId="7DC16CC6"/>
    <w:p w14:paraId="6F5C0914">
      <w:pPr>
        <w:spacing w:line="170" w:lineRule="exact"/>
      </w:pP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4"/>
        <w:gridCol w:w="2228"/>
        <w:gridCol w:w="3497"/>
        <w:gridCol w:w="3225"/>
        <w:gridCol w:w="2721"/>
        <w:gridCol w:w="1014"/>
      </w:tblGrid>
      <w:tr w14:paraId="3C7EF4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jc w:val="center"/>
        </w:trPr>
        <w:tc>
          <w:tcPr>
            <w:tcW w:w="864" w:type="dxa"/>
            <w:noWrap w:val="0"/>
            <w:vAlign w:val="top"/>
          </w:tcPr>
          <w:p w14:paraId="37C5EFE7">
            <w:pPr>
              <w:spacing w:before="222" w:line="221" w:lineRule="auto"/>
              <w:ind w:left="188"/>
              <w:rPr>
                <w:rFonts w:ascii="宋体" w:hAnsi="宋体" w:eastAsia="宋体" w:cs="宋体"/>
                <w:b/>
                <w:bCs/>
                <w:sz w:val="24"/>
                <w:szCs w:val="24"/>
              </w:rPr>
            </w:pPr>
            <w:r>
              <w:rPr>
                <w:rFonts w:ascii="宋体" w:hAnsi="宋体" w:eastAsia="宋体" w:cs="宋体"/>
                <w:b/>
                <w:bCs/>
                <w:spacing w:val="-5"/>
                <w:sz w:val="24"/>
                <w:szCs w:val="24"/>
              </w:rPr>
              <w:t>序号</w:t>
            </w:r>
          </w:p>
        </w:tc>
        <w:tc>
          <w:tcPr>
            <w:tcW w:w="2228" w:type="dxa"/>
            <w:noWrap w:val="0"/>
            <w:vAlign w:val="top"/>
          </w:tcPr>
          <w:p w14:paraId="643A8925">
            <w:pPr>
              <w:spacing w:before="85" w:line="219" w:lineRule="auto"/>
              <w:ind w:left="621"/>
              <w:rPr>
                <w:rFonts w:ascii="宋体" w:hAnsi="宋体" w:eastAsia="宋体" w:cs="宋体"/>
                <w:b/>
                <w:bCs/>
                <w:sz w:val="24"/>
                <w:szCs w:val="24"/>
              </w:rPr>
            </w:pPr>
            <w:r>
              <w:rPr>
                <w:rFonts w:ascii="宋体" w:hAnsi="宋体" w:eastAsia="宋体" w:cs="宋体"/>
                <w:b/>
                <w:bCs/>
                <w:spacing w:val="3"/>
                <w:sz w:val="24"/>
                <w:szCs w:val="24"/>
              </w:rPr>
              <w:t>执法检查</w:t>
            </w:r>
          </w:p>
          <w:p w14:paraId="082204B4">
            <w:pPr>
              <w:spacing w:before="41" w:line="202" w:lineRule="auto"/>
              <w:ind w:left="384"/>
              <w:rPr>
                <w:rFonts w:ascii="宋体" w:hAnsi="宋体" w:eastAsia="宋体" w:cs="宋体"/>
                <w:b/>
                <w:bCs/>
                <w:sz w:val="24"/>
                <w:szCs w:val="24"/>
              </w:rPr>
            </w:pPr>
            <w:r>
              <w:rPr>
                <w:rFonts w:ascii="宋体" w:hAnsi="宋体" w:eastAsia="宋体" w:cs="宋体"/>
                <w:b/>
                <w:bCs/>
                <w:spacing w:val="-4"/>
                <w:sz w:val="24"/>
                <w:szCs w:val="24"/>
              </w:rPr>
              <w:t>重点事项内容</w:t>
            </w:r>
          </w:p>
        </w:tc>
        <w:tc>
          <w:tcPr>
            <w:tcW w:w="3497" w:type="dxa"/>
            <w:noWrap w:val="0"/>
            <w:vAlign w:val="top"/>
          </w:tcPr>
          <w:p w14:paraId="0CFBBB0D">
            <w:pPr>
              <w:spacing w:before="219" w:line="219" w:lineRule="auto"/>
              <w:ind w:left="1056"/>
              <w:rPr>
                <w:rFonts w:ascii="宋体" w:hAnsi="宋体" w:eastAsia="宋体" w:cs="宋体"/>
                <w:b/>
                <w:bCs/>
                <w:sz w:val="24"/>
                <w:szCs w:val="24"/>
              </w:rPr>
            </w:pPr>
            <w:r>
              <w:rPr>
                <w:rFonts w:ascii="宋体" w:hAnsi="宋体" w:eastAsia="宋体" w:cs="宋体"/>
                <w:b/>
                <w:bCs/>
                <w:spacing w:val="-4"/>
                <w:sz w:val="24"/>
                <w:szCs w:val="24"/>
              </w:rPr>
              <w:t>执法检查依据</w:t>
            </w:r>
          </w:p>
        </w:tc>
        <w:tc>
          <w:tcPr>
            <w:tcW w:w="3225" w:type="dxa"/>
            <w:noWrap w:val="0"/>
            <w:vAlign w:val="top"/>
          </w:tcPr>
          <w:p w14:paraId="3461E899">
            <w:pPr>
              <w:spacing w:before="72" w:line="220" w:lineRule="auto"/>
              <w:ind w:left="869"/>
              <w:rPr>
                <w:rFonts w:ascii="宋体" w:hAnsi="宋体" w:eastAsia="宋体" w:cs="宋体"/>
                <w:b/>
                <w:bCs/>
                <w:sz w:val="24"/>
                <w:szCs w:val="24"/>
              </w:rPr>
            </w:pPr>
            <w:r>
              <w:rPr>
                <w:rFonts w:ascii="宋体" w:hAnsi="宋体" w:eastAsia="宋体" w:cs="宋体"/>
                <w:b/>
                <w:bCs/>
                <w:spacing w:val="-5"/>
                <w:sz w:val="24"/>
                <w:szCs w:val="24"/>
              </w:rPr>
              <w:t>有关规范性</w:t>
            </w:r>
          </w:p>
          <w:p w14:paraId="03E2CF73">
            <w:pPr>
              <w:spacing w:before="53" w:line="202" w:lineRule="auto"/>
              <w:ind w:left="629"/>
              <w:rPr>
                <w:rFonts w:ascii="宋体" w:hAnsi="宋体" w:eastAsia="宋体" w:cs="宋体"/>
                <w:b/>
                <w:bCs/>
                <w:sz w:val="24"/>
                <w:szCs w:val="24"/>
              </w:rPr>
            </w:pPr>
            <w:r>
              <w:rPr>
                <w:rFonts w:ascii="宋体" w:hAnsi="宋体" w:eastAsia="宋体" w:cs="宋体"/>
                <w:b/>
                <w:bCs/>
                <w:spacing w:val="-4"/>
                <w:sz w:val="24"/>
                <w:szCs w:val="24"/>
              </w:rPr>
              <w:t>文件及标准要求</w:t>
            </w:r>
          </w:p>
        </w:tc>
        <w:tc>
          <w:tcPr>
            <w:tcW w:w="2721" w:type="dxa"/>
            <w:noWrap w:val="0"/>
            <w:vAlign w:val="top"/>
          </w:tcPr>
          <w:p w14:paraId="7C38A8FF">
            <w:pPr>
              <w:spacing w:before="219" w:line="219" w:lineRule="auto"/>
              <w:ind w:left="971"/>
              <w:rPr>
                <w:rFonts w:ascii="宋体" w:hAnsi="宋体" w:eastAsia="宋体" w:cs="宋体"/>
                <w:b/>
                <w:bCs/>
                <w:sz w:val="24"/>
                <w:szCs w:val="24"/>
              </w:rPr>
            </w:pPr>
            <w:r>
              <w:rPr>
                <w:rFonts w:ascii="宋体" w:hAnsi="宋体" w:eastAsia="宋体" w:cs="宋体"/>
                <w:b/>
                <w:bCs/>
                <w:spacing w:val="4"/>
                <w:sz w:val="24"/>
                <w:szCs w:val="24"/>
              </w:rPr>
              <w:t>处罚依据</w:t>
            </w:r>
          </w:p>
        </w:tc>
        <w:tc>
          <w:tcPr>
            <w:tcW w:w="1014" w:type="dxa"/>
            <w:noWrap w:val="0"/>
            <w:vAlign w:val="top"/>
          </w:tcPr>
          <w:p w14:paraId="38B4DE87">
            <w:pPr>
              <w:spacing w:before="222" w:line="221" w:lineRule="auto"/>
              <w:ind w:left="383"/>
              <w:rPr>
                <w:rFonts w:ascii="宋体" w:hAnsi="宋体" w:eastAsia="宋体" w:cs="宋体"/>
                <w:b/>
                <w:bCs/>
                <w:sz w:val="24"/>
                <w:szCs w:val="24"/>
              </w:rPr>
            </w:pPr>
            <w:r>
              <w:rPr>
                <w:rFonts w:ascii="宋体" w:hAnsi="宋体" w:eastAsia="宋体" w:cs="宋体"/>
                <w:b/>
                <w:bCs/>
                <w:spacing w:val="-6"/>
                <w:sz w:val="24"/>
                <w:szCs w:val="24"/>
              </w:rPr>
              <w:t>备注</w:t>
            </w:r>
          </w:p>
        </w:tc>
      </w:tr>
      <w:tr w14:paraId="09B928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9" w:hRule="atLeast"/>
          <w:jc w:val="center"/>
        </w:trPr>
        <w:tc>
          <w:tcPr>
            <w:tcW w:w="864" w:type="dxa"/>
            <w:noWrap w:val="0"/>
            <w:vAlign w:val="top"/>
          </w:tcPr>
          <w:p w14:paraId="29B4C412">
            <w:pPr>
              <w:rPr>
                <w:rFonts w:ascii="Arial"/>
                <w:sz w:val="21"/>
              </w:rPr>
            </w:pPr>
          </w:p>
        </w:tc>
        <w:tc>
          <w:tcPr>
            <w:tcW w:w="2228" w:type="dxa"/>
            <w:noWrap w:val="0"/>
            <w:vAlign w:val="top"/>
          </w:tcPr>
          <w:p w14:paraId="5396A7E0">
            <w:pPr>
              <w:spacing w:before="101" w:line="220" w:lineRule="auto"/>
              <w:ind w:left="130"/>
              <w:rPr>
                <w:rFonts w:ascii="宋体" w:hAnsi="宋体" w:eastAsia="宋体" w:cs="宋体"/>
                <w:sz w:val="21"/>
                <w:szCs w:val="21"/>
              </w:rPr>
            </w:pPr>
            <w:r>
              <w:rPr>
                <w:rFonts w:ascii="宋体" w:hAnsi="宋体" w:eastAsia="宋体" w:cs="宋体"/>
                <w:spacing w:val="17"/>
                <w:sz w:val="21"/>
                <w:szCs w:val="21"/>
              </w:rPr>
              <w:t>现自动化控制。</w:t>
            </w:r>
          </w:p>
        </w:tc>
        <w:tc>
          <w:tcPr>
            <w:tcW w:w="3497" w:type="dxa"/>
            <w:noWrap w:val="0"/>
            <w:vAlign w:val="top"/>
          </w:tcPr>
          <w:p w14:paraId="7CB84D17">
            <w:pPr>
              <w:spacing w:before="100"/>
              <w:ind w:left="152"/>
              <w:jc w:val="both"/>
              <w:rPr>
                <w:rFonts w:ascii="宋体" w:hAnsi="宋体" w:eastAsia="宋体" w:cs="宋体"/>
                <w:sz w:val="21"/>
                <w:szCs w:val="21"/>
              </w:rPr>
            </w:pPr>
            <w:r>
              <w:rPr>
                <w:rFonts w:ascii="宋体" w:hAnsi="宋体" w:eastAsia="宋体" w:cs="宋体"/>
                <w:spacing w:val="21"/>
                <w:sz w:val="21"/>
                <w:szCs w:val="21"/>
              </w:rPr>
              <w:t>作业场所、储存设施和安全设</w:t>
            </w:r>
            <w:r>
              <w:rPr>
                <w:rFonts w:ascii="宋体" w:hAnsi="宋体" w:eastAsia="宋体" w:cs="宋体"/>
                <w:spacing w:val="8"/>
                <w:sz w:val="21"/>
                <w:szCs w:val="21"/>
              </w:rPr>
              <w:t>施、设备、工艺应当符合下列要</w:t>
            </w:r>
            <w:r>
              <w:rPr>
                <w:rFonts w:ascii="宋体" w:hAnsi="宋体" w:eastAsia="宋体" w:cs="宋体"/>
                <w:spacing w:val="-2"/>
                <w:sz w:val="21"/>
                <w:szCs w:val="21"/>
              </w:rPr>
              <w:t>求：</w:t>
            </w:r>
          </w:p>
          <w:p w14:paraId="3BEEB84F">
            <w:pPr>
              <w:spacing w:before="64" w:line="251" w:lineRule="auto"/>
              <w:ind w:left="152" w:firstLine="538"/>
              <w:rPr>
                <w:rFonts w:ascii="宋体" w:hAnsi="宋体" w:eastAsia="宋体" w:cs="宋体"/>
                <w:sz w:val="21"/>
                <w:szCs w:val="21"/>
              </w:rPr>
            </w:pPr>
            <w:r>
              <w:rPr>
                <w:rFonts w:ascii="宋体" w:hAnsi="宋体" w:eastAsia="宋体" w:cs="宋体"/>
                <w:spacing w:val="17"/>
                <w:sz w:val="21"/>
                <w:szCs w:val="21"/>
              </w:rPr>
              <w:t>(三)涉及危险化工工艺、</w:t>
            </w:r>
            <w:r>
              <w:rPr>
                <w:rFonts w:ascii="宋体" w:hAnsi="宋体" w:eastAsia="宋体" w:cs="宋体"/>
                <w:spacing w:val="19"/>
                <w:sz w:val="21"/>
                <w:szCs w:val="21"/>
              </w:rPr>
              <w:t>重点监管危险化学品的装置装</w:t>
            </w:r>
            <w:r>
              <w:rPr>
                <w:rFonts w:ascii="宋体" w:hAnsi="宋体" w:eastAsia="宋体" w:cs="宋体"/>
                <w:spacing w:val="8"/>
                <w:sz w:val="21"/>
                <w:szCs w:val="21"/>
              </w:rPr>
              <w:t>设自动化控制系统；涉及危险化</w:t>
            </w:r>
            <w:r>
              <w:rPr>
                <w:rFonts w:ascii="宋体" w:hAnsi="宋体" w:eastAsia="宋体" w:cs="宋体"/>
                <w:spacing w:val="20"/>
                <w:sz w:val="21"/>
                <w:szCs w:val="21"/>
              </w:rPr>
              <w:t>工工艺的大型化工装置装设紧</w:t>
            </w:r>
            <w:r>
              <w:rPr>
                <w:rFonts w:ascii="宋体" w:hAnsi="宋体" w:eastAsia="宋体" w:cs="宋体"/>
                <w:spacing w:val="7"/>
                <w:sz w:val="21"/>
                <w:szCs w:val="21"/>
              </w:rPr>
              <w:t>急停车系统；涉及易燃易爆、有</w:t>
            </w:r>
            <w:r>
              <w:rPr>
                <w:rFonts w:ascii="宋体" w:hAnsi="宋体" w:eastAsia="宋体" w:cs="宋体"/>
                <w:spacing w:val="20"/>
                <w:sz w:val="21"/>
                <w:szCs w:val="21"/>
              </w:rPr>
              <w:t>毒有害气体化学品的场所装设</w:t>
            </w:r>
            <w:r>
              <w:rPr>
                <w:rFonts w:ascii="宋体" w:hAnsi="宋体" w:eastAsia="宋体" w:cs="宋体"/>
                <w:spacing w:val="7"/>
                <w:sz w:val="21"/>
                <w:szCs w:val="21"/>
              </w:rPr>
              <w:t>易燃易爆、有毒有害介质泄漏报</w:t>
            </w:r>
            <w:r>
              <w:rPr>
                <w:rFonts w:ascii="宋体" w:hAnsi="宋体" w:eastAsia="宋体" w:cs="宋体"/>
                <w:spacing w:val="25"/>
                <w:sz w:val="21"/>
                <w:szCs w:val="21"/>
              </w:rPr>
              <w:t>警等安全设施。</w:t>
            </w:r>
          </w:p>
          <w:p w14:paraId="7BDE1D35">
            <w:pPr>
              <w:spacing w:before="86" w:line="248" w:lineRule="auto"/>
              <w:ind w:left="152" w:firstLine="437"/>
              <w:jc w:val="both"/>
              <w:rPr>
                <w:rFonts w:ascii="宋体" w:hAnsi="宋体" w:eastAsia="宋体" w:cs="宋体"/>
                <w:sz w:val="21"/>
                <w:szCs w:val="21"/>
              </w:rPr>
            </w:pPr>
            <w:r>
              <w:rPr>
                <w:rFonts w:ascii="宋体" w:hAnsi="宋体" w:eastAsia="宋体" w:cs="宋体"/>
                <w:spacing w:val="-3"/>
                <w:sz w:val="21"/>
                <w:szCs w:val="21"/>
              </w:rPr>
              <w:t>2.《危险化学品安全使用许</w:t>
            </w:r>
            <w:r>
              <w:rPr>
                <w:rFonts w:ascii="宋体" w:hAnsi="宋体" w:eastAsia="宋体" w:cs="宋体"/>
                <w:spacing w:val="9"/>
                <w:sz w:val="21"/>
                <w:szCs w:val="21"/>
              </w:rPr>
              <w:t>可证实施办法》(国家安全监管</w:t>
            </w:r>
            <w:r>
              <w:rPr>
                <w:rFonts w:ascii="宋体" w:hAnsi="宋体" w:eastAsia="宋体" w:cs="宋体"/>
                <w:spacing w:val="28"/>
                <w:sz w:val="21"/>
                <w:szCs w:val="21"/>
              </w:rPr>
              <w:t>总局令第57号)第七条第三项</w:t>
            </w:r>
            <w:r>
              <w:rPr>
                <w:rFonts w:ascii="宋体" w:hAnsi="宋体" w:eastAsia="宋体" w:cs="宋体"/>
                <w:spacing w:val="7"/>
                <w:sz w:val="21"/>
                <w:szCs w:val="21"/>
              </w:rPr>
              <w:t>企业的厂房、作业场所、储存设</w:t>
            </w:r>
            <w:r>
              <w:rPr>
                <w:rFonts w:ascii="宋体" w:hAnsi="宋体" w:eastAsia="宋体" w:cs="宋体"/>
                <w:spacing w:val="8"/>
                <w:sz w:val="21"/>
                <w:szCs w:val="21"/>
              </w:rPr>
              <w:t>施和安全设施、设备、工艺应当</w:t>
            </w:r>
            <w:r>
              <w:rPr>
                <w:rFonts w:ascii="宋体" w:hAnsi="宋体" w:eastAsia="宋体" w:cs="宋体"/>
                <w:spacing w:val="25"/>
                <w:sz w:val="21"/>
                <w:szCs w:val="21"/>
              </w:rPr>
              <w:t>符合下列要求：</w:t>
            </w:r>
          </w:p>
          <w:p w14:paraId="4692A60C">
            <w:pPr>
              <w:spacing w:before="36" w:line="246" w:lineRule="auto"/>
              <w:ind w:left="152" w:firstLine="541"/>
              <w:jc w:val="both"/>
              <w:rPr>
                <w:rFonts w:ascii="宋体" w:hAnsi="宋体" w:eastAsia="宋体" w:cs="宋体"/>
                <w:sz w:val="21"/>
                <w:szCs w:val="21"/>
              </w:rPr>
            </w:pPr>
            <w:r>
              <w:rPr>
                <w:rFonts w:ascii="宋体" w:hAnsi="宋体" w:eastAsia="宋体" w:cs="宋体"/>
                <w:spacing w:val="5"/>
                <w:sz w:val="21"/>
                <w:szCs w:val="21"/>
              </w:rPr>
              <w:t>(三)涉及国家安全生产监</w:t>
            </w:r>
            <w:r>
              <w:rPr>
                <w:rFonts w:ascii="宋体" w:hAnsi="宋体" w:eastAsia="宋体" w:cs="宋体"/>
                <w:spacing w:val="14"/>
                <w:sz w:val="21"/>
                <w:szCs w:val="21"/>
              </w:rPr>
              <w:t>督管理总局公布的重点监管危</w:t>
            </w:r>
            <w:r>
              <w:rPr>
                <w:rFonts w:ascii="宋体" w:hAnsi="宋体" w:eastAsia="宋体" w:cs="宋体"/>
                <w:sz w:val="21"/>
                <w:szCs w:val="21"/>
              </w:rPr>
              <w:t>险化工工艺、重点监管危险化学</w:t>
            </w:r>
            <w:r>
              <w:rPr>
                <w:rFonts w:ascii="宋体" w:hAnsi="宋体" w:eastAsia="宋体" w:cs="宋体"/>
                <w:spacing w:val="8"/>
                <w:sz w:val="21"/>
                <w:szCs w:val="21"/>
              </w:rPr>
              <w:t>品的装置装设自动化控制系统；</w:t>
            </w:r>
            <w:r>
              <w:rPr>
                <w:rFonts w:ascii="宋体" w:hAnsi="宋体" w:eastAsia="宋体" w:cs="宋体"/>
                <w:spacing w:val="12"/>
                <w:sz w:val="21"/>
                <w:szCs w:val="21"/>
              </w:rPr>
              <w:t>涉及国家安全生产监督管理总</w:t>
            </w:r>
            <w:r>
              <w:rPr>
                <w:rFonts w:ascii="宋体" w:hAnsi="宋体" w:eastAsia="宋体" w:cs="宋体"/>
                <w:spacing w:val="11"/>
                <w:sz w:val="21"/>
                <w:szCs w:val="21"/>
              </w:rPr>
              <w:t>局公布的重点监管危险化工工</w:t>
            </w:r>
          </w:p>
        </w:tc>
        <w:tc>
          <w:tcPr>
            <w:tcW w:w="3225" w:type="dxa"/>
            <w:noWrap w:val="0"/>
            <w:vAlign w:val="top"/>
          </w:tcPr>
          <w:p w14:paraId="757B0D75">
            <w:pPr>
              <w:spacing w:before="99" w:line="248" w:lineRule="auto"/>
              <w:ind w:left="135"/>
              <w:jc w:val="both"/>
              <w:rPr>
                <w:rFonts w:ascii="宋体" w:hAnsi="宋体" w:eastAsia="宋体" w:cs="宋体"/>
                <w:sz w:val="21"/>
                <w:szCs w:val="21"/>
              </w:rPr>
            </w:pPr>
            <w:r>
              <w:rPr>
                <w:rFonts w:ascii="宋体" w:hAnsi="宋体" w:eastAsia="宋体" w:cs="宋体"/>
                <w:spacing w:val="-4"/>
                <w:sz w:val="21"/>
                <w:szCs w:val="21"/>
              </w:rPr>
              <w:t>化、氯化、氟化、重氮化、</w:t>
            </w:r>
            <w:r>
              <w:rPr>
                <w:rFonts w:ascii="宋体" w:hAnsi="宋体" w:eastAsia="宋体" w:cs="宋体"/>
                <w:spacing w:val="1"/>
                <w:sz w:val="21"/>
                <w:szCs w:val="21"/>
              </w:rPr>
              <w:t>过氧化工艺装置的上下游</w:t>
            </w:r>
            <w:r>
              <w:rPr>
                <w:rFonts w:ascii="宋体" w:hAnsi="宋体" w:eastAsia="宋体" w:cs="宋体"/>
                <w:spacing w:val="-1"/>
                <w:sz w:val="21"/>
                <w:szCs w:val="21"/>
              </w:rPr>
              <w:t>配套装置必须实现自动化</w:t>
            </w:r>
            <w:r>
              <w:rPr>
                <w:rFonts w:ascii="宋体" w:hAnsi="宋体" w:eastAsia="宋体" w:cs="宋体"/>
                <w:spacing w:val="-6"/>
                <w:sz w:val="21"/>
                <w:szCs w:val="21"/>
              </w:rPr>
              <w:t>控制。</w:t>
            </w:r>
          </w:p>
        </w:tc>
        <w:tc>
          <w:tcPr>
            <w:tcW w:w="2721" w:type="dxa"/>
            <w:noWrap w:val="0"/>
            <w:vAlign w:val="top"/>
          </w:tcPr>
          <w:p w14:paraId="024E583D">
            <w:pPr>
              <w:spacing w:before="114" w:line="242" w:lineRule="auto"/>
              <w:ind w:left="167" w:right="2"/>
              <w:jc w:val="both"/>
              <w:rPr>
                <w:rFonts w:ascii="宋体" w:hAnsi="宋体" w:eastAsia="宋体" w:cs="宋体"/>
                <w:sz w:val="21"/>
                <w:szCs w:val="21"/>
              </w:rPr>
            </w:pPr>
            <w:r>
              <w:rPr>
                <w:rFonts w:ascii="宋体" w:hAnsi="宋体" w:eastAsia="宋体" w:cs="宋体"/>
                <w:spacing w:val="13"/>
                <w:sz w:val="21"/>
                <w:szCs w:val="21"/>
              </w:rPr>
              <w:t>三条企业取得安全生</w:t>
            </w:r>
            <w:r>
              <w:rPr>
                <w:rFonts w:ascii="宋体" w:hAnsi="宋体" w:eastAsia="宋体" w:cs="宋体"/>
                <w:spacing w:val="21"/>
                <w:sz w:val="21"/>
                <w:szCs w:val="21"/>
              </w:rPr>
              <w:t>产许可证后发现其不具备本办法规定的安全生</w:t>
            </w:r>
            <w:r>
              <w:rPr>
                <w:rFonts w:ascii="宋体" w:hAnsi="宋体" w:eastAsia="宋体" w:cs="宋体"/>
                <w:spacing w:val="1"/>
                <w:sz w:val="21"/>
                <w:szCs w:val="21"/>
              </w:rPr>
              <w:t>产条件的，依法暂扣其安</w:t>
            </w:r>
            <w:r>
              <w:rPr>
                <w:rFonts w:ascii="宋体" w:hAnsi="宋体" w:eastAsia="宋体" w:cs="宋体"/>
                <w:spacing w:val="8"/>
                <w:sz w:val="21"/>
                <w:szCs w:val="21"/>
              </w:rPr>
              <w:t>全生产许可证1个月以上</w:t>
            </w:r>
            <w:r>
              <w:rPr>
                <w:rFonts w:ascii="宋体" w:hAnsi="宋体" w:eastAsia="宋体" w:cs="宋体"/>
                <w:spacing w:val="10"/>
                <w:sz w:val="21"/>
                <w:szCs w:val="21"/>
              </w:rPr>
              <w:t>6个月以下；暂扣期满仍</w:t>
            </w:r>
            <w:r>
              <w:rPr>
                <w:rFonts w:ascii="宋体" w:hAnsi="宋体" w:eastAsia="宋体" w:cs="宋体"/>
                <w:spacing w:val="21"/>
                <w:sz w:val="21"/>
                <w:szCs w:val="21"/>
              </w:rPr>
              <w:t>不具备本办法规定的安</w:t>
            </w:r>
            <w:r>
              <w:rPr>
                <w:rFonts w:ascii="宋体" w:hAnsi="宋体" w:eastAsia="宋体" w:cs="宋体"/>
                <w:spacing w:val="1"/>
                <w:sz w:val="21"/>
                <w:szCs w:val="21"/>
              </w:rPr>
              <w:t>全生产条件的，依法吊销</w:t>
            </w:r>
            <w:r>
              <w:rPr>
                <w:rFonts w:ascii="宋体" w:hAnsi="宋体" w:eastAsia="宋体" w:cs="宋体"/>
                <w:spacing w:val="13"/>
                <w:sz w:val="21"/>
                <w:szCs w:val="21"/>
              </w:rPr>
              <w:t>其安全生产许可证。</w:t>
            </w:r>
          </w:p>
        </w:tc>
        <w:tc>
          <w:tcPr>
            <w:tcW w:w="1014" w:type="dxa"/>
            <w:noWrap w:val="0"/>
            <w:vAlign w:val="top"/>
          </w:tcPr>
          <w:p w14:paraId="7C4DD383">
            <w:pPr>
              <w:rPr>
                <w:rFonts w:ascii="Arial"/>
                <w:sz w:val="21"/>
                <w:szCs w:val="21"/>
              </w:rPr>
            </w:pPr>
          </w:p>
        </w:tc>
      </w:tr>
    </w:tbl>
    <w:p w14:paraId="494E9948">
      <w:pPr>
        <w:rPr>
          <w:rFonts w:ascii="Arial"/>
          <w:sz w:val="21"/>
        </w:rPr>
      </w:pPr>
    </w:p>
    <w:p w14:paraId="2A0053D9">
      <w:pPr>
        <w:sectPr>
          <w:pgSz w:w="16840" w:h="11900"/>
          <w:pgMar w:top="1440" w:right="1080" w:bottom="1440" w:left="1080" w:header="0" w:footer="0" w:gutter="0"/>
          <w:pgNumType w:fmt="decimal"/>
          <w:cols w:space="720" w:num="1"/>
        </w:sectPr>
      </w:pPr>
    </w:p>
    <w:p w14:paraId="1E68AAF2"/>
    <w:p w14:paraId="57902973"/>
    <w:p w14:paraId="5B0AD9E0">
      <w:pPr>
        <w:spacing w:line="199" w:lineRule="exact"/>
      </w:pP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4"/>
        <w:gridCol w:w="2228"/>
        <w:gridCol w:w="3507"/>
        <w:gridCol w:w="3117"/>
        <w:gridCol w:w="2737"/>
        <w:gridCol w:w="1392"/>
      </w:tblGrid>
      <w:tr w14:paraId="5F6DAF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jc w:val="center"/>
        </w:trPr>
        <w:tc>
          <w:tcPr>
            <w:tcW w:w="874" w:type="dxa"/>
            <w:noWrap w:val="0"/>
            <w:vAlign w:val="top"/>
          </w:tcPr>
          <w:p w14:paraId="7758C05A">
            <w:pPr>
              <w:spacing w:before="212" w:line="221" w:lineRule="auto"/>
              <w:ind w:left="188"/>
              <w:rPr>
                <w:rFonts w:ascii="宋体" w:hAnsi="宋体" w:eastAsia="宋体" w:cs="宋体"/>
                <w:b/>
                <w:bCs/>
                <w:sz w:val="24"/>
                <w:szCs w:val="24"/>
              </w:rPr>
            </w:pPr>
            <w:r>
              <w:rPr>
                <w:rFonts w:ascii="宋体" w:hAnsi="宋体" w:eastAsia="宋体" w:cs="宋体"/>
                <w:b/>
                <w:bCs/>
                <w:spacing w:val="-5"/>
                <w:sz w:val="24"/>
                <w:szCs w:val="24"/>
              </w:rPr>
              <w:t>序号</w:t>
            </w:r>
          </w:p>
        </w:tc>
        <w:tc>
          <w:tcPr>
            <w:tcW w:w="2228" w:type="dxa"/>
            <w:noWrap w:val="0"/>
            <w:vAlign w:val="top"/>
          </w:tcPr>
          <w:p w14:paraId="35540FFA">
            <w:pPr>
              <w:spacing w:before="75" w:line="219" w:lineRule="auto"/>
              <w:ind w:left="630"/>
              <w:rPr>
                <w:rFonts w:ascii="宋体" w:hAnsi="宋体" w:eastAsia="宋体" w:cs="宋体"/>
                <w:b/>
                <w:bCs/>
                <w:sz w:val="24"/>
                <w:szCs w:val="24"/>
              </w:rPr>
            </w:pPr>
            <w:r>
              <w:rPr>
                <w:rFonts w:ascii="宋体" w:hAnsi="宋体" w:eastAsia="宋体" w:cs="宋体"/>
                <w:b/>
                <w:bCs/>
                <w:spacing w:val="3"/>
                <w:sz w:val="24"/>
                <w:szCs w:val="24"/>
              </w:rPr>
              <w:t>执法检查</w:t>
            </w:r>
          </w:p>
          <w:p w14:paraId="00CA80FF">
            <w:pPr>
              <w:spacing w:before="44" w:line="192" w:lineRule="auto"/>
              <w:ind w:left="401"/>
              <w:rPr>
                <w:rFonts w:ascii="宋体" w:hAnsi="宋体" w:eastAsia="宋体" w:cs="宋体"/>
                <w:b/>
                <w:bCs/>
                <w:sz w:val="24"/>
                <w:szCs w:val="24"/>
              </w:rPr>
            </w:pPr>
            <w:r>
              <w:rPr>
                <w:rFonts w:ascii="宋体" w:hAnsi="宋体" w:eastAsia="宋体" w:cs="宋体"/>
                <w:b/>
                <w:bCs/>
                <w:spacing w:val="2"/>
                <w:sz w:val="24"/>
                <w:szCs w:val="24"/>
              </w:rPr>
              <w:t>重点事项内容</w:t>
            </w:r>
          </w:p>
        </w:tc>
        <w:tc>
          <w:tcPr>
            <w:tcW w:w="3507" w:type="dxa"/>
            <w:noWrap w:val="0"/>
            <w:vAlign w:val="top"/>
          </w:tcPr>
          <w:p w14:paraId="2AC39174">
            <w:pPr>
              <w:spacing w:before="209" w:line="219" w:lineRule="auto"/>
              <w:ind w:left="1056"/>
              <w:rPr>
                <w:rFonts w:ascii="宋体" w:hAnsi="宋体" w:eastAsia="宋体" w:cs="宋体"/>
                <w:b/>
                <w:bCs/>
                <w:sz w:val="24"/>
                <w:szCs w:val="24"/>
              </w:rPr>
            </w:pPr>
            <w:r>
              <w:rPr>
                <w:rFonts w:ascii="宋体" w:hAnsi="宋体" w:eastAsia="宋体" w:cs="宋体"/>
                <w:b/>
                <w:bCs/>
                <w:spacing w:val="-4"/>
                <w:sz w:val="24"/>
                <w:szCs w:val="24"/>
              </w:rPr>
              <w:t>执法检查依据</w:t>
            </w:r>
          </w:p>
        </w:tc>
        <w:tc>
          <w:tcPr>
            <w:tcW w:w="3117" w:type="dxa"/>
            <w:noWrap w:val="0"/>
            <w:vAlign w:val="top"/>
          </w:tcPr>
          <w:p w14:paraId="392D1107">
            <w:pPr>
              <w:spacing w:before="85" w:line="220" w:lineRule="auto"/>
              <w:ind w:left="845"/>
              <w:rPr>
                <w:rFonts w:ascii="宋体" w:hAnsi="宋体" w:eastAsia="宋体" w:cs="宋体"/>
                <w:b/>
                <w:bCs/>
                <w:sz w:val="24"/>
                <w:szCs w:val="24"/>
              </w:rPr>
            </w:pPr>
            <w:r>
              <w:rPr>
                <w:rFonts w:ascii="宋体" w:hAnsi="宋体" w:eastAsia="宋体" w:cs="宋体"/>
                <w:b/>
                <w:bCs/>
                <w:spacing w:val="-2"/>
                <w:sz w:val="24"/>
                <w:szCs w:val="24"/>
              </w:rPr>
              <w:t>有关规范性</w:t>
            </w:r>
          </w:p>
          <w:p w14:paraId="76C91B6C">
            <w:pPr>
              <w:spacing w:before="32" w:line="192" w:lineRule="auto"/>
              <w:ind w:left="615"/>
              <w:rPr>
                <w:rFonts w:ascii="宋体" w:hAnsi="宋体" w:eastAsia="宋体" w:cs="宋体"/>
                <w:b/>
                <w:bCs/>
                <w:sz w:val="24"/>
                <w:szCs w:val="24"/>
              </w:rPr>
            </w:pPr>
            <w:r>
              <w:rPr>
                <w:rFonts w:ascii="宋体" w:hAnsi="宋体" w:eastAsia="宋体" w:cs="宋体"/>
                <w:b/>
                <w:bCs/>
                <w:spacing w:val="1"/>
                <w:sz w:val="24"/>
                <w:szCs w:val="24"/>
              </w:rPr>
              <w:t>文件及标准要求</w:t>
            </w:r>
          </w:p>
        </w:tc>
        <w:tc>
          <w:tcPr>
            <w:tcW w:w="2737" w:type="dxa"/>
            <w:noWrap w:val="0"/>
            <w:vAlign w:val="top"/>
          </w:tcPr>
          <w:p w14:paraId="5CD22403">
            <w:pPr>
              <w:spacing w:before="213" w:line="219" w:lineRule="auto"/>
              <w:ind w:left="967"/>
              <w:rPr>
                <w:rFonts w:ascii="宋体" w:hAnsi="宋体" w:eastAsia="宋体" w:cs="宋体"/>
                <w:b/>
                <w:bCs/>
                <w:sz w:val="24"/>
                <w:szCs w:val="24"/>
              </w:rPr>
            </w:pPr>
            <w:r>
              <w:rPr>
                <w:rFonts w:ascii="宋体" w:hAnsi="宋体" w:eastAsia="宋体" w:cs="宋体"/>
                <w:b/>
                <w:bCs/>
                <w:spacing w:val="13"/>
                <w:sz w:val="24"/>
                <w:szCs w:val="24"/>
              </w:rPr>
              <w:t>处罚依据</w:t>
            </w:r>
          </w:p>
        </w:tc>
        <w:tc>
          <w:tcPr>
            <w:tcW w:w="1392" w:type="dxa"/>
            <w:noWrap w:val="0"/>
            <w:vAlign w:val="top"/>
          </w:tcPr>
          <w:p w14:paraId="4FE5FD13">
            <w:pPr>
              <w:spacing w:before="212" w:line="221" w:lineRule="auto"/>
              <w:ind w:left="373"/>
              <w:rPr>
                <w:rFonts w:ascii="宋体" w:hAnsi="宋体" w:eastAsia="宋体" w:cs="宋体"/>
                <w:b/>
                <w:bCs/>
                <w:sz w:val="24"/>
                <w:szCs w:val="24"/>
              </w:rPr>
            </w:pPr>
            <w:r>
              <w:rPr>
                <w:rFonts w:ascii="宋体" w:hAnsi="宋体" w:eastAsia="宋体" w:cs="宋体"/>
                <w:b/>
                <w:bCs/>
                <w:spacing w:val="-6"/>
                <w:sz w:val="24"/>
                <w:szCs w:val="24"/>
              </w:rPr>
              <w:t>备注</w:t>
            </w:r>
          </w:p>
        </w:tc>
      </w:tr>
      <w:tr w14:paraId="6924A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7" w:hRule="atLeast"/>
          <w:jc w:val="center"/>
        </w:trPr>
        <w:tc>
          <w:tcPr>
            <w:tcW w:w="874" w:type="dxa"/>
            <w:noWrap w:val="0"/>
            <w:vAlign w:val="top"/>
          </w:tcPr>
          <w:p w14:paraId="4FCF05D6">
            <w:pPr>
              <w:rPr>
                <w:rFonts w:ascii="Arial"/>
                <w:sz w:val="21"/>
              </w:rPr>
            </w:pPr>
          </w:p>
        </w:tc>
        <w:tc>
          <w:tcPr>
            <w:tcW w:w="2228" w:type="dxa"/>
            <w:noWrap w:val="0"/>
            <w:vAlign w:val="top"/>
          </w:tcPr>
          <w:p w14:paraId="7AE5B144">
            <w:pPr>
              <w:rPr>
                <w:rFonts w:ascii="Arial"/>
                <w:sz w:val="21"/>
                <w:szCs w:val="21"/>
              </w:rPr>
            </w:pPr>
          </w:p>
        </w:tc>
        <w:tc>
          <w:tcPr>
            <w:tcW w:w="3507" w:type="dxa"/>
            <w:noWrap w:val="0"/>
            <w:vAlign w:val="top"/>
          </w:tcPr>
          <w:p w14:paraId="14418301">
            <w:pPr>
              <w:spacing w:before="80" w:line="247" w:lineRule="auto"/>
              <w:ind w:left="122" w:right="1" w:firstLine="10"/>
              <w:rPr>
                <w:rFonts w:ascii="宋体" w:hAnsi="宋体" w:eastAsia="宋体" w:cs="宋体"/>
                <w:sz w:val="21"/>
                <w:szCs w:val="21"/>
              </w:rPr>
            </w:pPr>
            <w:r>
              <w:rPr>
                <w:rFonts w:ascii="宋体" w:hAnsi="宋体" w:eastAsia="宋体" w:cs="宋体"/>
                <w:spacing w:val="8"/>
                <w:sz w:val="21"/>
                <w:szCs w:val="21"/>
              </w:rPr>
              <w:t>艺的大型化工装置装设紧急停</w:t>
            </w:r>
            <w:r>
              <w:rPr>
                <w:rFonts w:ascii="宋体" w:hAnsi="宋体" w:eastAsia="宋体" w:cs="宋体"/>
                <w:sz w:val="21"/>
                <w:szCs w:val="21"/>
              </w:rPr>
              <w:t>车系统；涉及易燃易爆、有毒有</w:t>
            </w:r>
            <w:r>
              <w:rPr>
                <w:rFonts w:ascii="宋体" w:hAnsi="宋体" w:eastAsia="宋体" w:cs="宋体"/>
                <w:spacing w:val="10"/>
                <w:sz w:val="21"/>
                <w:szCs w:val="21"/>
              </w:rPr>
              <w:t>害气体化学品的作业场所装设</w:t>
            </w:r>
            <w:r>
              <w:rPr>
                <w:rFonts w:ascii="宋体" w:hAnsi="宋体" w:eastAsia="宋体" w:cs="宋体"/>
                <w:sz w:val="21"/>
                <w:szCs w:val="21"/>
              </w:rPr>
              <w:t>易燃易爆、有毒有害介质泄漏报</w:t>
            </w:r>
            <w:r>
              <w:rPr>
                <w:rFonts w:ascii="宋体" w:hAnsi="宋体" w:eastAsia="宋体" w:cs="宋体"/>
                <w:spacing w:val="17"/>
                <w:sz w:val="21"/>
                <w:szCs w:val="21"/>
              </w:rPr>
              <w:t>警等安全设施。</w:t>
            </w:r>
          </w:p>
          <w:p w14:paraId="4CD2B596">
            <w:pPr>
              <w:spacing w:before="43" w:line="225" w:lineRule="auto"/>
              <w:ind w:left="2" w:right="24" w:firstLine="590"/>
              <w:jc w:val="both"/>
              <w:rPr>
                <w:rFonts w:ascii="宋体" w:hAnsi="宋体" w:eastAsia="宋体" w:cs="宋体"/>
                <w:sz w:val="21"/>
                <w:szCs w:val="21"/>
              </w:rPr>
            </w:pPr>
            <w:r>
              <w:rPr>
                <w:rFonts w:ascii="宋体" w:hAnsi="宋体" w:eastAsia="宋体" w:cs="宋体"/>
                <w:spacing w:val="-11"/>
                <w:sz w:val="21"/>
                <w:szCs w:val="21"/>
              </w:rPr>
              <w:t>3.《首批重点监管的危险化</w:t>
            </w:r>
            <w:r>
              <w:rPr>
                <w:rFonts w:ascii="宋体" w:hAnsi="宋体" w:eastAsia="宋体" w:cs="宋体"/>
                <w:spacing w:val="11"/>
                <w:sz w:val="21"/>
                <w:szCs w:val="21"/>
              </w:rPr>
              <w:t>工工艺目录》(安监总管三</w:t>
            </w:r>
            <w:r>
              <w:rPr>
                <w:rFonts w:ascii="宋体" w:hAnsi="宋体" w:eastAsia="宋体" w:cs="宋体"/>
                <w:spacing w:val="20"/>
                <w:sz w:val="21"/>
                <w:szCs w:val="21"/>
              </w:rPr>
              <w:t>〔2009〕116号)。</w:t>
            </w:r>
          </w:p>
        </w:tc>
        <w:tc>
          <w:tcPr>
            <w:tcW w:w="3117" w:type="dxa"/>
            <w:noWrap w:val="0"/>
            <w:vAlign w:val="top"/>
          </w:tcPr>
          <w:p w14:paraId="0ABD9BC8">
            <w:pPr>
              <w:rPr>
                <w:rFonts w:ascii="Arial"/>
                <w:sz w:val="21"/>
                <w:szCs w:val="21"/>
              </w:rPr>
            </w:pPr>
          </w:p>
        </w:tc>
        <w:tc>
          <w:tcPr>
            <w:tcW w:w="2737" w:type="dxa"/>
            <w:noWrap w:val="0"/>
            <w:vAlign w:val="top"/>
          </w:tcPr>
          <w:p w14:paraId="22DCA0F2">
            <w:pPr>
              <w:rPr>
                <w:rFonts w:ascii="Arial"/>
                <w:sz w:val="21"/>
                <w:szCs w:val="21"/>
              </w:rPr>
            </w:pPr>
          </w:p>
        </w:tc>
        <w:tc>
          <w:tcPr>
            <w:tcW w:w="1392" w:type="dxa"/>
            <w:noWrap w:val="0"/>
            <w:vAlign w:val="top"/>
          </w:tcPr>
          <w:p w14:paraId="393DF951">
            <w:pPr>
              <w:rPr>
                <w:rFonts w:ascii="Arial"/>
                <w:sz w:val="21"/>
                <w:szCs w:val="21"/>
              </w:rPr>
            </w:pPr>
          </w:p>
        </w:tc>
      </w:tr>
      <w:tr w14:paraId="3480C1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6" w:hRule="atLeast"/>
          <w:jc w:val="center"/>
        </w:trPr>
        <w:tc>
          <w:tcPr>
            <w:tcW w:w="874" w:type="dxa"/>
            <w:noWrap w:val="0"/>
            <w:vAlign w:val="top"/>
          </w:tcPr>
          <w:p w14:paraId="1B05F885">
            <w:pPr>
              <w:spacing w:line="264" w:lineRule="auto"/>
              <w:rPr>
                <w:rFonts w:ascii="Arial"/>
                <w:sz w:val="21"/>
              </w:rPr>
            </w:pPr>
          </w:p>
          <w:p w14:paraId="209959EF">
            <w:pPr>
              <w:spacing w:line="264" w:lineRule="auto"/>
              <w:rPr>
                <w:rFonts w:ascii="Arial"/>
                <w:sz w:val="21"/>
              </w:rPr>
            </w:pPr>
          </w:p>
          <w:p w14:paraId="70870874">
            <w:pPr>
              <w:spacing w:line="264" w:lineRule="auto"/>
              <w:rPr>
                <w:rFonts w:ascii="Arial"/>
                <w:sz w:val="21"/>
              </w:rPr>
            </w:pPr>
          </w:p>
          <w:p w14:paraId="276328FE">
            <w:pPr>
              <w:spacing w:line="264" w:lineRule="auto"/>
              <w:rPr>
                <w:rFonts w:ascii="Arial"/>
                <w:sz w:val="21"/>
              </w:rPr>
            </w:pPr>
          </w:p>
          <w:p w14:paraId="3ABD5645">
            <w:pPr>
              <w:spacing w:line="264" w:lineRule="auto"/>
              <w:rPr>
                <w:rFonts w:ascii="Arial"/>
                <w:sz w:val="21"/>
              </w:rPr>
            </w:pPr>
          </w:p>
          <w:p w14:paraId="4217BA20">
            <w:pPr>
              <w:spacing w:line="264" w:lineRule="auto"/>
              <w:rPr>
                <w:rFonts w:ascii="Arial"/>
                <w:sz w:val="21"/>
              </w:rPr>
            </w:pPr>
          </w:p>
          <w:p w14:paraId="738E7074">
            <w:pPr>
              <w:spacing w:line="264" w:lineRule="auto"/>
              <w:rPr>
                <w:rFonts w:ascii="Arial"/>
                <w:sz w:val="21"/>
              </w:rPr>
            </w:pPr>
          </w:p>
          <w:p w14:paraId="49346FBF">
            <w:pPr>
              <w:spacing w:line="265" w:lineRule="auto"/>
              <w:rPr>
                <w:rFonts w:ascii="Arial"/>
                <w:sz w:val="21"/>
              </w:rPr>
            </w:pPr>
          </w:p>
          <w:p w14:paraId="3A6227E7">
            <w:pPr>
              <w:spacing w:before="78" w:line="184" w:lineRule="auto"/>
              <w:ind w:left="305"/>
              <w:rPr>
                <w:rFonts w:ascii="宋体" w:hAnsi="宋体" w:eastAsia="宋体" w:cs="宋体"/>
                <w:sz w:val="24"/>
                <w:szCs w:val="24"/>
              </w:rPr>
            </w:pPr>
            <w:r>
              <w:rPr>
                <w:rFonts w:ascii="宋体" w:hAnsi="宋体" w:eastAsia="宋体" w:cs="宋体"/>
                <w:spacing w:val="-7"/>
                <w:sz w:val="24"/>
                <w:szCs w:val="24"/>
              </w:rPr>
              <w:t>1</w:t>
            </w:r>
            <w:r>
              <w:rPr>
                <w:rFonts w:hint="eastAsia" w:ascii="宋体" w:hAnsi="宋体" w:eastAsia="宋体" w:cs="宋体"/>
                <w:spacing w:val="-7"/>
                <w:sz w:val="24"/>
                <w:szCs w:val="24"/>
                <w:lang w:val="en-US" w:eastAsia="zh-CN"/>
              </w:rPr>
              <w:t>2</w:t>
            </w:r>
          </w:p>
        </w:tc>
        <w:tc>
          <w:tcPr>
            <w:tcW w:w="2228" w:type="dxa"/>
            <w:noWrap w:val="0"/>
            <w:vAlign w:val="top"/>
          </w:tcPr>
          <w:p w14:paraId="7FA4BD9A">
            <w:pPr>
              <w:spacing w:line="355" w:lineRule="auto"/>
              <w:rPr>
                <w:rFonts w:ascii="Arial"/>
                <w:sz w:val="21"/>
                <w:szCs w:val="21"/>
              </w:rPr>
            </w:pPr>
          </w:p>
          <w:p w14:paraId="336D18C3">
            <w:pPr>
              <w:spacing w:before="75" w:line="254" w:lineRule="auto"/>
              <w:ind w:left="140" w:firstLine="39"/>
              <w:rPr>
                <w:rFonts w:ascii="宋体" w:hAnsi="宋体" w:eastAsia="宋体" w:cs="宋体"/>
                <w:sz w:val="21"/>
                <w:szCs w:val="21"/>
              </w:rPr>
            </w:pPr>
            <w:r>
              <w:rPr>
                <w:rFonts w:ascii="宋体" w:hAnsi="宋体" w:eastAsia="宋体" w:cs="宋体"/>
                <w:spacing w:val="24"/>
                <w:sz w:val="21"/>
                <w:szCs w:val="21"/>
              </w:rPr>
              <w:t>涉及硝化、氯化、</w:t>
            </w:r>
            <w:r>
              <w:rPr>
                <w:rFonts w:ascii="宋体" w:hAnsi="宋体" w:eastAsia="宋体" w:cs="宋体"/>
                <w:spacing w:val="13"/>
                <w:sz w:val="21"/>
                <w:szCs w:val="21"/>
              </w:rPr>
              <w:t>氟化、重氮化、过</w:t>
            </w:r>
            <w:r>
              <w:rPr>
                <w:rFonts w:ascii="宋体" w:hAnsi="宋体" w:eastAsia="宋体" w:cs="宋体"/>
                <w:spacing w:val="16"/>
                <w:sz w:val="21"/>
                <w:szCs w:val="21"/>
              </w:rPr>
              <w:t>氧化的精细化工生</w:t>
            </w:r>
            <w:r>
              <w:rPr>
                <w:rFonts w:ascii="宋体" w:hAnsi="宋体" w:eastAsia="宋体" w:cs="宋体"/>
                <w:spacing w:val="13"/>
                <w:sz w:val="21"/>
                <w:szCs w:val="21"/>
              </w:rPr>
              <w:t>产装置企业，未开</w:t>
            </w:r>
            <w:r>
              <w:rPr>
                <w:rFonts w:ascii="宋体" w:hAnsi="宋体" w:eastAsia="宋体" w:cs="宋体"/>
                <w:spacing w:val="16"/>
                <w:sz w:val="21"/>
                <w:szCs w:val="21"/>
              </w:rPr>
              <w:t>展有关产品生产工艺全流程的反应安</w:t>
            </w:r>
            <w:r>
              <w:rPr>
                <w:rFonts w:ascii="宋体" w:hAnsi="宋体" w:eastAsia="宋体" w:cs="宋体"/>
                <w:spacing w:val="13"/>
                <w:sz w:val="21"/>
                <w:szCs w:val="21"/>
              </w:rPr>
              <w:t>全风险评估，未对</w:t>
            </w:r>
            <w:r>
              <w:rPr>
                <w:rFonts w:ascii="宋体" w:hAnsi="宋体" w:eastAsia="宋体" w:cs="宋体"/>
                <w:spacing w:val="29"/>
                <w:sz w:val="21"/>
                <w:szCs w:val="21"/>
              </w:rPr>
              <w:t>原料、中间产品、</w:t>
            </w:r>
            <w:r>
              <w:rPr>
                <w:rFonts w:ascii="宋体" w:hAnsi="宋体" w:eastAsia="宋体" w:cs="宋体"/>
                <w:spacing w:val="16"/>
                <w:sz w:val="21"/>
                <w:szCs w:val="21"/>
              </w:rPr>
              <w:t>产品及副产物进行热稳定性测试，或</w:t>
            </w:r>
            <w:r>
              <w:rPr>
                <w:rFonts w:ascii="宋体" w:hAnsi="宋体" w:eastAsia="宋体" w:cs="宋体"/>
                <w:spacing w:val="11"/>
                <w:sz w:val="21"/>
                <w:szCs w:val="21"/>
              </w:rPr>
              <w:t>者未落实评估建</w:t>
            </w:r>
          </w:p>
          <w:p w14:paraId="67D9F15B">
            <w:pPr>
              <w:spacing w:before="21" w:line="220" w:lineRule="auto"/>
              <w:ind w:left="90"/>
              <w:rPr>
                <w:rFonts w:ascii="宋体" w:hAnsi="宋体" w:eastAsia="宋体" w:cs="宋体"/>
                <w:sz w:val="21"/>
                <w:szCs w:val="21"/>
              </w:rPr>
            </w:pPr>
            <w:r>
              <w:rPr>
                <w:rFonts w:ascii="宋体" w:hAnsi="宋体" w:eastAsia="宋体" w:cs="宋体"/>
                <w:spacing w:val="-6"/>
                <w:sz w:val="21"/>
                <w:szCs w:val="21"/>
              </w:rPr>
              <w:t>议。</w:t>
            </w:r>
          </w:p>
        </w:tc>
        <w:tc>
          <w:tcPr>
            <w:tcW w:w="3507" w:type="dxa"/>
            <w:noWrap w:val="0"/>
            <w:vAlign w:val="top"/>
          </w:tcPr>
          <w:p w14:paraId="42928EE4">
            <w:pPr>
              <w:spacing w:before="111" w:line="251" w:lineRule="auto"/>
              <w:ind w:left="122" w:firstLine="479"/>
              <w:rPr>
                <w:rFonts w:ascii="宋体" w:hAnsi="宋体" w:eastAsia="宋体" w:cs="宋体"/>
                <w:sz w:val="21"/>
                <w:szCs w:val="21"/>
              </w:rPr>
            </w:pPr>
            <w:r>
              <w:rPr>
                <w:rFonts w:ascii="宋体" w:hAnsi="宋体" w:eastAsia="宋体" w:cs="宋体"/>
                <w:spacing w:val="-2"/>
                <w:sz w:val="21"/>
                <w:szCs w:val="21"/>
              </w:rPr>
              <w:t>1.《中华人民共和国安全生</w:t>
            </w:r>
            <w:r>
              <w:rPr>
                <w:rFonts w:ascii="宋体" w:hAnsi="宋体" w:eastAsia="宋体" w:cs="宋体"/>
                <w:spacing w:val="9"/>
                <w:sz w:val="21"/>
                <w:szCs w:val="21"/>
              </w:rPr>
              <w:t>产法》第四十一条第一款生产</w:t>
            </w:r>
            <w:r>
              <w:rPr>
                <w:rFonts w:ascii="宋体" w:hAnsi="宋体" w:eastAsia="宋体" w:cs="宋体"/>
                <w:spacing w:val="21"/>
                <w:sz w:val="21"/>
                <w:szCs w:val="21"/>
              </w:rPr>
              <w:t>经营单位应当建立安全风险分</w:t>
            </w:r>
            <w:r>
              <w:rPr>
                <w:rFonts w:ascii="宋体" w:hAnsi="宋体" w:eastAsia="宋体" w:cs="宋体"/>
                <w:spacing w:val="10"/>
                <w:sz w:val="21"/>
                <w:szCs w:val="21"/>
              </w:rPr>
              <w:t>级管控制度，按照安全风险分级</w:t>
            </w:r>
            <w:r>
              <w:rPr>
                <w:rFonts w:ascii="宋体" w:hAnsi="宋体" w:eastAsia="宋体" w:cs="宋体"/>
                <w:spacing w:val="21"/>
                <w:sz w:val="21"/>
                <w:szCs w:val="21"/>
              </w:rPr>
              <w:t>采取相应的管控措施。</w:t>
            </w:r>
          </w:p>
          <w:p w14:paraId="479116DE">
            <w:pPr>
              <w:spacing w:before="24" w:line="243" w:lineRule="auto"/>
              <w:ind w:left="122" w:right="24" w:firstLine="470"/>
              <w:rPr>
                <w:rFonts w:ascii="宋体" w:hAnsi="宋体" w:eastAsia="宋体" w:cs="宋体"/>
                <w:sz w:val="21"/>
                <w:szCs w:val="21"/>
              </w:rPr>
            </w:pPr>
            <w:r>
              <w:rPr>
                <w:rFonts w:ascii="宋体" w:hAnsi="宋体" w:eastAsia="宋体" w:cs="宋体"/>
                <w:spacing w:val="-11"/>
                <w:sz w:val="21"/>
                <w:szCs w:val="21"/>
              </w:rPr>
              <w:t>2.《化工和危险化学品生产</w:t>
            </w:r>
            <w:r>
              <w:rPr>
                <w:rFonts w:ascii="宋体" w:hAnsi="宋体" w:eastAsia="宋体" w:cs="宋体"/>
                <w:spacing w:val="11"/>
                <w:sz w:val="21"/>
                <w:szCs w:val="21"/>
              </w:rPr>
              <w:t>经营单位重大生产安全事故隐</w:t>
            </w:r>
            <w:r>
              <w:rPr>
                <w:rFonts w:ascii="宋体" w:hAnsi="宋体" w:eastAsia="宋体" w:cs="宋体"/>
                <w:spacing w:val="18"/>
                <w:sz w:val="21"/>
                <w:szCs w:val="21"/>
              </w:rPr>
              <w:t>患判定标准(试行)》(安监总</w:t>
            </w:r>
            <w:r>
              <w:rPr>
                <w:rFonts w:ascii="宋体" w:hAnsi="宋体" w:eastAsia="宋体" w:cs="宋体"/>
                <w:spacing w:val="8"/>
                <w:sz w:val="21"/>
                <w:szCs w:val="21"/>
              </w:rPr>
              <w:t>管三〔2017〕121号)第十九条</w:t>
            </w:r>
            <w:r>
              <w:rPr>
                <w:rFonts w:ascii="宋体" w:hAnsi="宋体" w:eastAsia="宋体" w:cs="宋体"/>
                <w:spacing w:val="10"/>
                <w:sz w:val="21"/>
                <w:szCs w:val="21"/>
              </w:rPr>
              <w:t>精细化工企业未按规范性文件</w:t>
            </w:r>
            <w:r>
              <w:rPr>
                <w:rFonts w:ascii="宋体" w:hAnsi="宋体" w:eastAsia="宋体" w:cs="宋体"/>
                <w:spacing w:val="9"/>
                <w:sz w:val="21"/>
                <w:szCs w:val="21"/>
              </w:rPr>
              <w:t>要求开展反应安全风险评估。</w:t>
            </w:r>
          </w:p>
          <w:p w14:paraId="342EE0EC">
            <w:pPr>
              <w:spacing w:before="49" w:line="230" w:lineRule="auto"/>
              <w:ind w:left="2" w:right="24" w:firstLine="590"/>
              <w:rPr>
                <w:rFonts w:ascii="宋体" w:hAnsi="宋体" w:eastAsia="宋体" w:cs="宋体"/>
                <w:sz w:val="21"/>
                <w:szCs w:val="21"/>
              </w:rPr>
            </w:pPr>
            <w:r>
              <w:rPr>
                <w:rFonts w:ascii="宋体" w:hAnsi="宋体" w:eastAsia="宋体" w:cs="宋体"/>
                <w:spacing w:val="-1"/>
                <w:sz w:val="21"/>
                <w:szCs w:val="21"/>
              </w:rPr>
              <w:t>3.《首批重点监管的危险化</w:t>
            </w:r>
            <w:r>
              <w:rPr>
                <w:rFonts w:ascii="宋体" w:hAnsi="宋体" w:eastAsia="宋体" w:cs="宋体"/>
                <w:spacing w:val="22"/>
                <w:sz w:val="21"/>
                <w:szCs w:val="21"/>
              </w:rPr>
              <w:t>工工艺目录》(安监总管三</w:t>
            </w:r>
            <w:r>
              <w:rPr>
                <w:rFonts w:ascii="宋体" w:hAnsi="宋体" w:eastAsia="宋体" w:cs="宋体"/>
                <w:spacing w:val="26"/>
                <w:sz w:val="21"/>
                <w:szCs w:val="21"/>
              </w:rPr>
              <w:t>〔2009〕116号)。</w:t>
            </w:r>
          </w:p>
        </w:tc>
        <w:tc>
          <w:tcPr>
            <w:tcW w:w="3117" w:type="dxa"/>
            <w:noWrap w:val="0"/>
            <w:vAlign w:val="top"/>
          </w:tcPr>
          <w:p w14:paraId="1329AC8A">
            <w:pPr>
              <w:spacing w:before="108" w:line="252" w:lineRule="auto"/>
              <w:ind w:left="135" w:firstLine="443"/>
              <w:rPr>
                <w:rFonts w:ascii="宋体" w:hAnsi="宋体" w:eastAsia="宋体" w:cs="宋体"/>
                <w:sz w:val="21"/>
                <w:szCs w:val="21"/>
              </w:rPr>
            </w:pPr>
            <w:r>
              <w:rPr>
                <w:rFonts w:ascii="宋体" w:hAnsi="宋体" w:eastAsia="宋体" w:cs="宋体"/>
                <w:spacing w:val="19"/>
                <w:sz w:val="21"/>
                <w:szCs w:val="21"/>
              </w:rPr>
              <w:t>《危险化学品安全专</w:t>
            </w:r>
            <w:r>
              <w:rPr>
                <w:rFonts w:ascii="宋体" w:hAnsi="宋体" w:eastAsia="宋体" w:cs="宋体"/>
                <w:spacing w:val="27"/>
                <w:sz w:val="21"/>
                <w:szCs w:val="21"/>
              </w:rPr>
              <w:t>项整治三年行动实施方</w:t>
            </w:r>
            <w:r>
              <w:rPr>
                <w:rFonts w:ascii="宋体" w:hAnsi="宋体" w:eastAsia="宋体" w:cs="宋体"/>
                <w:spacing w:val="17"/>
                <w:sz w:val="21"/>
                <w:szCs w:val="21"/>
              </w:rPr>
              <w:t>案》(安委〔2020〕3号)</w:t>
            </w:r>
            <w:r>
              <w:rPr>
                <w:rFonts w:ascii="宋体" w:hAnsi="宋体" w:eastAsia="宋体" w:cs="宋体"/>
                <w:spacing w:val="7"/>
                <w:sz w:val="21"/>
                <w:szCs w:val="21"/>
              </w:rPr>
              <w:t>现有涉及硝化、氯化、氟</w:t>
            </w:r>
            <w:r>
              <w:rPr>
                <w:rFonts w:ascii="宋体" w:hAnsi="宋体" w:eastAsia="宋体" w:cs="宋体"/>
                <w:spacing w:val="8"/>
                <w:sz w:val="21"/>
                <w:szCs w:val="21"/>
              </w:rPr>
              <w:t>化、重氮化、过氧化工艺</w:t>
            </w:r>
            <w:r>
              <w:rPr>
                <w:rFonts w:ascii="宋体" w:hAnsi="宋体" w:eastAsia="宋体" w:cs="宋体"/>
                <w:spacing w:val="7"/>
                <w:sz w:val="21"/>
                <w:szCs w:val="21"/>
              </w:rPr>
              <w:t>的精细化工生产装置必须</w:t>
            </w:r>
            <w:r>
              <w:rPr>
                <w:rFonts w:ascii="宋体" w:hAnsi="宋体" w:eastAsia="宋体" w:cs="宋体"/>
                <w:spacing w:val="22"/>
                <w:sz w:val="21"/>
                <w:szCs w:val="21"/>
              </w:rPr>
              <w:t>于2021年底前完成有关</w:t>
            </w:r>
            <w:r>
              <w:rPr>
                <w:rFonts w:ascii="宋体" w:hAnsi="宋体" w:eastAsia="宋体" w:cs="宋体"/>
                <w:spacing w:val="5"/>
                <w:sz w:val="21"/>
                <w:szCs w:val="21"/>
              </w:rPr>
              <w:t>产品生产工艺全流程的反</w:t>
            </w:r>
            <w:r>
              <w:rPr>
                <w:rFonts w:ascii="宋体" w:hAnsi="宋体" w:eastAsia="宋体" w:cs="宋体"/>
                <w:spacing w:val="7"/>
                <w:sz w:val="21"/>
                <w:szCs w:val="21"/>
              </w:rPr>
              <w:t>应安全风险评估，同时按照加强精细化工反应安全</w:t>
            </w:r>
            <w:r>
              <w:rPr>
                <w:rFonts w:ascii="宋体" w:hAnsi="宋体" w:eastAsia="宋体" w:cs="宋体"/>
                <w:spacing w:val="17"/>
                <w:sz w:val="21"/>
                <w:szCs w:val="21"/>
              </w:rPr>
              <w:t>风险评估工作指导意见，对相关原料、中间产品、</w:t>
            </w:r>
            <w:r>
              <w:rPr>
                <w:rFonts w:ascii="宋体" w:hAnsi="宋体" w:eastAsia="宋体" w:cs="宋体"/>
                <w:spacing w:val="8"/>
                <w:sz w:val="21"/>
                <w:szCs w:val="21"/>
              </w:rPr>
              <w:t>产品及副产物进行热稳定</w:t>
            </w:r>
            <w:r>
              <w:rPr>
                <w:rFonts w:ascii="宋体" w:hAnsi="宋体" w:eastAsia="宋体" w:cs="宋体"/>
                <w:spacing w:val="29"/>
                <w:sz w:val="21"/>
                <w:szCs w:val="21"/>
              </w:rPr>
              <w:t>性测试。</w:t>
            </w:r>
          </w:p>
        </w:tc>
        <w:tc>
          <w:tcPr>
            <w:tcW w:w="2737" w:type="dxa"/>
            <w:noWrap w:val="0"/>
            <w:vAlign w:val="top"/>
          </w:tcPr>
          <w:p w14:paraId="635FBFF7">
            <w:pPr>
              <w:spacing w:before="91" w:line="253" w:lineRule="auto"/>
              <w:ind w:left="147" w:firstLine="448"/>
              <w:jc w:val="both"/>
              <w:rPr>
                <w:rFonts w:ascii="宋体" w:hAnsi="宋体" w:eastAsia="宋体" w:cs="宋体"/>
                <w:sz w:val="21"/>
                <w:szCs w:val="21"/>
              </w:rPr>
            </w:pPr>
            <w:r>
              <w:rPr>
                <w:rFonts w:ascii="宋体" w:hAnsi="宋体" w:eastAsia="宋体" w:cs="宋体"/>
                <w:spacing w:val="28"/>
                <w:sz w:val="21"/>
                <w:szCs w:val="21"/>
              </w:rPr>
              <w:t>《中华人民共和国</w:t>
            </w:r>
            <w:r>
              <w:rPr>
                <w:rFonts w:ascii="宋体" w:hAnsi="宋体" w:eastAsia="宋体" w:cs="宋体"/>
                <w:spacing w:val="5"/>
                <w:sz w:val="21"/>
                <w:szCs w:val="21"/>
              </w:rPr>
              <w:t>安全生产法》第一百零二</w:t>
            </w:r>
            <w:r>
              <w:rPr>
                <w:rFonts w:ascii="宋体" w:hAnsi="宋体" w:eastAsia="宋体" w:cs="宋体"/>
                <w:spacing w:val="16"/>
                <w:sz w:val="21"/>
                <w:szCs w:val="21"/>
              </w:rPr>
              <w:t>条生产经营单位未采</w:t>
            </w:r>
            <w:r>
              <w:rPr>
                <w:rFonts w:ascii="宋体" w:hAnsi="宋体" w:eastAsia="宋体" w:cs="宋体"/>
                <w:spacing w:val="14"/>
                <w:sz w:val="21"/>
                <w:szCs w:val="21"/>
              </w:rPr>
              <w:t>取措施消除事故隐患的，</w:t>
            </w:r>
            <w:r>
              <w:rPr>
                <w:rFonts w:ascii="宋体" w:hAnsi="宋体" w:eastAsia="宋体" w:cs="宋体"/>
                <w:spacing w:val="21"/>
                <w:sz w:val="21"/>
                <w:szCs w:val="21"/>
              </w:rPr>
              <w:t>责令立即消除或者限期</w:t>
            </w:r>
            <w:r>
              <w:rPr>
                <w:rFonts w:ascii="宋体" w:hAnsi="宋体" w:eastAsia="宋体" w:cs="宋体"/>
                <w:spacing w:val="6"/>
                <w:sz w:val="21"/>
                <w:szCs w:val="21"/>
              </w:rPr>
              <w:t>消除，处五万元以下的罚</w:t>
            </w:r>
            <w:r>
              <w:rPr>
                <w:rFonts w:ascii="宋体" w:hAnsi="宋体" w:eastAsia="宋体" w:cs="宋体"/>
                <w:spacing w:val="4"/>
                <w:sz w:val="21"/>
                <w:szCs w:val="21"/>
              </w:rPr>
              <w:t>款；生产经营单位拒不执</w:t>
            </w:r>
            <w:r>
              <w:rPr>
                <w:rFonts w:ascii="宋体" w:hAnsi="宋体" w:eastAsia="宋体" w:cs="宋体"/>
                <w:spacing w:val="24"/>
                <w:sz w:val="21"/>
                <w:szCs w:val="21"/>
              </w:rPr>
              <w:t>行的，责令停产停业整</w:t>
            </w:r>
            <w:r>
              <w:rPr>
                <w:rFonts w:ascii="宋体" w:hAnsi="宋体" w:eastAsia="宋体" w:cs="宋体"/>
                <w:spacing w:val="5"/>
                <w:sz w:val="21"/>
                <w:szCs w:val="21"/>
              </w:rPr>
              <w:t>顿，对其直接负责的主管</w:t>
            </w:r>
            <w:r>
              <w:rPr>
                <w:rFonts w:ascii="宋体" w:hAnsi="宋体" w:eastAsia="宋体" w:cs="宋体"/>
                <w:spacing w:val="24"/>
                <w:sz w:val="21"/>
                <w:szCs w:val="21"/>
              </w:rPr>
              <w:t>人员和其他直接责任人员处五万元以上十万元</w:t>
            </w:r>
            <w:r>
              <w:rPr>
                <w:rFonts w:ascii="宋体" w:hAnsi="宋体" w:eastAsia="宋体" w:cs="宋体"/>
                <w:spacing w:val="22"/>
                <w:sz w:val="21"/>
                <w:szCs w:val="21"/>
              </w:rPr>
              <w:t>以下的罚款；构成犯罪</w:t>
            </w:r>
            <w:r>
              <w:rPr>
                <w:rFonts w:ascii="宋体" w:hAnsi="宋体" w:eastAsia="宋体" w:cs="宋体"/>
                <w:spacing w:val="4"/>
                <w:sz w:val="21"/>
                <w:szCs w:val="21"/>
              </w:rPr>
              <w:t>的，依照刑法有关规定追</w:t>
            </w:r>
            <w:r>
              <w:rPr>
                <w:rFonts w:ascii="宋体" w:hAnsi="宋体" w:eastAsia="宋体" w:cs="宋体"/>
                <w:spacing w:val="23"/>
                <w:sz w:val="21"/>
                <w:szCs w:val="21"/>
              </w:rPr>
              <w:t>究刑事责任。</w:t>
            </w:r>
          </w:p>
        </w:tc>
        <w:tc>
          <w:tcPr>
            <w:tcW w:w="1392" w:type="dxa"/>
            <w:noWrap w:val="0"/>
            <w:vAlign w:val="top"/>
          </w:tcPr>
          <w:p w14:paraId="5A659726">
            <w:pPr>
              <w:spacing w:line="241" w:lineRule="auto"/>
              <w:rPr>
                <w:rFonts w:ascii="Arial"/>
                <w:sz w:val="21"/>
                <w:szCs w:val="21"/>
              </w:rPr>
            </w:pPr>
          </w:p>
          <w:p w14:paraId="5BF12EAB">
            <w:pPr>
              <w:spacing w:line="241" w:lineRule="auto"/>
              <w:rPr>
                <w:rFonts w:ascii="Arial"/>
                <w:sz w:val="21"/>
                <w:szCs w:val="21"/>
              </w:rPr>
            </w:pPr>
          </w:p>
          <w:p w14:paraId="0E95391F">
            <w:pPr>
              <w:spacing w:line="242" w:lineRule="auto"/>
              <w:rPr>
                <w:rFonts w:ascii="Arial"/>
                <w:sz w:val="21"/>
                <w:szCs w:val="21"/>
              </w:rPr>
            </w:pPr>
          </w:p>
          <w:p w14:paraId="288C9497">
            <w:pPr>
              <w:spacing w:line="242" w:lineRule="auto"/>
              <w:rPr>
                <w:rFonts w:ascii="Arial"/>
                <w:sz w:val="21"/>
                <w:szCs w:val="21"/>
              </w:rPr>
            </w:pPr>
          </w:p>
          <w:p w14:paraId="509BE9A8">
            <w:pPr>
              <w:spacing w:line="242" w:lineRule="auto"/>
              <w:rPr>
                <w:rFonts w:ascii="Arial"/>
                <w:sz w:val="21"/>
                <w:szCs w:val="21"/>
              </w:rPr>
            </w:pPr>
          </w:p>
          <w:p w14:paraId="21D1159D">
            <w:pPr>
              <w:spacing w:line="242" w:lineRule="auto"/>
              <w:rPr>
                <w:rFonts w:ascii="Arial"/>
                <w:sz w:val="21"/>
                <w:szCs w:val="21"/>
              </w:rPr>
            </w:pPr>
          </w:p>
          <w:p w14:paraId="30051951">
            <w:pPr>
              <w:spacing w:line="242" w:lineRule="auto"/>
              <w:rPr>
                <w:rFonts w:ascii="Arial"/>
                <w:sz w:val="21"/>
                <w:szCs w:val="21"/>
              </w:rPr>
            </w:pPr>
          </w:p>
          <w:p w14:paraId="44505674">
            <w:pPr>
              <w:spacing w:line="242" w:lineRule="auto"/>
              <w:rPr>
                <w:rFonts w:ascii="Arial"/>
                <w:sz w:val="21"/>
                <w:szCs w:val="21"/>
              </w:rPr>
            </w:pPr>
          </w:p>
          <w:p w14:paraId="5BE550AF">
            <w:pPr>
              <w:spacing w:before="78" w:line="221" w:lineRule="auto"/>
              <w:ind w:left="129" w:right="120"/>
              <w:rPr>
                <w:rFonts w:ascii="宋体" w:hAnsi="宋体" w:eastAsia="宋体" w:cs="宋体"/>
                <w:sz w:val="21"/>
                <w:szCs w:val="21"/>
              </w:rPr>
            </w:pPr>
            <w:r>
              <w:rPr>
                <w:rFonts w:ascii="宋体" w:hAnsi="宋体" w:eastAsia="宋体" w:cs="宋体"/>
                <w:spacing w:val="3"/>
                <w:sz w:val="21"/>
                <w:szCs w:val="21"/>
              </w:rPr>
              <w:t>危险化工</w:t>
            </w:r>
            <w:r>
              <w:rPr>
                <w:rFonts w:ascii="宋体" w:hAnsi="宋体" w:eastAsia="宋体" w:cs="宋体"/>
                <w:spacing w:val="2"/>
                <w:sz w:val="21"/>
                <w:szCs w:val="21"/>
              </w:rPr>
              <w:t>工艺管理</w:t>
            </w:r>
          </w:p>
        </w:tc>
      </w:tr>
      <w:tr w14:paraId="44E15C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jc w:val="center"/>
        </w:trPr>
        <w:tc>
          <w:tcPr>
            <w:tcW w:w="874" w:type="dxa"/>
            <w:noWrap w:val="0"/>
            <w:vAlign w:val="top"/>
          </w:tcPr>
          <w:p w14:paraId="24D9DA8D">
            <w:pPr>
              <w:spacing w:before="160" w:line="183" w:lineRule="exact"/>
              <w:ind w:left="305"/>
              <w:rPr>
                <w:rFonts w:ascii="宋体" w:hAnsi="宋体" w:eastAsia="宋体" w:cs="宋体"/>
                <w:sz w:val="24"/>
                <w:szCs w:val="24"/>
              </w:rPr>
            </w:pPr>
          </w:p>
        </w:tc>
        <w:tc>
          <w:tcPr>
            <w:tcW w:w="2228" w:type="dxa"/>
            <w:noWrap w:val="0"/>
            <w:vAlign w:val="top"/>
          </w:tcPr>
          <w:p w14:paraId="1F9BE42E">
            <w:pPr>
              <w:spacing w:before="59" w:line="219" w:lineRule="auto"/>
              <w:ind w:left="180"/>
              <w:rPr>
                <w:rFonts w:ascii="宋体" w:hAnsi="宋体" w:eastAsia="宋体" w:cs="宋体"/>
                <w:sz w:val="21"/>
                <w:szCs w:val="21"/>
              </w:rPr>
            </w:pPr>
            <w:r>
              <w:rPr>
                <w:rFonts w:ascii="宋体" w:hAnsi="宋体" w:eastAsia="宋体" w:cs="宋体"/>
                <w:spacing w:val="1"/>
                <w:sz w:val="21"/>
                <w:szCs w:val="21"/>
              </w:rPr>
              <w:t>主要负责人和安全</w:t>
            </w:r>
          </w:p>
        </w:tc>
        <w:tc>
          <w:tcPr>
            <w:tcW w:w="3507" w:type="dxa"/>
            <w:noWrap w:val="0"/>
            <w:vAlign w:val="top"/>
          </w:tcPr>
          <w:p w14:paraId="6504FEC2">
            <w:pPr>
              <w:spacing w:before="59" w:line="219" w:lineRule="auto"/>
              <w:ind w:left="603"/>
              <w:rPr>
                <w:rFonts w:ascii="宋体" w:hAnsi="宋体" w:eastAsia="宋体" w:cs="宋体"/>
                <w:sz w:val="21"/>
                <w:szCs w:val="21"/>
              </w:rPr>
            </w:pPr>
            <w:r>
              <w:rPr>
                <w:rFonts w:ascii="宋体" w:hAnsi="宋体" w:eastAsia="宋体" w:cs="宋体"/>
                <w:spacing w:val="-10"/>
                <w:sz w:val="21"/>
                <w:szCs w:val="21"/>
              </w:rPr>
              <w:t>1.《中华人民共和国安全生</w:t>
            </w:r>
          </w:p>
        </w:tc>
        <w:tc>
          <w:tcPr>
            <w:tcW w:w="3117" w:type="dxa"/>
            <w:noWrap w:val="0"/>
            <w:vAlign w:val="top"/>
          </w:tcPr>
          <w:p w14:paraId="071260B8">
            <w:pPr>
              <w:spacing w:before="156" w:line="187" w:lineRule="exact"/>
              <w:ind w:left="595"/>
              <w:rPr>
                <w:rFonts w:ascii="宋体" w:hAnsi="宋体" w:eastAsia="宋体" w:cs="宋体"/>
                <w:sz w:val="21"/>
                <w:szCs w:val="21"/>
              </w:rPr>
            </w:pPr>
            <w:r>
              <w:rPr>
                <w:rFonts w:ascii="宋体" w:hAnsi="宋体" w:eastAsia="宋体" w:cs="宋体"/>
                <w:spacing w:val="10"/>
                <w:position w:val="-3"/>
                <w:sz w:val="21"/>
                <w:szCs w:val="21"/>
              </w:rPr>
              <w:t>1.</w:t>
            </w:r>
          </w:p>
        </w:tc>
        <w:tc>
          <w:tcPr>
            <w:tcW w:w="2737" w:type="dxa"/>
            <w:noWrap w:val="0"/>
            <w:vAlign w:val="top"/>
          </w:tcPr>
          <w:p w14:paraId="2FB05AC4">
            <w:pPr>
              <w:rPr>
                <w:rFonts w:ascii="Arial"/>
                <w:sz w:val="21"/>
                <w:szCs w:val="21"/>
              </w:rPr>
            </w:pPr>
          </w:p>
        </w:tc>
        <w:tc>
          <w:tcPr>
            <w:tcW w:w="1392" w:type="dxa"/>
            <w:noWrap w:val="0"/>
            <w:vAlign w:val="top"/>
          </w:tcPr>
          <w:p w14:paraId="6F91815D">
            <w:pPr>
              <w:spacing w:before="111" w:line="187" w:lineRule="auto"/>
              <w:ind w:left="129"/>
              <w:rPr>
                <w:rFonts w:ascii="宋体" w:hAnsi="宋体" w:eastAsia="宋体" w:cs="宋体"/>
                <w:sz w:val="21"/>
                <w:szCs w:val="21"/>
              </w:rPr>
            </w:pPr>
            <w:r>
              <w:rPr>
                <w:rFonts w:ascii="宋体" w:hAnsi="宋体" w:eastAsia="宋体" w:cs="宋体"/>
                <w:spacing w:val="13"/>
                <w:sz w:val="21"/>
                <w:szCs w:val="21"/>
              </w:rPr>
              <w:t>危险化学</w:t>
            </w:r>
          </w:p>
        </w:tc>
      </w:tr>
    </w:tbl>
    <w:p w14:paraId="2A67C481"/>
    <w:p w14:paraId="0270A1B7">
      <w:pPr>
        <w:spacing w:line="150" w:lineRule="exact"/>
      </w:pP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4"/>
        <w:gridCol w:w="2228"/>
        <w:gridCol w:w="3598"/>
        <w:gridCol w:w="3046"/>
        <w:gridCol w:w="2987"/>
        <w:gridCol w:w="1049"/>
      </w:tblGrid>
      <w:tr w14:paraId="457E5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jc w:val="center"/>
        </w:trPr>
        <w:tc>
          <w:tcPr>
            <w:tcW w:w="864" w:type="dxa"/>
            <w:noWrap w:val="0"/>
            <w:vAlign w:val="top"/>
          </w:tcPr>
          <w:p w14:paraId="44DB29FB">
            <w:pPr>
              <w:spacing w:before="226" w:line="221" w:lineRule="auto"/>
              <w:ind w:left="184"/>
              <w:rPr>
                <w:rFonts w:ascii="宋体" w:hAnsi="宋体" w:eastAsia="宋体" w:cs="宋体"/>
                <w:b/>
                <w:bCs/>
                <w:sz w:val="24"/>
                <w:szCs w:val="24"/>
              </w:rPr>
            </w:pPr>
            <w:r>
              <w:rPr>
                <w:rFonts w:ascii="宋体" w:hAnsi="宋体" w:eastAsia="宋体" w:cs="宋体"/>
                <w:b/>
                <w:bCs/>
                <w:spacing w:val="7"/>
                <w:sz w:val="24"/>
                <w:szCs w:val="24"/>
              </w:rPr>
              <w:t>序号</w:t>
            </w:r>
          </w:p>
        </w:tc>
        <w:tc>
          <w:tcPr>
            <w:tcW w:w="2228" w:type="dxa"/>
            <w:noWrap w:val="0"/>
            <w:vAlign w:val="top"/>
          </w:tcPr>
          <w:p w14:paraId="4E38012D">
            <w:pPr>
              <w:spacing w:before="65" w:line="219" w:lineRule="auto"/>
              <w:ind w:left="640"/>
              <w:rPr>
                <w:rFonts w:ascii="宋体" w:hAnsi="宋体" w:eastAsia="宋体" w:cs="宋体"/>
                <w:b/>
                <w:bCs/>
                <w:sz w:val="24"/>
                <w:szCs w:val="24"/>
              </w:rPr>
            </w:pPr>
            <w:r>
              <w:rPr>
                <w:rFonts w:ascii="宋体" w:hAnsi="宋体" w:eastAsia="宋体" w:cs="宋体"/>
                <w:b/>
                <w:bCs/>
                <w:spacing w:val="3"/>
                <w:sz w:val="24"/>
                <w:szCs w:val="24"/>
              </w:rPr>
              <w:t>执法检查</w:t>
            </w:r>
          </w:p>
          <w:p w14:paraId="780794EB">
            <w:pPr>
              <w:spacing w:before="51" w:line="210" w:lineRule="auto"/>
              <w:ind w:left="414"/>
              <w:rPr>
                <w:rFonts w:ascii="宋体" w:hAnsi="宋体" w:eastAsia="宋体" w:cs="宋体"/>
                <w:b/>
                <w:bCs/>
                <w:sz w:val="24"/>
                <w:szCs w:val="24"/>
              </w:rPr>
            </w:pPr>
            <w:r>
              <w:rPr>
                <w:rFonts w:ascii="宋体" w:hAnsi="宋体" w:eastAsia="宋体" w:cs="宋体"/>
                <w:b/>
                <w:bCs/>
                <w:spacing w:val="-4"/>
                <w:sz w:val="24"/>
                <w:szCs w:val="24"/>
              </w:rPr>
              <w:t>重点事项内容</w:t>
            </w:r>
          </w:p>
        </w:tc>
        <w:tc>
          <w:tcPr>
            <w:tcW w:w="3598" w:type="dxa"/>
            <w:noWrap w:val="0"/>
            <w:vAlign w:val="top"/>
          </w:tcPr>
          <w:p w14:paraId="10D50301">
            <w:pPr>
              <w:spacing w:before="219" w:line="219" w:lineRule="auto"/>
              <w:ind w:left="1046"/>
              <w:rPr>
                <w:rFonts w:ascii="宋体" w:hAnsi="宋体" w:eastAsia="宋体" w:cs="宋体"/>
                <w:b/>
                <w:bCs/>
                <w:sz w:val="24"/>
                <w:szCs w:val="24"/>
              </w:rPr>
            </w:pPr>
            <w:r>
              <w:rPr>
                <w:rFonts w:ascii="宋体" w:hAnsi="宋体" w:eastAsia="宋体" w:cs="宋体"/>
                <w:b/>
                <w:bCs/>
                <w:spacing w:val="-4"/>
                <w:sz w:val="24"/>
                <w:szCs w:val="24"/>
              </w:rPr>
              <w:t>执法检查依据</w:t>
            </w:r>
          </w:p>
        </w:tc>
        <w:tc>
          <w:tcPr>
            <w:tcW w:w="3046" w:type="dxa"/>
            <w:noWrap w:val="0"/>
            <w:vAlign w:val="top"/>
          </w:tcPr>
          <w:p w14:paraId="4516E27E">
            <w:pPr>
              <w:spacing w:before="75" w:line="220" w:lineRule="auto"/>
              <w:ind w:left="856"/>
              <w:rPr>
                <w:rFonts w:ascii="宋体" w:hAnsi="宋体" w:eastAsia="宋体" w:cs="宋体"/>
                <w:b/>
                <w:bCs/>
                <w:sz w:val="24"/>
                <w:szCs w:val="24"/>
              </w:rPr>
            </w:pPr>
            <w:r>
              <w:rPr>
                <w:rFonts w:ascii="宋体" w:hAnsi="宋体" w:eastAsia="宋体" w:cs="宋体"/>
                <w:b/>
                <w:bCs/>
                <w:spacing w:val="-2"/>
                <w:sz w:val="24"/>
                <w:szCs w:val="24"/>
              </w:rPr>
              <w:t>有关规范性</w:t>
            </w:r>
          </w:p>
          <w:p w14:paraId="37FFCEB7">
            <w:pPr>
              <w:spacing w:before="39" w:line="210" w:lineRule="auto"/>
              <w:ind w:left="639"/>
              <w:rPr>
                <w:rFonts w:ascii="宋体" w:hAnsi="宋体" w:eastAsia="宋体" w:cs="宋体"/>
                <w:b/>
                <w:bCs/>
                <w:sz w:val="24"/>
                <w:szCs w:val="24"/>
              </w:rPr>
            </w:pPr>
            <w:r>
              <w:rPr>
                <w:rFonts w:ascii="宋体" w:hAnsi="宋体" w:eastAsia="宋体" w:cs="宋体"/>
                <w:b/>
                <w:bCs/>
                <w:spacing w:val="-4"/>
                <w:sz w:val="24"/>
                <w:szCs w:val="24"/>
              </w:rPr>
              <w:t>文件及标准要求</w:t>
            </w:r>
          </w:p>
        </w:tc>
        <w:tc>
          <w:tcPr>
            <w:tcW w:w="2987" w:type="dxa"/>
            <w:noWrap w:val="0"/>
            <w:vAlign w:val="top"/>
          </w:tcPr>
          <w:p w14:paraId="455942CF">
            <w:pPr>
              <w:spacing w:before="219" w:line="219" w:lineRule="auto"/>
              <w:ind w:left="971"/>
              <w:rPr>
                <w:rFonts w:ascii="宋体" w:hAnsi="宋体" w:eastAsia="宋体" w:cs="宋体"/>
                <w:b/>
                <w:bCs/>
                <w:sz w:val="24"/>
                <w:szCs w:val="24"/>
              </w:rPr>
            </w:pPr>
            <w:r>
              <w:rPr>
                <w:rFonts w:ascii="宋体" w:hAnsi="宋体" w:eastAsia="宋体" w:cs="宋体"/>
                <w:b/>
                <w:bCs/>
                <w:spacing w:val="-1"/>
                <w:sz w:val="24"/>
                <w:szCs w:val="24"/>
              </w:rPr>
              <w:t>处罚依据</w:t>
            </w:r>
          </w:p>
        </w:tc>
        <w:tc>
          <w:tcPr>
            <w:tcW w:w="1049" w:type="dxa"/>
            <w:noWrap w:val="0"/>
            <w:vAlign w:val="top"/>
          </w:tcPr>
          <w:p w14:paraId="3F18CF2B">
            <w:pPr>
              <w:spacing w:before="222" w:line="221" w:lineRule="auto"/>
              <w:ind w:left="393"/>
              <w:rPr>
                <w:rFonts w:ascii="宋体" w:hAnsi="宋体" w:eastAsia="宋体" w:cs="宋体"/>
                <w:b/>
                <w:bCs/>
                <w:sz w:val="24"/>
                <w:szCs w:val="24"/>
              </w:rPr>
            </w:pPr>
            <w:r>
              <w:rPr>
                <w:rFonts w:ascii="宋体" w:hAnsi="宋体" w:eastAsia="宋体" w:cs="宋体"/>
                <w:b/>
                <w:bCs/>
                <w:spacing w:val="-6"/>
                <w:sz w:val="24"/>
                <w:szCs w:val="24"/>
              </w:rPr>
              <w:t>备注</w:t>
            </w:r>
          </w:p>
        </w:tc>
      </w:tr>
      <w:tr w14:paraId="43F59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5" w:hRule="atLeast"/>
          <w:jc w:val="center"/>
        </w:trPr>
        <w:tc>
          <w:tcPr>
            <w:tcW w:w="864" w:type="dxa"/>
            <w:noWrap w:val="0"/>
            <w:vAlign w:val="center"/>
          </w:tcPr>
          <w:p w14:paraId="127F7DE0">
            <w:pPr>
              <w:jc w:val="center"/>
              <w:rPr>
                <w:rFonts w:hint="eastAsia" w:ascii="Arial" w:eastAsia="宋体"/>
                <w:sz w:val="21"/>
                <w:lang w:val="en-US" w:eastAsia="zh-CN"/>
              </w:rPr>
            </w:pPr>
            <w:r>
              <w:rPr>
                <w:rFonts w:hint="eastAsia" w:ascii="宋体" w:hAnsi="宋体" w:eastAsia="宋体" w:cs="宋体"/>
                <w:sz w:val="24"/>
                <w:szCs w:val="24"/>
                <w:lang w:val="en-US" w:eastAsia="zh-CN"/>
              </w:rPr>
              <w:t>13</w:t>
            </w:r>
          </w:p>
        </w:tc>
        <w:tc>
          <w:tcPr>
            <w:tcW w:w="2228" w:type="dxa"/>
            <w:noWrap w:val="0"/>
            <w:vAlign w:val="top"/>
          </w:tcPr>
          <w:p w14:paraId="3B9186D3">
            <w:pPr>
              <w:spacing w:before="98" w:line="238" w:lineRule="auto"/>
              <w:ind w:left="130" w:right="57" w:firstLine="89"/>
              <w:rPr>
                <w:rFonts w:ascii="宋体" w:hAnsi="宋体" w:eastAsia="宋体" w:cs="宋体"/>
                <w:sz w:val="21"/>
                <w:szCs w:val="21"/>
              </w:rPr>
            </w:pPr>
            <w:r>
              <w:rPr>
                <w:rFonts w:ascii="宋体" w:hAnsi="宋体" w:eastAsia="宋体" w:cs="宋体"/>
                <w:spacing w:val="1"/>
                <w:sz w:val="21"/>
                <w:szCs w:val="21"/>
              </w:rPr>
              <w:t>生产管理人员等从</w:t>
            </w:r>
            <w:r>
              <w:rPr>
                <w:rFonts w:ascii="宋体" w:hAnsi="宋体" w:eastAsia="宋体" w:cs="宋体"/>
                <w:spacing w:val="10"/>
                <w:sz w:val="21"/>
                <w:szCs w:val="21"/>
              </w:rPr>
              <w:t>业人员不具备相应</w:t>
            </w:r>
            <w:r>
              <w:rPr>
                <w:rFonts w:ascii="宋体" w:hAnsi="宋体" w:eastAsia="宋体" w:cs="宋体"/>
                <w:spacing w:val="13"/>
                <w:sz w:val="21"/>
                <w:szCs w:val="21"/>
              </w:rPr>
              <w:t>的安全生产知识和</w:t>
            </w:r>
            <w:r>
              <w:rPr>
                <w:rFonts w:ascii="宋体" w:hAnsi="宋体" w:eastAsia="宋体" w:cs="宋体"/>
                <w:spacing w:val="1"/>
                <w:sz w:val="21"/>
                <w:szCs w:val="21"/>
              </w:rPr>
              <w:t>管理能力(包括涉</w:t>
            </w:r>
          </w:p>
          <w:p w14:paraId="2B642F87">
            <w:pPr>
              <w:spacing w:before="27" w:line="279" w:lineRule="auto"/>
              <w:ind w:left="110" w:firstLine="27"/>
              <w:rPr>
                <w:rFonts w:ascii="宋体" w:hAnsi="宋体" w:eastAsia="宋体" w:cs="宋体"/>
                <w:sz w:val="21"/>
                <w:szCs w:val="21"/>
              </w:rPr>
            </w:pPr>
            <w:r>
              <w:rPr>
                <w:rFonts w:ascii="宋体" w:hAnsi="宋体" w:eastAsia="宋体" w:cs="宋体"/>
                <w:spacing w:val="20"/>
                <w:sz w:val="21"/>
                <w:szCs w:val="21"/>
              </w:rPr>
              <w:t>及“两重点一重大”生产装置和储存设</w:t>
            </w:r>
            <w:r>
              <w:rPr>
                <w:rFonts w:ascii="宋体" w:hAnsi="宋体" w:eastAsia="宋体" w:cs="宋体"/>
                <w:spacing w:val="21"/>
                <w:sz w:val="21"/>
                <w:szCs w:val="21"/>
              </w:rPr>
              <w:t>施的企业，主要负</w:t>
            </w:r>
            <w:r>
              <w:rPr>
                <w:rFonts w:ascii="宋体" w:hAnsi="宋体" w:eastAsia="宋体" w:cs="宋体"/>
                <w:spacing w:val="31"/>
                <w:sz w:val="21"/>
                <w:szCs w:val="21"/>
              </w:rPr>
              <w:t>责人和主管生产、</w:t>
            </w:r>
            <w:r>
              <w:rPr>
                <w:rFonts w:ascii="宋体" w:hAnsi="宋体" w:eastAsia="宋体" w:cs="宋体"/>
                <w:spacing w:val="20"/>
                <w:sz w:val="21"/>
                <w:szCs w:val="21"/>
              </w:rPr>
              <w:t>设备、技术、安全的负责人及安全生产管理人员不具备化学、化工、安全等相关专业大专及以上学历或化工类中级及以上职称等</w:t>
            </w:r>
            <w:r>
              <w:rPr>
                <w:rFonts w:ascii="宋体" w:hAnsi="宋体" w:eastAsia="宋体" w:cs="宋体"/>
                <w:spacing w:val="23"/>
                <w:sz w:val="21"/>
                <w:szCs w:val="21"/>
              </w:rPr>
              <w:t>相关情形)。</w:t>
            </w:r>
          </w:p>
        </w:tc>
        <w:tc>
          <w:tcPr>
            <w:tcW w:w="3598" w:type="dxa"/>
            <w:noWrap w:val="0"/>
            <w:vAlign w:val="top"/>
          </w:tcPr>
          <w:p w14:paraId="3CEBA146">
            <w:pPr>
              <w:spacing w:before="77" w:line="253" w:lineRule="auto"/>
              <w:ind w:left="162"/>
              <w:jc w:val="both"/>
              <w:rPr>
                <w:rFonts w:ascii="宋体" w:hAnsi="宋体" w:eastAsia="宋体" w:cs="宋体"/>
                <w:sz w:val="21"/>
                <w:szCs w:val="21"/>
              </w:rPr>
            </w:pPr>
            <w:r>
              <w:rPr>
                <w:rFonts w:ascii="宋体" w:hAnsi="宋体" w:eastAsia="宋体" w:cs="宋体"/>
                <w:spacing w:val="6"/>
                <w:sz w:val="21"/>
                <w:szCs w:val="21"/>
              </w:rPr>
              <w:t>产法》第二十七条第一款生产</w:t>
            </w:r>
            <w:r>
              <w:rPr>
                <w:rFonts w:ascii="宋体" w:hAnsi="宋体" w:eastAsia="宋体" w:cs="宋体"/>
                <w:spacing w:val="19"/>
                <w:sz w:val="21"/>
                <w:szCs w:val="21"/>
              </w:rPr>
              <w:t>经营单位的主要负责人和安全生产管理人员必须具备与本单</w:t>
            </w:r>
            <w:r>
              <w:rPr>
                <w:rFonts w:ascii="宋体" w:hAnsi="宋体" w:eastAsia="宋体" w:cs="宋体"/>
                <w:spacing w:val="18"/>
                <w:sz w:val="21"/>
                <w:szCs w:val="21"/>
              </w:rPr>
              <w:t>位所从事的生产经营活动相应</w:t>
            </w:r>
            <w:r>
              <w:rPr>
                <w:rFonts w:ascii="宋体" w:hAnsi="宋体" w:eastAsia="宋体" w:cs="宋体"/>
                <w:spacing w:val="16"/>
                <w:sz w:val="21"/>
                <w:szCs w:val="21"/>
              </w:rPr>
              <w:t>的安全生产知识和管理能力。</w:t>
            </w:r>
          </w:p>
          <w:p w14:paraId="1B0B7844">
            <w:pPr>
              <w:spacing w:before="42" w:line="254" w:lineRule="auto"/>
              <w:ind w:left="162" w:firstLine="415"/>
              <w:jc w:val="both"/>
              <w:rPr>
                <w:rFonts w:ascii="宋体" w:hAnsi="宋体" w:eastAsia="宋体" w:cs="宋体"/>
                <w:sz w:val="21"/>
                <w:szCs w:val="21"/>
              </w:rPr>
            </w:pPr>
            <w:r>
              <w:rPr>
                <w:rFonts w:ascii="宋体" w:hAnsi="宋体" w:eastAsia="宋体" w:cs="宋体"/>
                <w:spacing w:val="-9"/>
                <w:sz w:val="21"/>
                <w:szCs w:val="21"/>
              </w:rPr>
              <w:t>2.《危险化学品生产企业安</w:t>
            </w:r>
            <w:r>
              <w:rPr>
                <w:rFonts w:ascii="宋体" w:hAnsi="宋体" w:eastAsia="宋体" w:cs="宋体"/>
                <w:spacing w:val="4"/>
                <w:sz w:val="21"/>
                <w:szCs w:val="21"/>
              </w:rPr>
              <w:t>全生产许可证实施办法》(国家</w:t>
            </w:r>
            <w:r>
              <w:rPr>
                <w:rFonts w:ascii="宋体" w:hAnsi="宋体" w:eastAsia="宋体" w:cs="宋体"/>
                <w:spacing w:val="19"/>
                <w:sz w:val="21"/>
                <w:szCs w:val="21"/>
              </w:rPr>
              <w:t>安全监管总局令第41号)第十</w:t>
            </w:r>
            <w:r>
              <w:rPr>
                <w:rFonts w:ascii="宋体" w:hAnsi="宋体" w:eastAsia="宋体" w:cs="宋体"/>
                <w:spacing w:val="9"/>
                <w:sz w:val="21"/>
                <w:szCs w:val="21"/>
              </w:rPr>
              <w:t>六条第二款企业分管安全负</w:t>
            </w:r>
            <w:r>
              <w:rPr>
                <w:rFonts w:ascii="宋体" w:hAnsi="宋体" w:eastAsia="宋体" w:cs="宋体"/>
                <w:sz w:val="21"/>
                <w:szCs w:val="21"/>
              </w:rPr>
              <w:t>责人、分管生产负责人、分管技</w:t>
            </w:r>
            <w:r>
              <w:rPr>
                <w:rFonts w:ascii="宋体" w:hAnsi="宋体" w:eastAsia="宋体" w:cs="宋体"/>
                <w:spacing w:val="13"/>
                <w:sz w:val="21"/>
                <w:szCs w:val="21"/>
              </w:rPr>
              <w:t>术负责人应当具有一定的化工</w:t>
            </w:r>
            <w:r>
              <w:rPr>
                <w:rFonts w:ascii="宋体" w:hAnsi="宋体" w:eastAsia="宋体" w:cs="宋体"/>
                <w:spacing w:val="7"/>
                <w:sz w:val="21"/>
                <w:szCs w:val="21"/>
              </w:rPr>
              <w:t>专业知识或者相应的专业学历，</w:t>
            </w:r>
            <w:r>
              <w:rPr>
                <w:rFonts w:ascii="宋体" w:hAnsi="宋体" w:eastAsia="宋体" w:cs="宋体"/>
                <w:spacing w:val="11"/>
                <w:sz w:val="21"/>
                <w:szCs w:val="21"/>
              </w:rPr>
              <w:t>专职安全生产管理人员应当具</w:t>
            </w:r>
            <w:r>
              <w:rPr>
                <w:rFonts w:ascii="宋体" w:hAnsi="宋体" w:eastAsia="宋体" w:cs="宋体"/>
                <w:spacing w:val="2"/>
                <w:sz w:val="21"/>
                <w:szCs w:val="21"/>
              </w:rPr>
              <w:t>备国民教育化工化学类(或安全</w:t>
            </w:r>
            <w:r>
              <w:rPr>
                <w:rFonts w:ascii="宋体" w:hAnsi="宋体" w:eastAsia="宋体" w:cs="宋体"/>
                <w:spacing w:val="4"/>
                <w:sz w:val="21"/>
                <w:szCs w:val="21"/>
              </w:rPr>
              <w:t>工程)中等职业教育以上学历或</w:t>
            </w:r>
            <w:r>
              <w:rPr>
                <w:rFonts w:ascii="宋体" w:hAnsi="宋体" w:eastAsia="宋体" w:cs="宋体"/>
                <w:spacing w:val="13"/>
                <w:sz w:val="21"/>
                <w:szCs w:val="21"/>
              </w:rPr>
              <w:t>者化工化学类中级以上专业技</w:t>
            </w:r>
            <w:r>
              <w:rPr>
                <w:rFonts w:ascii="宋体" w:hAnsi="宋体" w:eastAsia="宋体" w:cs="宋体"/>
                <w:spacing w:val="25"/>
                <w:sz w:val="21"/>
                <w:szCs w:val="21"/>
              </w:rPr>
              <w:t>术职称。</w:t>
            </w:r>
          </w:p>
          <w:p w14:paraId="24478C18">
            <w:pPr>
              <w:spacing w:before="49" w:line="245" w:lineRule="auto"/>
              <w:ind w:left="162" w:right="32" w:firstLine="410"/>
              <w:jc w:val="both"/>
              <w:rPr>
                <w:rFonts w:ascii="宋体" w:hAnsi="宋体" w:eastAsia="宋体" w:cs="宋体"/>
                <w:sz w:val="21"/>
                <w:szCs w:val="21"/>
              </w:rPr>
            </w:pPr>
            <w:r>
              <w:rPr>
                <w:rFonts w:ascii="宋体" w:hAnsi="宋体" w:eastAsia="宋体" w:cs="宋体"/>
                <w:spacing w:val="-1"/>
                <w:sz w:val="21"/>
                <w:szCs w:val="21"/>
              </w:rPr>
              <w:t>3.《特种作业人员安全技术</w:t>
            </w:r>
            <w:r>
              <w:rPr>
                <w:rFonts w:ascii="宋体" w:hAnsi="宋体" w:eastAsia="宋体" w:cs="宋体"/>
                <w:spacing w:val="13"/>
                <w:sz w:val="21"/>
                <w:szCs w:val="21"/>
              </w:rPr>
              <w:t>培训考核管理规定》(国家安全</w:t>
            </w:r>
            <w:r>
              <w:rPr>
                <w:rFonts w:ascii="宋体" w:hAnsi="宋体" w:eastAsia="宋体" w:cs="宋体"/>
                <w:spacing w:val="46"/>
                <w:sz w:val="21"/>
                <w:szCs w:val="21"/>
              </w:rPr>
              <w:t>监管总局令第30号)第四条</w:t>
            </w:r>
            <w:r>
              <w:rPr>
                <w:rFonts w:ascii="宋体" w:hAnsi="宋体" w:eastAsia="宋体" w:cs="宋体"/>
                <w:spacing w:val="20"/>
                <w:sz w:val="21"/>
                <w:szCs w:val="21"/>
              </w:rPr>
              <w:t>特种作业人员应当符合下列条件：(一)年满18周岁，且不超</w:t>
            </w:r>
            <w:r>
              <w:rPr>
                <w:rFonts w:ascii="宋体" w:hAnsi="宋体" w:eastAsia="宋体" w:cs="宋体"/>
                <w:spacing w:val="21"/>
                <w:sz w:val="21"/>
                <w:szCs w:val="21"/>
              </w:rPr>
              <w:t>过国家法定退休年龄；(二)经</w:t>
            </w:r>
          </w:p>
        </w:tc>
        <w:tc>
          <w:tcPr>
            <w:tcW w:w="3046" w:type="dxa"/>
            <w:noWrap w:val="0"/>
            <w:vAlign w:val="top"/>
          </w:tcPr>
          <w:p w14:paraId="6F0BA057">
            <w:pPr>
              <w:spacing w:before="92" w:line="246" w:lineRule="auto"/>
              <w:ind w:left="165" w:right="27"/>
              <w:jc w:val="both"/>
              <w:rPr>
                <w:rFonts w:ascii="宋体" w:hAnsi="宋体" w:eastAsia="宋体" w:cs="宋体"/>
                <w:sz w:val="21"/>
                <w:szCs w:val="21"/>
              </w:rPr>
            </w:pPr>
            <w:r>
              <w:rPr>
                <w:rFonts w:ascii="宋体" w:hAnsi="宋体" w:eastAsia="宋体" w:cs="宋体"/>
                <w:sz w:val="21"/>
                <w:szCs w:val="21"/>
              </w:rPr>
              <w:t>国务院办公厅《关于全面</w:t>
            </w:r>
            <w:r>
              <w:rPr>
                <w:rFonts w:ascii="宋体" w:hAnsi="宋体" w:eastAsia="宋体" w:cs="宋体"/>
                <w:spacing w:val="1"/>
                <w:sz w:val="21"/>
                <w:szCs w:val="21"/>
              </w:rPr>
              <w:t>加强危险化学品安全生产工作的意见》(十一)加强专业人才培养。实施安全</w:t>
            </w:r>
            <w:r>
              <w:rPr>
                <w:rFonts w:ascii="宋体" w:hAnsi="宋体" w:eastAsia="宋体" w:cs="宋体"/>
                <w:sz w:val="21"/>
                <w:szCs w:val="21"/>
              </w:rPr>
              <w:t>技能提升行动计划，将化工、危险化学品企业从业</w:t>
            </w:r>
            <w:r>
              <w:rPr>
                <w:rFonts w:ascii="宋体" w:hAnsi="宋体" w:eastAsia="宋体" w:cs="宋体"/>
                <w:spacing w:val="1"/>
                <w:sz w:val="21"/>
                <w:szCs w:val="21"/>
              </w:rPr>
              <w:t>人员作为高危行业领域职</w:t>
            </w:r>
            <w:r>
              <w:rPr>
                <w:rFonts w:ascii="宋体" w:hAnsi="宋体" w:eastAsia="宋体" w:cs="宋体"/>
                <w:spacing w:val="-1"/>
                <w:sz w:val="21"/>
                <w:szCs w:val="21"/>
              </w:rPr>
              <w:t>业技能提升行动的重点群体。危险化学品生产企业</w:t>
            </w:r>
            <w:r>
              <w:rPr>
                <w:rFonts w:ascii="宋体" w:hAnsi="宋体" w:eastAsia="宋体" w:cs="宋体"/>
                <w:spacing w:val="1"/>
                <w:sz w:val="21"/>
                <w:szCs w:val="21"/>
              </w:rPr>
              <w:t>主要负责人、分管安全生</w:t>
            </w:r>
            <w:r>
              <w:rPr>
                <w:rFonts w:ascii="宋体" w:hAnsi="宋体" w:eastAsia="宋体" w:cs="宋体"/>
                <w:spacing w:val="-1"/>
                <w:sz w:val="21"/>
                <w:szCs w:val="21"/>
              </w:rPr>
              <w:t>产负责人必须具有化工类</w:t>
            </w:r>
            <w:r>
              <w:rPr>
                <w:rFonts w:ascii="宋体" w:hAnsi="宋体" w:eastAsia="宋体" w:cs="宋体"/>
                <w:spacing w:val="1"/>
                <w:sz w:val="21"/>
                <w:szCs w:val="21"/>
              </w:rPr>
              <w:t>专业大专及以上学历和一定实践经验，专职安全管理人员至少要具备中级及以上化工专业技术职称或</w:t>
            </w:r>
            <w:r>
              <w:rPr>
                <w:rFonts w:ascii="宋体" w:hAnsi="宋体" w:eastAsia="宋体" w:cs="宋体"/>
                <w:spacing w:val="-1"/>
                <w:sz w:val="21"/>
                <w:szCs w:val="21"/>
              </w:rPr>
              <w:t>化工安全类注册安全工程</w:t>
            </w:r>
            <w:r>
              <w:rPr>
                <w:rFonts w:ascii="宋体" w:hAnsi="宋体" w:eastAsia="宋体" w:cs="宋体"/>
                <w:sz w:val="21"/>
                <w:szCs w:val="21"/>
              </w:rPr>
              <w:t>师资格，新招一线岗位从</w:t>
            </w:r>
            <w:r>
              <w:rPr>
                <w:rFonts w:ascii="宋体" w:hAnsi="宋体" w:eastAsia="宋体" w:cs="宋体"/>
                <w:spacing w:val="-1"/>
                <w:sz w:val="21"/>
                <w:szCs w:val="21"/>
              </w:rPr>
              <w:t>业人员必须具有化工职业</w:t>
            </w:r>
            <w:r>
              <w:rPr>
                <w:rFonts w:ascii="宋体" w:hAnsi="宋体" w:eastAsia="宋体" w:cs="宋体"/>
                <w:spacing w:val="1"/>
                <w:sz w:val="21"/>
                <w:szCs w:val="21"/>
              </w:rPr>
              <w:t>教育背景或普通高中及以</w:t>
            </w:r>
            <w:r>
              <w:rPr>
                <w:rFonts w:ascii="宋体" w:hAnsi="宋体" w:eastAsia="宋体" w:cs="宋体"/>
                <w:spacing w:val="2"/>
                <w:sz w:val="21"/>
                <w:szCs w:val="21"/>
              </w:rPr>
              <w:t>上学历并接受危险化学品</w:t>
            </w:r>
            <w:r>
              <w:rPr>
                <w:rFonts w:ascii="宋体" w:hAnsi="宋体" w:eastAsia="宋体" w:cs="宋体"/>
                <w:spacing w:val="1"/>
                <w:sz w:val="21"/>
                <w:szCs w:val="21"/>
              </w:rPr>
              <w:t>安全培训，经考核合格后</w:t>
            </w:r>
            <w:r>
              <w:rPr>
                <w:rFonts w:ascii="宋体" w:hAnsi="宋体" w:eastAsia="宋体" w:cs="宋体"/>
                <w:spacing w:val="24"/>
                <w:sz w:val="21"/>
                <w:szCs w:val="21"/>
              </w:rPr>
              <w:t>方能上岗。</w:t>
            </w:r>
          </w:p>
          <w:p w14:paraId="1AF2523D">
            <w:pPr>
              <w:spacing w:before="14" w:line="187" w:lineRule="auto"/>
              <w:ind w:left="575"/>
              <w:rPr>
                <w:rFonts w:ascii="宋体" w:hAnsi="宋体" w:eastAsia="宋体" w:cs="宋体"/>
                <w:sz w:val="21"/>
                <w:szCs w:val="21"/>
              </w:rPr>
            </w:pPr>
            <w:r>
              <w:rPr>
                <w:rFonts w:ascii="宋体" w:hAnsi="宋体" w:eastAsia="宋体" w:cs="宋体"/>
                <w:spacing w:val="-1"/>
                <w:sz w:val="21"/>
                <w:szCs w:val="21"/>
              </w:rPr>
              <w:t>2.《危险化学品安全</w:t>
            </w:r>
          </w:p>
        </w:tc>
        <w:tc>
          <w:tcPr>
            <w:tcW w:w="2987" w:type="dxa"/>
            <w:noWrap w:val="0"/>
            <w:vAlign w:val="top"/>
          </w:tcPr>
          <w:p w14:paraId="1B8ACF71">
            <w:pPr>
              <w:spacing w:before="104" w:line="254" w:lineRule="auto"/>
              <w:ind w:left="177"/>
              <w:jc w:val="both"/>
              <w:rPr>
                <w:rFonts w:ascii="宋体" w:hAnsi="宋体" w:eastAsia="宋体" w:cs="宋体"/>
                <w:sz w:val="21"/>
                <w:szCs w:val="21"/>
              </w:rPr>
            </w:pPr>
            <w:r>
              <w:rPr>
                <w:rFonts w:ascii="宋体" w:hAnsi="宋体" w:eastAsia="宋体" w:cs="宋体"/>
                <w:spacing w:val="2"/>
                <w:sz w:val="21"/>
                <w:szCs w:val="21"/>
              </w:rPr>
              <w:t>安全生产法》第九十七条</w:t>
            </w:r>
            <w:r>
              <w:rPr>
                <w:rFonts w:ascii="宋体" w:hAnsi="宋体" w:eastAsia="宋体" w:cs="宋体"/>
                <w:spacing w:val="15"/>
                <w:sz w:val="21"/>
                <w:szCs w:val="21"/>
              </w:rPr>
              <w:t>第七项生产经营单位</w:t>
            </w:r>
            <w:r>
              <w:rPr>
                <w:rFonts w:ascii="宋体" w:hAnsi="宋体" w:eastAsia="宋体" w:cs="宋体"/>
                <w:spacing w:val="2"/>
                <w:sz w:val="21"/>
                <w:szCs w:val="21"/>
              </w:rPr>
              <w:t>有下列行为之一的，责令限期改正，处十万元以下</w:t>
            </w:r>
            <w:r>
              <w:rPr>
                <w:rFonts w:ascii="宋体" w:hAnsi="宋体" w:eastAsia="宋体" w:cs="宋体"/>
                <w:spacing w:val="11"/>
                <w:sz w:val="21"/>
                <w:szCs w:val="21"/>
              </w:rPr>
              <w:t>的罚款；逾期未改正的，</w:t>
            </w:r>
            <w:r>
              <w:rPr>
                <w:rFonts w:ascii="宋体" w:hAnsi="宋体" w:eastAsia="宋体" w:cs="宋体"/>
                <w:spacing w:val="2"/>
                <w:sz w:val="21"/>
                <w:szCs w:val="21"/>
              </w:rPr>
              <w:t>责令停产停业整顿，并处</w:t>
            </w:r>
            <w:r>
              <w:rPr>
                <w:rFonts w:ascii="宋体" w:hAnsi="宋体" w:eastAsia="宋体" w:cs="宋体"/>
                <w:spacing w:val="22"/>
                <w:sz w:val="21"/>
                <w:szCs w:val="21"/>
              </w:rPr>
              <w:t>十万元以上二十万元以</w:t>
            </w:r>
            <w:r>
              <w:rPr>
                <w:rFonts w:ascii="宋体" w:hAnsi="宋体" w:eastAsia="宋体" w:cs="宋体"/>
                <w:spacing w:val="2"/>
                <w:sz w:val="21"/>
                <w:szCs w:val="21"/>
              </w:rPr>
              <w:t>下的罚款，对其直接负责</w:t>
            </w:r>
            <w:r>
              <w:rPr>
                <w:rFonts w:ascii="宋体" w:hAnsi="宋体" w:eastAsia="宋体" w:cs="宋体"/>
                <w:spacing w:val="19"/>
                <w:sz w:val="21"/>
                <w:szCs w:val="21"/>
              </w:rPr>
              <w:t>的主管人员和其他直接</w:t>
            </w:r>
            <w:r>
              <w:rPr>
                <w:rFonts w:ascii="宋体" w:hAnsi="宋体" w:eastAsia="宋体" w:cs="宋体"/>
                <w:spacing w:val="21"/>
                <w:sz w:val="21"/>
                <w:szCs w:val="21"/>
              </w:rPr>
              <w:t>责任人员处二万元以上</w:t>
            </w:r>
            <w:r>
              <w:rPr>
                <w:rFonts w:ascii="宋体" w:hAnsi="宋体" w:eastAsia="宋体" w:cs="宋体"/>
                <w:spacing w:val="14"/>
                <w:sz w:val="21"/>
                <w:szCs w:val="21"/>
              </w:rPr>
              <w:t>五万元以下的罚款：</w:t>
            </w:r>
          </w:p>
          <w:p w14:paraId="4FEF04E6">
            <w:pPr>
              <w:spacing w:before="37" w:line="239" w:lineRule="auto"/>
              <w:ind w:left="177" w:right="45" w:firstLine="549"/>
              <w:jc w:val="both"/>
              <w:rPr>
                <w:rFonts w:ascii="宋体" w:hAnsi="宋体" w:eastAsia="宋体" w:cs="宋体"/>
                <w:sz w:val="21"/>
                <w:szCs w:val="21"/>
              </w:rPr>
            </w:pPr>
            <w:r>
              <w:rPr>
                <w:rFonts w:ascii="宋体" w:hAnsi="宋体" w:eastAsia="宋体" w:cs="宋体"/>
                <w:spacing w:val="12"/>
                <w:sz w:val="21"/>
                <w:szCs w:val="21"/>
              </w:rPr>
              <w:t>(七)特种作业人员</w:t>
            </w:r>
            <w:r>
              <w:rPr>
                <w:rFonts w:ascii="宋体" w:hAnsi="宋体" w:eastAsia="宋体" w:cs="宋体"/>
                <w:spacing w:val="21"/>
                <w:sz w:val="21"/>
                <w:szCs w:val="21"/>
              </w:rPr>
              <w:t>未按照规定经专门的安全作业培训并取得相应</w:t>
            </w:r>
            <w:r>
              <w:rPr>
                <w:rFonts w:ascii="宋体" w:hAnsi="宋体" w:eastAsia="宋体" w:cs="宋体"/>
                <w:spacing w:val="13"/>
                <w:sz w:val="21"/>
                <w:szCs w:val="21"/>
              </w:rPr>
              <w:t>资格，上岗作业的。</w:t>
            </w:r>
          </w:p>
        </w:tc>
        <w:tc>
          <w:tcPr>
            <w:tcW w:w="1049" w:type="dxa"/>
            <w:noWrap w:val="0"/>
            <w:vAlign w:val="top"/>
          </w:tcPr>
          <w:p w14:paraId="56D59169">
            <w:pPr>
              <w:spacing w:before="72" w:line="248" w:lineRule="auto"/>
              <w:ind w:left="110" w:right="56" w:firstLine="89"/>
              <w:jc w:val="both"/>
              <w:rPr>
                <w:rFonts w:ascii="宋体" w:hAnsi="宋体" w:eastAsia="宋体" w:cs="宋体"/>
                <w:sz w:val="21"/>
                <w:szCs w:val="21"/>
              </w:rPr>
            </w:pPr>
            <w:r>
              <w:rPr>
                <w:rFonts w:ascii="宋体" w:hAnsi="宋体" w:eastAsia="宋体" w:cs="宋体"/>
                <w:spacing w:val="2"/>
                <w:sz w:val="21"/>
                <w:szCs w:val="21"/>
              </w:rPr>
              <w:t>品安全从</w:t>
            </w:r>
            <w:r>
              <w:rPr>
                <w:rFonts w:ascii="宋体" w:hAnsi="宋体" w:eastAsia="宋体" w:cs="宋体"/>
                <w:spacing w:val="26"/>
                <w:sz w:val="21"/>
                <w:szCs w:val="21"/>
              </w:rPr>
              <w:t>业人员资</w:t>
            </w:r>
            <w:r>
              <w:rPr>
                <w:rFonts w:ascii="宋体" w:hAnsi="宋体" w:eastAsia="宋体" w:cs="宋体"/>
                <w:spacing w:val="25"/>
                <w:sz w:val="21"/>
                <w:szCs w:val="21"/>
              </w:rPr>
              <w:t>质学历管</w:t>
            </w:r>
            <w:r>
              <w:rPr>
                <w:rFonts w:ascii="宋体" w:hAnsi="宋体" w:eastAsia="宋体" w:cs="宋体"/>
                <w:sz w:val="21"/>
                <w:szCs w:val="21"/>
              </w:rPr>
              <w:t>理</w:t>
            </w:r>
          </w:p>
        </w:tc>
      </w:tr>
    </w:tbl>
    <w:p w14:paraId="74BD6614">
      <w:pPr>
        <w:rPr>
          <w:rFonts w:ascii="Arial"/>
          <w:sz w:val="21"/>
        </w:rPr>
      </w:pPr>
    </w:p>
    <w:p w14:paraId="079DFEDD">
      <w:pPr>
        <w:sectPr>
          <w:pgSz w:w="16840" w:h="11900"/>
          <w:pgMar w:top="1440" w:right="1080" w:bottom="1440" w:left="1080" w:header="0" w:footer="0" w:gutter="0"/>
          <w:pgNumType w:fmt="decimal"/>
          <w:cols w:space="720" w:num="1"/>
        </w:sectPr>
      </w:pPr>
    </w:p>
    <w:p w14:paraId="6CFFF7D2"/>
    <w:p w14:paraId="198E955B"/>
    <w:p w14:paraId="59305CFC">
      <w:pPr>
        <w:spacing w:line="169" w:lineRule="exact"/>
      </w:pP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4"/>
        <w:gridCol w:w="2228"/>
        <w:gridCol w:w="3517"/>
        <w:gridCol w:w="3612"/>
        <w:gridCol w:w="2094"/>
        <w:gridCol w:w="1254"/>
      </w:tblGrid>
      <w:tr w14:paraId="0AED96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jc w:val="center"/>
        </w:trPr>
        <w:tc>
          <w:tcPr>
            <w:tcW w:w="874" w:type="dxa"/>
            <w:noWrap w:val="0"/>
            <w:vAlign w:val="top"/>
          </w:tcPr>
          <w:p w14:paraId="47FE91FD">
            <w:pPr>
              <w:spacing w:before="222" w:line="221" w:lineRule="auto"/>
              <w:ind w:left="188"/>
              <w:rPr>
                <w:rFonts w:ascii="宋体" w:hAnsi="宋体" w:eastAsia="宋体" w:cs="宋体"/>
                <w:b/>
                <w:bCs/>
                <w:sz w:val="24"/>
                <w:szCs w:val="24"/>
              </w:rPr>
            </w:pPr>
            <w:r>
              <w:rPr>
                <w:rFonts w:ascii="宋体" w:hAnsi="宋体" w:eastAsia="宋体" w:cs="宋体"/>
                <w:b/>
                <w:bCs/>
                <w:spacing w:val="-5"/>
                <w:sz w:val="24"/>
                <w:szCs w:val="24"/>
              </w:rPr>
              <w:t>序号</w:t>
            </w:r>
          </w:p>
        </w:tc>
        <w:tc>
          <w:tcPr>
            <w:tcW w:w="2228" w:type="dxa"/>
            <w:noWrap w:val="0"/>
            <w:vAlign w:val="top"/>
          </w:tcPr>
          <w:p w14:paraId="145E8A09">
            <w:pPr>
              <w:spacing w:before="91" w:line="219" w:lineRule="auto"/>
              <w:ind w:left="624"/>
              <w:rPr>
                <w:rFonts w:ascii="宋体" w:hAnsi="宋体" w:eastAsia="宋体" w:cs="宋体"/>
                <w:b/>
                <w:bCs/>
                <w:sz w:val="24"/>
                <w:szCs w:val="24"/>
              </w:rPr>
            </w:pPr>
            <w:r>
              <w:rPr>
                <w:rFonts w:ascii="宋体" w:hAnsi="宋体" w:eastAsia="宋体" w:cs="宋体"/>
                <w:b/>
                <w:bCs/>
                <w:spacing w:val="-5"/>
                <w:sz w:val="24"/>
                <w:szCs w:val="24"/>
              </w:rPr>
              <w:t>执法检查</w:t>
            </w:r>
          </w:p>
          <w:p w14:paraId="21EB936C">
            <w:pPr>
              <w:spacing w:before="45" w:line="194" w:lineRule="auto"/>
              <w:ind w:left="384"/>
              <w:rPr>
                <w:rFonts w:ascii="宋体" w:hAnsi="宋体" w:eastAsia="宋体" w:cs="宋体"/>
                <w:b/>
                <w:bCs/>
                <w:sz w:val="24"/>
                <w:szCs w:val="24"/>
              </w:rPr>
            </w:pPr>
            <w:r>
              <w:rPr>
                <w:rFonts w:ascii="宋体" w:hAnsi="宋体" w:eastAsia="宋体" w:cs="宋体"/>
                <w:b/>
                <w:bCs/>
                <w:spacing w:val="-4"/>
                <w:sz w:val="24"/>
                <w:szCs w:val="24"/>
              </w:rPr>
              <w:t>重点事项内容</w:t>
            </w:r>
          </w:p>
        </w:tc>
        <w:tc>
          <w:tcPr>
            <w:tcW w:w="3517" w:type="dxa"/>
            <w:noWrap w:val="0"/>
            <w:vAlign w:val="top"/>
          </w:tcPr>
          <w:p w14:paraId="5347A35F">
            <w:pPr>
              <w:spacing w:before="223" w:line="219" w:lineRule="auto"/>
              <w:ind w:left="1063"/>
              <w:rPr>
                <w:rFonts w:ascii="宋体" w:hAnsi="宋体" w:eastAsia="宋体" w:cs="宋体"/>
                <w:b/>
                <w:bCs/>
                <w:sz w:val="24"/>
                <w:szCs w:val="24"/>
              </w:rPr>
            </w:pPr>
            <w:r>
              <w:rPr>
                <w:rFonts w:ascii="宋体" w:hAnsi="宋体" w:eastAsia="宋体" w:cs="宋体"/>
                <w:b/>
                <w:bCs/>
                <w:spacing w:val="2"/>
                <w:sz w:val="24"/>
                <w:szCs w:val="24"/>
              </w:rPr>
              <w:t>执法检查依据</w:t>
            </w:r>
          </w:p>
        </w:tc>
        <w:tc>
          <w:tcPr>
            <w:tcW w:w="3612" w:type="dxa"/>
            <w:noWrap w:val="0"/>
            <w:vAlign w:val="top"/>
          </w:tcPr>
          <w:p w14:paraId="1372E2B0">
            <w:pPr>
              <w:spacing w:before="95" w:line="220" w:lineRule="auto"/>
              <w:ind w:left="866"/>
              <w:rPr>
                <w:rFonts w:ascii="宋体" w:hAnsi="宋体" w:eastAsia="宋体" w:cs="宋体"/>
                <w:b/>
                <w:bCs/>
                <w:sz w:val="24"/>
                <w:szCs w:val="24"/>
              </w:rPr>
            </w:pPr>
            <w:r>
              <w:rPr>
                <w:rFonts w:ascii="宋体" w:hAnsi="宋体" w:eastAsia="宋体" w:cs="宋体"/>
                <w:b/>
                <w:bCs/>
                <w:spacing w:val="-2"/>
                <w:sz w:val="24"/>
                <w:szCs w:val="24"/>
              </w:rPr>
              <w:t>有关规范性</w:t>
            </w:r>
          </w:p>
          <w:p w14:paraId="60299AEF">
            <w:pPr>
              <w:spacing w:before="42" w:line="192" w:lineRule="auto"/>
              <w:ind w:left="625"/>
              <w:rPr>
                <w:rFonts w:ascii="宋体" w:hAnsi="宋体" w:eastAsia="宋体" w:cs="宋体"/>
                <w:b/>
                <w:bCs/>
                <w:sz w:val="24"/>
                <w:szCs w:val="24"/>
              </w:rPr>
            </w:pPr>
            <w:r>
              <w:rPr>
                <w:rFonts w:ascii="宋体" w:hAnsi="宋体" w:eastAsia="宋体" w:cs="宋体"/>
                <w:b/>
                <w:bCs/>
                <w:spacing w:val="1"/>
                <w:sz w:val="24"/>
                <w:szCs w:val="24"/>
              </w:rPr>
              <w:t>文件及标准要求</w:t>
            </w:r>
          </w:p>
        </w:tc>
        <w:tc>
          <w:tcPr>
            <w:tcW w:w="2094" w:type="dxa"/>
            <w:noWrap w:val="0"/>
            <w:vAlign w:val="top"/>
          </w:tcPr>
          <w:p w14:paraId="212F26DE">
            <w:pPr>
              <w:spacing w:before="223" w:line="219" w:lineRule="auto"/>
              <w:ind w:left="938"/>
              <w:rPr>
                <w:rFonts w:ascii="宋体" w:hAnsi="宋体" w:eastAsia="宋体" w:cs="宋体"/>
                <w:b/>
                <w:bCs/>
                <w:sz w:val="24"/>
                <w:szCs w:val="24"/>
              </w:rPr>
            </w:pPr>
            <w:r>
              <w:rPr>
                <w:rFonts w:ascii="宋体" w:hAnsi="宋体" w:eastAsia="宋体" w:cs="宋体"/>
                <w:b/>
                <w:bCs/>
                <w:spacing w:val="3"/>
                <w:sz w:val="24"/>
                <w:szCs w:val="24"/>
              </w:rPr>
              <w:t>处罚依据</w:t>
            </w:r>
          </w:p>
        </w:tc>
        <w:tc>
          <w:tcPr>
            <w:tcW w:w="1254" w:type="dxa"/>
            <w:noWrap w:val="0"/>
            <w:vAlign w:val="top"/>
          </w:tcPr>
          <w:p w14:paraId="4B15D71A">
            <w:pPr>
              <w:spacing w:before="222" w:line="221" w:lineRule="auto"/>
              <w:ind w:left="383"/>
              <w:rPr>
                <w:rFonts w:ascii="宋体" w:hAnsi="宋体" w:eastAsia="宋体" w:cs="宋体"/>
                <w:b/>
                <w:bCs/>
                <w:sz w:val="24"/>
                <w:szCs w:val="24"/>
              </w:rPr>
            </w:pPr>
            <w:r>
              <w:rPr>
                <w:rFonts w:ascii="宋体" w:hAnsi="宋体" w:eastAsia="宋体" w:cs="宋体"/>
                <w:b/>
                <w:bCs/>
                <w:spacing w:val="-6"/>
                <w:sz w:val="24"/>
                <w:szCs w:val="24"/>
              </w:rPr>
              <w:t>备注</w:t>
            </w:r>
          </w:p>
        </w:tc>
      </w:tr>
      <w:tr w14:paraId="5B109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0" w:hRule="atLeast"/>
          <w:jc w:val="center"/>
        </w:trPr>
        <w:tc>
          <w:tcPr>
            <w:tcW w:w="874" w:type="dxa"/>
            <w:noWrap w:val="0"/>
            <w:vAlign w:val="top"/>
          </w:tcPr>
          <w:p w14:paraId="4295CE54">
            <w:pPr>
              <w:rPr>
                <w:rFonts w:ascii="Arial"/>
                <w:sz w:val="21"/>
              </w:rPr>
            </w:pPr>
          </w:p>
        </w:tc>
        <w:tc>
          <w:tcPr>
            <w:tcW w:w="2228" w:type="dxa"/>
            <w:noWrap w:val="0"/>
            <w:vAlign w:val="top"/>
          </w:tcPr>
          <w:p w14:paraId="607DBCE1">
            <w:pPr>
              <w:rPr>
                <w:rFonts w:ascii="Arial"/>
                <w:sz w:val="21"/>
                <w:szCs w:val="21"/>
              </w:rPr>
            </w:pPr>
          </w:p>
        </w:tc>
        <w:tc>
          <w:tcPr>
            <w:tcW w:w="3517" w:type="dxa"/>
            <w:noWrap w:val="0"/>
            <w:vAlign w:val="top"/>
          </w:tcPr>
          <w:p w14:paraId="387EF1F3">
            <w:pPr>
              <w:spacing w:before="121" w:line="253" w:lineRule="auto"/>
              <w:ind w:left="133"/>
              <w:rPr>
                <w:rFonts w:ascii="宋体" w:hAnsi="宋体" w:eastAsia="宋体" w:cs="宋体"/>
                <w:sz w:val="21"/>
                <w:szCs w:val="21"/>
              </w:rPr>
            </w:pPr>
            <w:r>
              <w:rPr>
                <w:rFonts w:ascii="宋体" w:hAnsi="宋体" w:eastAsia="宋体" w:cs="宋体"/>
                <w:spacing w:val="11"/>
                <w:sz w:val="21"/>
                <w:szCs w:val="21"/>
              </w:rPr>
              <w:t>社区或者县级以上医疗机构体</w:t>
            </w:r>
            <w:r>
              <w:rPr>
                <w:rFonts w:ascii="宋体" w:hAnsi="宋体" w:eastAsia="宋体" w:cs="宋体"/>
                <w:spacing w:val="1"/>
                <w:sz w:val="21"/>
                <w:szCs w:val="21"/>
              </w:rPr>
              <w:t>检健康合格，并无妨碍从事相应</w:t>
            </w:r>
            <w:r>
              <w:rPr>
                <w:rFonts w:ascii="宋体" w:hAnsi="宋体" w:eastAsia="宋体" w:cs="宋体"/>
                <w:spacing w:val="2"/>
                <w:sz w:val="21"/>
                <w:szCs w:val="21"/>
              </w:rPr>
              <w:t>特种作业的器质性心脏病、癫痫</w:t>
            </w:r>
            <w:r>
              <w:rPr>
                <w:rFonts w:ascii="宋体" w:hAnsi="宋体" w:eastAsia="宋体" w:cs="宋体"/>
                <w:spacing w:val="-6"/>
                <w:sz w:val="21"/>
                <w:szCs w:val="21"/>
              </w:rPr>
              <w:t>病、美尼尔氏症、眩晕症、癔病、</w:t>
            </w:r>
            <w:r>
              <w:rPr>
                <w:rFonts w:ascii="宋体" w:hAnsi="宋体" w:eastAsia="宋体" w:cs="宋体"/>
                <w:spacing w:val="3"/>
                <w:sz w:val="21"/>
                <w:szCs w:val="21"/>
              </w:rPr>
              <w:t>震颤麻痹症、精神病、痴呆症以</w:t>
            </w:r>
            <w:r>
              <w:rPr>
                <w:rFonts w:ascii="宋体" w:hAnsi="宋体" w:eastAsia="宋体" w:cs="宋体"/>
                <w:spacing w:val="11"/>
                <w:sz w:val="21"/>
                <w:szCs w:val="21"/>
              </w:rPr>
              <w:t>及其他疾病和生理缺陷；(三)</w:t>
            </w:r>
            <w:r>
              <w:rPr>
                <w:rFonts w:ascii="宋体" w:hAnsi="宋体" w:eastAsia="宋体" w:cs="宋体"/>
                <w:spacing w:val="6"/>
                <w:sz w:val="21"/>
                <w:szCs w:val="21"/>
              </w:rPr>
              <w:t>具有初中及以上文化程度；(四)</w:t>
            </w:r>
            <w:r>
              <w:rPr>
                <w:rFonts w:ascii="宋体" w:hAnsi="宋体" w:eastAsia="宋体" w:cs="宋体"/>
                <w:spacing w:val="11"/>
                <w:sz w:val="21"/>
                <w:szCs w:val="21"/>
              </w:rPr>
              <w:t>具有必要的安全技术知识与技能；(五)相应特种作业规定的</w:t>
            </w:r>
            <w:r>
              <w:rPr>
                <w:rFonts w:ascii="宋体" w:hAnsi="宋体" w:eastAsia="宋体" w:cs="宋体"/>
                <w:spacing w:val="25"/>
                <w:sz w:val="21"/>
                <w:szCs w:val="21"/>
              </w:rPr>
              <w:t>其他条件。</w:t>
            </w:r>
          </w:p>
          <w:p w14:paraId="77BC0114">
            <w:pPr>
              <w:spacing w:before="48" w:line="251" w:lineRule="auto"/>
              <w:ind w:left="133" w:firstLine="479"/>
              <w:rPr>
                <w:rFonts w:ascii="宋体" w:hAnsi="宋体" w:eastAsia="宋体" w:cs="宋体"/>
                <w:sz w:val="21"/>
                <w:szCs w:val="21"/>
              </w:rPr>
            </w:pPr>
            <w:r>
              <w:rPr>
                <w:rFonts w:ascii="宋体" w:hAnsi="宋体" w:eastAsia="宋体" w:cs="宋体"/>
                <w:spacing w:val="25"/>
                <w:sz w:val="21"/>
                <w:szCs w:val="21"/>
              </w:rPr>
              <w:t>危险化学品特种作业人员</w:t>
            </w:r>
            <w:r>
              <w:rPr>
                <w:rFonts w:ascii="宋体" w:hAnsi="宋体" w:eastAsia="宋体" w:cs="宋体"/>
                <w:spacing w:val="10"/>
                <w:sz w:val="21"/>
                <w:szCs w:val="21"/>
              </w:rPr>
              <w:t>除符合前款第一项、第二项、第四项和第五项规定的条件外，应</w:t>
            </w:r>
            <w:r>
              <w:rPr>
                <w:rFonts w:ascii="宋体" w:hAnsi="宋体" w:eastAsia="宋体" w:cs="宋体"/>
                <w:spacing w:val="20"/>
                <w:sz w:val="21"/>
                <w:szCs w:val="21"/>
              </w:rPr>
              <w:t>当具备高中或者相当于高中及</w:t>
            </w:r>
            <w:r>
              <w:rPr>
                <w:rFonts w:ascii="宋体" w:hAnsi="宋体" w:eastAsia="宋体" w:cs="宋体"/>
                <w:spacing w:val="26"/>
                <w:sz w:val="21"/>
                <w:szCs w:val="21"/>
              </w:rPr>
              <w:t>以上文化程度。</w:t>
            </w:r>
          </w:p>
        </w:tc>
        <w:tc>
          <w:tcPr>
            <w:tcW w:w="3612" w:type="dxa"/>
            <w:noWrap w:val="0"/>
            <w:vAlign w:val="top"/>
          </w:tcPr>
          <w:p w14:paraId="2361E901">
            <w:pPr>
              <w:tabs>
                <w:tab w:val="left" w:pos="260"/>
              </w:tabs>
              <w:spacing w:before="116" w:line="267" w:lineRule="auto"/>
              <w:ind w:left="125" w:firstLine="19"/>
              <w:jc w:val="right"/>
              <w:rPr>
                <w:rFonts w:ascii="宋体" w:hAnsi="宋体" w:eastAsia="宋体" w:cs="宋体"/>
                <w:sz w:val="21"/>
                <w:szCs w:val="21"/>
              </w:rPr>
            </w:pPr>
            <w:r>
              <w:rPr>
                <w:rFonts w:ascii="宋体" w:hAnsi="宋体" w:eastAsia="宋体" w:cs="宋体"/>
                <w:spacing w:val="8"/>
                <w:sz w:val="21"/>
                <w:szCs w:val="21"/>
              </w:rPr>
              <w:t>专项整治三年行动实施方</w:t>
            </w:r>
            <w:r>
              <w:rPr>
                <w:rFonts w:ascii="宋体" w:hAnsi="宋体" w:eastAsia="宋体" w:cs="宋体"/>
                <w:spacing w:val="20"/>
                <w:sz w:val="21"/>
                <w:szCs w:val="21"/>
              </w:rPr>
              <w:t>案》(安委〔2020〕3号)</w:t>
            </w:r>
            <w:r>
              <w:rPr>
                <w:rFonts w:ascii="宋体" w:hAnsi="宋体" w:eastAsia="宋体" w:cs="宋体"/>
                <w:spacing w:val="16"/>
                <w:sz w:val="21"/>
                <w:szCs w:val="21"/>
              </w:rPr>
              <w:t>自2020年5月起，对涉及</w:t>
            </w:r>
            <w:r>
              <w:rPr>
                <w:rFonts w:ascii="宋体" w:hAnsi="宋体" w:eastAsia="宋体" w:cs="宋体"/>
                <w:sz w:val="21"/>
                <w:szCs w:val="21"/>
              </w:rPr>
              <w:tab/>
            </w:r>
            <w:r>
              <w:rPr>
                <w:rFonts w:ascii="宋体" w:hAnsi="宋体" w:eastAsia="宋体" w:cs="宋体"/>
                <w:spacing w:val="18"/>
                <w:sz w:val="21"/>
                <w:szCs w:val="21"/>
              </w:rPr>
              <w:t>"两重点一重大"生产装</w:t>
            </w:r>
            <w:r>
              <w:rPr>
                <w:rFonts w:ascii="宋体" w:hAnsi="宋体" w:eastAsia="宋体" w:cs="宋体"/>
                <w:spacing w:val="10"/>
                <w:sz w:val="21"/>
                <w:szCs w:val="21"/>
              </w:rPr>
              <w:t>置和储存设施的企业，新</w:t>
            </w:r>
            <w:r>
              <w:rPr>
                <w:rFonts w:ascii="宋体" w:hAnsi="宋体" w:eastAsia="宋体" w:cs="宋体"/>
                <w:spacing w:val="12"/>
                <w:sz w:val="21"/>
                <w:szCs w:val="21"/>
              </w:rPr>
              <w:t>入职的主要负责人和主管生产、设备、技术、安全的负责人及安全生产管理</w:t>
            </w:r>
            <w:r>
              <w:rPr>
                <w:rFonts w:ascii="宋体" w:hAnsi="宋体" w:eastAsia="宋体" w:cs="宋体"/>
                <w:spacing w:val="7"/>
                <w:sz w:val="21"/>
                <w:szCs w:val="21"/>
              </w:rPr>
              <w:t>人员必须具备化学、化工、</w:t>
            </w:r>
            <w:r>
              <w:rPr>
                <w:rFonts w:ascii="宋体" w:hAnsi="宋体" w:eastAsia="宋体" w:cs="宋体"/>
                <w:spacing w:val="13"/>
                <w:sz w:val="21"/>
                <w:szCs w:val="21"/>
              </w:rPr>
              <w:t>安全等相关专业大专及以上学历或化工类中级及以</w:t>
            </w:r>
            <w:r>
              <w:rPr>
                <w:rFonts w:ascii="宋体" w:hAnsi="宋体" w:eastAsia="宋体" w:cs="宋体"/>
                <w:spacing w:val="12"/>
                <w:sz w:val="21"/>
                <w:szCs w:val="21"/>
              </w:rPr>
              <w:t>上职称，新入职的涉及重大危险源、重点监管化工工艺的生产装置、储存设</w:t>
            </w:r>
            <w:r>
              <w:rPr>
                <w:rFonts w:ascii="宋体" w:hAnsi="宋体" w:eastAsia="宋体" w:cs="宋体"/>
                <w:spacing w:val="13"/>
                <w:sz w:val="21"/>
                <w:szCs w:val="21"/>
              </w:rPr>
              <w:t>施操作人员必须具备高中</w:t>
            </w:r>
            <w:r>
              <w:rPr>
                <w:rFonts w:ascii="宋体" w:hAnsi="宋体" w:eastAsia="宋体" w:cs="宋体"/>
                <w:spacing w:val="9"/>
                <w:sz w:val="21"/>
                <w:szCs w:val="21"/>
              </w:rPr>
              <w:t>及以上学历或化工类中等</w:t>
            </w:r>
            <w:r>
              <w:rPr>
                <w:rFonts w:ascii="宋体" w:hAnsi="宋体" w:eastAsia="宋体" w:cs="宋体"/>
                <w:spacing w:val="10"/>
                <w:sz w:val="21"/>
                <w:szCs w:val="21"/>
              </w:rPr>
              <w:t>及以上职业教育水平，新入职的涉及爆炸危险性化学品的生产装置和储存设</w:t>
            </w:r>
          </w:p>
          <w:p w14:paraId="23680E23">
            <w:pPr>
              <w:spacing w:before="48" w:line="229" w:lineRule="auto"/>
              <w:ind w:left="146" w:right="80"/>
              <w:rPr>
                <w:rFonts w:ascii="宋体" w:hAnsi="宋体" w:eastAsia="宋体" w:cs="宋体"/>
                <w:sz w:val="21"/>
                <w:szCs w:val="21"/>
              </w:rPr>
            </w:pPr>
            <w:r>
              <w:rPr>
                <w:rFonts w:ascii="宋体" w:hAnsi="宋体" w:eastAsia="宋体" w:cs="宋体"/>
                <w:spacing w:val="-1"/>
                <w:sz w:val="21"/>
                <w:szCs w:val="21"/>
              </w:rPr>
              <w:t>施的操作人员必须具备化</w:t>
            </w:r>
            <w:r>
              <w:rPr>
                <w:rFonts w:ascii="宋体" w:hAnsi="宋体" w:eastAsia="宋体" w:cs="宋体"/>
                <w:spacing w:val="12"/>
                <w:sz w:val="21"/>
                <w:szCs w:val="21"/>
              </w:rPr>
              <w:t>工类大专及以上学历。</w:t>
            </w:r>
          </w:p>
          <w:p w14:paraId="7F55D89C">
            <w:pPr>
              <w:spacing w:before="36" w:line="220" w:lineRule="auto"/>
              <w:ind w:left="146" w:right="100" w:firstLine="440"/>
              <w:rPr>
                <w:rFonts w:ascii="宋体" w:hAnsi="宋体" w:eastAsia="宋体" w:cs="宋体"/>
                <w:sz w:val="21"/>
                <w:szCs w:val="21"/>
              </w:rPr>
            </w:pPr>
            <w:r>
              <w:rPr>
                <w:rFonts w:ascii="宋体" w:hAnsi="宋体" w:eastAsia="宋体" w:cs="宋体"/>
                <w:spacing w:val="5"/>
                <w:sz w:val="21"/>
                <w:szCs w:val="21"/>
              </w:rPr>
              <w:t>3.《化工(危险化学</w:t>
            </w:r>
            <w:r>
              <w:rPr>
                <w:rFonts w:ascii="宋体" w:hAnsi="宋体" w:eastAsia="宋体" w:cs="宋体"/>
                <w:spacing w:val="17"/>
                <w:sz w:val="21"/>
                <w:szCs w:val="21"/>
              </w:rPr>
              <w:t>品)企业保障生产安全十</w:t>
            </w:r>
          </w:p>
        </w:tc>
        <w:tc>
          <w:tcPr>
            <w:tcW w:w="2094" w:type="dxa"/>
            <w:noWrap w:val="0"/>
            <w:vAlign w:val="top"/>
          </w:tcPr>
          <w:p w14:paraId="6C80172E">
            <w:pPr>
              <w:rPr>
                <w:rFonts w:ascii="Arial"/>
                <w:sz w:val="21"/>
                <w:szCs w:val="21"/>
              </w:rPr>
            </w:pPr>
          </w:p>
        </w:tc>
        <w:tc>
          <w:tcPr>
            <w:tcW w:w="1254" w:type="dxa"/>
            <w:noWrap w:val="0"/>
            <w:vAlign w:val="top"/>
          </w:tcPr>
          <w:p w14:paraId="7B55646E">
            <w:pPr>
              <w:rPr>
                <w:rFonts w:ascii="Arial"/>
                <w:sz w:val="21"/>
                <w:szCs w:val="21"/>
              </w:rPr>
            </w:pPr>
          </w:p>
        </w:tc>
      </w:tr>
    </w:tbl>
    <w:p w14:paraId="281BAE0F">
      <w:pPr>
        <w:rPr>
          <w:rFonts w:ascii="Arial"/>
          <w:sz w:val="21"/>
        </w:rPr>
      </w:pPr>
    </w:p>
    <w:p w14:paraId="48ABD9CD">
      <w:pPr>
        <w:sectPr>
          <w:pgSz w:w="16840" w:h="11900"/>
          <w:pgMar w:top="1440" w:right="1080" w:bottom="1440" w:left="1080" w:header="0" w:footer="0" w:gutter="0"/>
          <w:pgNumType w:fmt="decimal"/>
          <w:cols w:space="720" w:num="1"/>
        </w:sectPr>
      </w:pPr>
    </w:p>
    <w:p w14:paraId="375F6D31"/>
    <w:tbl>
      <w:tblPr>
        <w:tblStyle w:val="12"/>
        <w:tblpPr w:leftFromText="180" w:rightFromText="180" w:vertAnchor="text" w:horzAnchor="page" w:tblpXSpec="center" w:tblpY="218"/>
        <w:tblOverlap w:val="never"/>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4"/>
        <w:gridCol w:w="2218"/>
        <w:gridCol w:w="3497"/>
        <w:gridCol w:w="2868"/>
        <w:gridCol w:w="2848"/>
        <w:gridCol w:w="1244"/>
      </w:tblGrid>
      <w:tr w14:paraId="44DDD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jc w:val="center"/>
        </w:trPr>
        <w:tc>
          <w:tcPr>
            <w:tcW w:w="874" w:type="dxa"/>
            <w:noWrap w:val="0"/>
            <w:vAlign w:val="top"/>
          </w:tcPr>
          <w:p w14:paraId="000B7279">
            <w:pPr>
              <w:spacing w:before="226" w:line="221" w:lineRule="auto"/>
              <w:ind w:left="184"/>
              <w:rPr>
                <w:rFonts w:ascii="宋体" w:hAnsi="宋体" w:eastAsia="宋体" w:cs="宋体"/>
                <w:b/>
                <w:bCs/>
                <w:sz w:val="24"/>
                <w:szCs w:val="24"/>
              </w:rPr>
            </w:pPr>
            <w:r>
              <w:rPr>
                <w:rFonts w:ascii="宋体" w:hAnsi="宋体" w:eastAsia="宋体" w:cs="宋体"/>
                <w:b/>
                <w:bCs/>
                <w:spacing w:val="7"/>
                <w:sz w:val="24"/>
                <w:szCs w:val="24"/>
              </w:rPr>
              <w:t>序号</w:t>
            </w:r>
          </w:p>
        </w:tc>
        <w:tc>
          <w:tcPr>
            <w:tcW w:w="2218" w:type="dxa"/>
            <w:noWrap w:val="0"/>
            <w:vAlign w:val="top"/>
          </w:tcPr>
          <w:p w14:paraId="7A6F0B6C">
            <w:pPr>
              <w:spacing w:before="85" w:line="219" w:lineRule="auto"/>
              <w:ind w:left="620"/>
              <w:rPr>
                <w:rFonts w:ascii="宋体" w:hAnsi="宋体" w:eastAsia="宋体" w:cs="宋体"/>
                <w:b/>
                <w:bCs/>
                <w:sz w:val="24"/>
                <w:szCs w:val="24"/>
              </w:rPr>
            </w:pPr>
            <w:r>
              <w:rPr>
                <w:rFonts w:ascii="宋体" w:hAnsi="宋体" w:eastAsia="宋体" w:cs="宋体"/>
                <w:b/>
                <w:bCs/>
                <w:spacing w:val="3"/>
                <w:sz w:val="24"/>
                <w:szCs w:val="24"/>
              </w:rPr>
              <w:t>执法检查</w:t>
            </w:r>
          </w:p>
          <w:p w14:paraId="0AD48FAD">
            <w:pPr>
              <w:spacing w:before="50" w:line="195" w:lineRule="auto"/>
              <w:ind w:left="384"/>
              <w:rPr>
                <w:rFonts w:ascii="宋体" w:hAnsi="宋体" w:eastAsia="宋体" w:cs="宋体"/>
                <w:b/>
                <w:bCs/>
                <w:sz w:val="24"/>
                <w:szCs w:val="24"/>
              </w:rPr>
            </w:pPr>
            <w:r>
              <w:rPr>
                <w:rFonts w:ascii="宋体" w:hAnsi="宋体" w:eastAsia="宋体" w:cs="宋体"/>
                <w:b/>
                <w:bCs/>
                <w:spacing w:val="-4"/>
                <w:sz w:val="24"/>
                <w:szCs w:val="24"/>
              </w:rPr>
              <w:t>重点事项内容</w:t>
            </w:r>
          </w:p>
        </w:tc>
        <w:tc>
          <w:tcPr>
            <w:tcW w:w="3497" w:type="dxa"/>
            <w:noWrap w:val="0"/>
            <w:vAlign w:val="top"/>
          </w:tcPr>
          <w:p w14:paraId="76223DB3">
            <w:pPr>
              <w:spacing w:before="223" w:line="219" w:lineRule="auto"/>
              <w:ind w:left="1023"/>
              <w:rPr>
                <w:rFonts w:ascii="宋体" w:hAnsi="宋体" w:eastAsia="宋体" w:cs="宋体"/>
                <w:b/>
                <w:bCs/>
                <w:sz w:val="24"/>
                <w:szCs w:val="24"/>
              </w:rPr>
            </w:pPr>
            <w:r>
              <w:rPr>
                <w:rFonts w:ascii="宋体" w:hAnsi="宋体" w:eastAsia="宋体" w:cs="宋体"/>
                <w:b/>
                <w:bCs/>
                <w:spacing w:val="5"/>
                <w:sz w:val="24"/>
                <w:szCs w:val="24"/>
              </w:rPr>
              <w:t>执法检查依据</w:t>
            </w:r>
          </w:p>
        </w:tc>
        <w:tc>
          <w:tcPr>
            <w:tcW w:w="2868" w:type="dxa"/>
            <w:noWrap w:val="0"/>
            <w:vAlign w:val="top"/>
          </w:tcPr>
          <w:p w14:paraId="0CCDF574">
            <w:pPr>
              <w:spacing w:before="85" w:line="220" w:lineRule="auto"/>
              <w:ind w:left="835"/>
              <w:rPr>
                <w:rFonts w:ascii="宋体" w:hAnsi="宋体" w:eastAsia="宋体" w:cs="宋体"/>
                <w:b/>
                <w:bCs/>
                <w:sz w:val="24"/>
                <w:szCs w:val="24"/>
              </w:rPr>
            </w:pPr>
            <w:r>
              <w:rPr>
                <w:rFonts w:ascii="宋体" w:hAnsi="宋体" w:eastAsia="宋体" w:cs="宋体"/>
                <w:b/>
                <w:bCs/>
                <w:spacing w:val="-2"/>
                <w:sz w:val="24"/>
                <w:szCs w:val="24"/>
              </w:rPr>
              <w:t>有关规范性</w:t>
            </w:r>
          </w:p>
          <w:p w14:paraId="2077A07B">
            <w:pPr>
              <w:spacing w:before="29" w:line="210" w:lineRule="auto"/>
              <w:ind w:left="609"/>
              <w:rPr>
                <w:rFonts w:ascii="宋体" w:hAnsi="宋体" w:eastAsia="宋体" w:cs="宋体"/>
                <w:b/>
                <w:bCs/>
                <w:sz w:val="24"/>
                <w:szCs w:val="24"/>
              </w:rPr>
            </w:pPr>
            <w:r>
              <w:rPr>
                <w:rFonts w:ascii="宋体" w:hAnsi="宋体" w:eastAsia="宋体" w:cs="宋体"/>
                <w:b/>
                <w:bCs/>
                <w:spacing w:val="-4"/>
                <w:sz w:val="24"/>
                <w:szCs w:val="24"/>
              </w:rPr>
              <w:t>文件及标准要求</w:t>
            </w:r>
          </w:p>
        </w:tc>
        <w:tc>
          <w:tcPr>
            <w:tcW w:w="2848" w:type="dxa"/>
            <w:noWrap w:val="0"/>
            <w:vAlign w:val="top"/>
          </w:tcPr>
          <w:p w14:paraId="18558C1D">
            <w:pPr>
              <w:spacing w:before="223" w:line="219" w:lineRule="auto"/>
              <w:ind w:left="947"/>
              <w:rPr>
                <w:rFonts w:ascii="宋体" w:hAnsi="宋体" w:eastAsia="宋体" w:cs="宋体"/>
                <w:b/>
                <w:bCs/>
                <w:sz w:val="24"/>
                <w:szCs w:val="24"/>
              </w:rPr>
            </w:pPr>
            <w:r>
              <w:rPr>
                <w:rFonts w:ascii="宋体" w:hAnsi="宋体" w:eastAsia="宋体" w:cs="宋体"/>
                <w:b/>
                <w:bCs/>
                <w:spacing w:val="8"/>
                <w:sz w:val="24"/>
                <w:szCs w:val="24"/>
              </w:rPr>
              <w:t>处罚依据</w:t>
            </w:r>
          </w:p>
        </w:tc>
        <w:tc>
          <w:tcPr>
            <w:tcW w:w="1244" w:type="dxa"/>
            <w:noWrap w:val="0"/>
            <w:vAlign w:val="top"/>
          </w:tcPr>
          <w:p w14:paraId="78FCA7FB">
            <w:pPr>
              <w:spacing w:before="222" w:line="221" w:lineRule="auto"/>
              <w:ind w:left="383"/>
              <w:rPr>
                <w:rFonts w:ascii="宋体" w:hAnsi="宋体" w:eastAsia="宋体" w:cs="宋体"/>
                <w:b/>
                <w:bCs/>
                <w:sz w:val="24"/>
                <w:szCs w:val="24"/>
              </w:rPr>
            </w:pPr>
            <w:r>
              <w:rPr>
                <w:rFonts w:ascii="宋体" w:hAnsi="宋体" w:eastAsia="宋体" w:cs="宋体"/>
                <w:b/>
                <w:bCs/>
                <w:spacing w:val="-6"/>
                <w:sz w:val="24"/>
                <w:szCs w:val="24"/>
              </w:rPr>
              <w:t>备注</w:t>
            </w:r>
          </w:p>
        </w:tc>
      </w:tr>
      <w:tr w14:paraId="35235C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8" w:hRule="atLeast"/>
          <w:jc w:val="center"/>
        </w:trPr>
        <w:tc>
          <w:tcPr>
            <w:tcW w:w="874" w:type="dxa"/>
            <w:noWrap w:val="0"/>
            <w:vAlign w:val="top"/>
          </w:tcPr>
          <w:p w14:paraId="6E802EC1">
            <w:pPr>
              <w:rPr>
                <w:rFonts w:ascii="Arial"/>
                <w:sz w:val="21"/>
                <w:szCs w:val="21"/>
              </w:rPr>
            </w:pPr>
          </w:p>
        </w:tc>
        <w:tc>
          <w:tcPr>
            <w:tcW w:w="2218" w:type="dxa"/>
            <w:noWrap w:val="0"/>
            <w:vAlign w:val="top"/>
          </w:tcPr>
          <w:p w14:paraId="2E9EB463">
            <w:pPr>
              <w:rPr>
                <w:rFonts w:ascii="Arial"/>
                <w:sz w:val="21"/>
                <w:szCs w:val="21"/>
              </w:rPr>
            </w:pPr>
          </w:p>
        </w:tc>
        <w:tc>
          <w:tcPr>
            <w:tcW w:w="3497" w:type="dxa"/>
            <w:noWrap w:val="0"/>
            <w:vAlign w:val="top"/>
          </w:tcPr>
          <w:p w14:paraId="0518B2E2">
            <w:pPr>
              <w:rPr>
                <w:rFonts w:ascii="Arial"/>
                <w:sz w:val="21"/>
                <w:szCs w:val="21"/>
              </w:rPr>
            </w:pPr>
          </w:p>
        </w:tc>
        <w:tc>
          <w:tcPr>
            <w:tcW w:w="2868" w:type="dxa"/>
            <w:noWrap w:val="0"/>
            <w:vAlign w:val="top"/>
          </w:tcPr>
          <w:p w14:paraId="3A341F5C">
            <w:pPr>
              <w:spacing w:before="97" w:line="237" w:lineRule="auto"/>
              <w:ind w:left="26" w:right="60" w:firstLine="119"/>
              <w:jc w:val="both"/>
              <w:rPr>
                <w:rFonts w:ascii="宋体" w:hAnsi="宋体" w:eastAsia="宋体" w:cs="宋体"/>
                <w:sz w:val="21"/>
                <w:szCs w:val="21"/>
              </w:rPr>
            </w:pPr>
            <w:r>
              <w:rPr>
                <w:rFonts w:ascii="宋体" w:hAnsi="宋体" w:eastAsia="宋体" w:cs="宋体"/>
                <w:spacing w:val="34"/>
                <w:sz w:val="21"/>
                <w:szCs w:val="21"/>
              </w:rPr>
              <w:t>条规定》(安监总政法</w:t>
            </w:r>
            <w:r>
              <w:rPr>
                <w:rFonts w:ascii="宋体" w:hAnsi="宋体" w:eastAsia="宋体" w:cs="宋体"/>
                <w:spacing w:val="30"/>
                <w:sz w:val="21"/>
                <w:szCs w:val="21"/>
              </w:rPr>
              <w:t>〔2017〕15号)第三条</w:t>
            </w:r>
            <w:r>
              <w:rPr>
                <w:rFonts w:ascii="宋体" w:hAnsi="宋体" w:eastAsia="宋体" w:cs="宋体"/>
                <w:spacing w:val="11"/>
                <w:sz w:val="21"/>
                <w:szCs w:val="21"/>
              </w:rPr>
              <w:t>必须确保从业人员符合录</w:t>
            </w:r>
            <w:r>
              <w:rPr>
                <w:rFonts w:ascii="宋体" w:hAnsi="宋体" w:eastAsia="宋体" w:cs="宋体"/>
                <w:spacing w:val="9"/>
                <w:sz w:val="21"/>
                <w:szCs w:val="21"/>
              </w:rPr>
              <w:t>用条件并培训合格，依法</w:t>
            </w:r>
            <w:r>
              <w:rPr>
                <w:rFonts w:ascii="宋体" w:hAnsi="宋体" w:eastAsia="宋体" w:cs="宋体"/>
                <w:spacing w:val="47"/>
                <w:sz w:val="21"/>
                <w:szCs w:val="21"/>
              </w:rPr>
              <w:t>持证上岗。</w:t>
            </w:r>
          </w:p>
        </w:tc>
        <w:tc>
          <w:tcPr>
            <w:tcW w:w="2848" w:type="dxa"/>
            <w:noWrap w:val="0"/>
            <w:vAlign w:val="top"/>
          </w:tcPr>
          <w:p w14:paraId="316DAFD6">
            <w:pPr>
              <w:rPr>
                <w:rFonts w:ascii="Arial"/>
                <w:sz w:val="21"/>
                <w:szCs w:val="21"/>
              </w:rPr>
            </w:pPr>
          </w:p>
        </w:tc>
        <w:tc>
          <w:tcPr>
            <w:tcW w:w="1244" w:type="dxa"/>
            <w:noWrap w:val="0"/>
            <w:vAlign w:val="top"/>
          </w:tcPr>
          <w:p w14:paraId="75A99B7A">
            <w:pPr>
              <w:rPr>
                <w:rFonts w:ascii="Arial"/>
                <w:sz w:val="21"/>
                <w:szCs w:val="21"/>
              </w:rPr>
            </w:pPr>
          </w:p>
        </w:tc>
      </w:tr>
      <w:tr w14:paraId="6FADF7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16" w:hRule="atLeast"/>
          <w:jc w:val="center"/>
        </w:trPr>
        <w:tc>
          <w:tcPr>
            <w:tcW w:w="874" w:type="dxa"/>
            <w:noWrap w:val="0"/>
            <w:vAlign w:val="top"/>
          </w:tcPr>
          <w:p w14:paraId="05BD500C">
            <w:pPr>
              <w:spacing w:line="248" w:lineRule="auto"/>
              <w:rPr>
                <w:rFonts w:ascii="Arial"/>
                <w:sz w:val="21"/>
                <w:szCs w:val="21"/>
              </w:rPr>
            </w:pPr>
          </w:p>
          <w:p w14:paraId="75283D21">
            <w:pPr>
              <w:spacing w:line="249" w:lineRule="auto"/>
              <w:rPr>
                <w:rFonts w:ascii="Arial"/>
                <w:sz w:val="21"/>
                <w:szCs w:val="21"/>
              </w:rPr>
            </w:pPr>
          </w:p>
          <w:p w14:paraId="54937194">
            <w:pPr>
              <w:spacing w:line="249" w:lineRule="auto"/>
              <w:rPr>
                <w:rFonts w:ascii="Arial"/>
                <w:sz w:val="21"/>
                <w:szCs w:val="21"/>
              </w:rPr>
            </w:pPr>
          </w:p>
          <w:p w14:paraId="6B27ADB3">
            <w:pPr>
              <w:spacing w:line="249" w:lineRule="auto"/>
              <w:rPr>
                <w:rFonts w:ascii="Arial"/>
                <w:sz w:val="21"/>
                <w:szCs w:val="21"/>
              </w:rPr>
            </w:pPr>
          </w:p>
          <w:p w14:paraId="550E0811">
            <w:pPr>
              <w:spacing w:line="249" w:lineRule="auto"/>
              <w:rPr>
                <w:rFonts w:ascii="Arial"/>
                <w:sz w:val="21"/>
                <w:szCs w:val="21"/>
              </w:rPr>
            </w:pPr>
          </w:p>
          <w:p w14:paraId="756D9940">
            <w:pPr>
              <w:spacing w:line="249" w:lineRule="auto"/>
              <w:rPr>
                <w:rFonts w:ascii="Arial"/>
                <w:sz w:val="21"/>
                <w:szCs w:val="21"/>
              </w:rPr>
            </w:pPr>
          </w:p>
          <w:p w14:paraId="029A9482">
            <w:pPr>
              <w:spacing w:line="249" w:lineRule="auto"/>
              <w:rPr>
                <w:rFonts w:ascii="Arial"/>
                <w:sz w:val="21"/>
                <w:szCs w:val="21"/>
              </w:rPr>
            </w:pPr>
          </w:p>
          <w:p w14:paraId="2D5D0028">
            <w:pPr>
              <w:spacing w:line="249" w:lineRule="auto"/>
              <w:rPr>
                <w:rFonts w:ascii="Arial"/>
                <w:sz w:val="21"/>
                <w:szCs w:val="21"/>
              </w:rPr>
            </w:pPr>
          </w:p>
          <w:p w14:paraId="0E8BCC77">
            <w:pPr>
              <w:spacing w:line="249" w:lineRule="auto"/>
              <w:rPr>
                <w:rFonts w:ascii="Arial"/>
                <w:sz w:val="21"/>
                <w:szCs w:val="21"/>
              </w:rPr>
            </w:pPr>
          </w:p>
          <w:p w14:paraId="65D165DB">
            <w:pPr>
              <w:spacing w:line="249" w:lineRule="auto"/>
              <w:rPr>
                <w:rFonts w:ascii="Arial"/>
                <w:sz w:val="21"/>
                <w:szCs w:val="21"/>
              </w:rPr>
            </w:pPr>
          </w:p>
          <w:p w14:paraId="14CA088D">
            <w:pPr>
              <w:spacing w:line="249" w:lineRule="auto"/>
              <w:rPr>
                <w:rFonts w:ascii="Arial"/>
                <w:sz w:val="21"/>
                <w:szCs w:val="21"/>
              </w:rPr>
            </w:pPr>
          </w:p>
          <w:p w14:paraId="2B897D6D">
            <w:pPr>
              <w:spacing w:before="78" w:line="184" w:lineRule="auto"/>
              <w:ind w:left="305"/>
              <w:rPr>
                <w:rFonts w:ascii="宋体" w:hAnsi="宋体" w:eastAsia="宋体" w:cs="宋体"/>
                <w:sz w:val="21"/>
                <w:szCs w:val="21"/>
              </w:rPr>
            </w:pPr>
            <w:r>
              <w:rPr>
                <w:rFonts w:ascii="宋体" w:hAnsi="宋体" w:eastAsia="宋体" w:cs="宋体"/>
                <w:spacing w:val="-7"/>
                <w:sz w:val="21"/>
                <w:szCs w:val="21"/>
              </w:rPr>
              <w:t>1</w:t>
            </w:r>
            <w:r>
              <w:rPr>
                <w:rFonts w:hint="eastAsia" w:ascii="宋体" w:hAnsi="宋体" w:eastAsia="宋体" w:cs="宋体"/>
                <w:spacing w:val="-7"/>
                <w:sz w:val="21"/>
                <w:szCs w:val="21"/>
                <w:lang w:val="en-US" w:eastAsia="zh-CN"/>
              </w:rPr>
              <w:t>4</w:t>
            </w:r>
          </w:p>
        </w:tc>
        <w:tc>
          <w:tcPr>
            <w:tcW w:w="2218" w:type="dxa"/>
            <w:noWrap w:val="0"/>
            <w:vAlign w:val="top"/>
          </w:tcPr>
          <w:p w14:paraId="0C90C13E">
            <w:pPr>
              <w:spacing w:line="248" w:lineRule="auto"/>
              <w:rPr>
                <w:rFonts w:ascii="Arial"/>
                <w:sz w:val="21"/>
                <w:szCs w:val="21"/>
              </w:rPr>
            </w:pPr>
          </w:p>
          <w:p w14:paraId="548E77A2">
            <w:pPr>
              <w:spacing w:line="248" w:lineRule="auto"/>
              <w:rPr>
                <w:rFonts w:ascii="Arial"/>
                <w:sz w:val="21"/>
                <w:szCs w:val="21"/>
              </w:rPr>
            </w:pPr>
          </w:p>
          <w:p w14:paraId="0AA99962">
            <w:pPr>
              <w:spacing w:line="248" w:lineRule="auto"/>
              <w:rPr>
                <w:rFonts w:ascii="Arial"/>
                <w:sz w:val="21"/>
                <w:szCs w:val="21"/>
              </w:rPr>
            </w:pPr>
          </w:p>
          <w:p w14:paraId="0F50A9FB">
            <w:pPr>
              <w:spacing w:line="248" w:lineRule="auto"/>
              <w:rPr>
                <w:rFonts w:ascii="Arial"/>
                <w:sz w:val="21"/>
                <w:szCs w:val="21"/>
              </w:rPr>
            </w:pPr>
          </w:p>
          <w:p w14:paraId="43C9DD4B">
            <w:pPr>
              <w:spacing w:line="248" w:lineRule="auto"/>
              <w:rPr>
                <w:rFonts w:ascii="Arial"/>
                <w:sz w:val="21"/>
                <w:szCs w:val="21"/>
              </w:rPr>
            </w:pPr>
          </w:p>
          <w:p w14:paraId="3128F7A8">
            <w:pPr>
              <w:spacing w:line="248" w:lineRule="auto"/>
              <w:rPr>
                <w:rFonts w:ascii="Arial"/>
                <w:sz w:val="21"/>
                <w:szCs w:val="21"/>
              </w:rPr>
            </w:pPr>
          </w:p>
          <w:p w14:paraId="50781652">
            <w:pPr>
              <w:spacing w:line="248" w:lineRule="auto"/>
              <w:rPr>
                <w:rFonts w:ascii="Arial"/>
                <w:sz w:val="21"/>
                <w:szCs w:val="21"/>
              </w:rPr>
            </w:pPr>
          </w:p>
          <w:p w14:paraId="3FAA52CB">
            <w:pPr>
              <w:spacing w:before="78" w:line="245" w:lineRule="auto"/>
              <w:ind w:left="140" w:right="134"/>
              <w:jc w:val="both"/>
              <w:rPr>
                <w:rFonts w:ascii="宋体" w:hAnsi="宋体" w:eastAsia="宋体" w:cs="宋体"/>
                <w:sz w:val="21"/>
                <w:szCs w:val="21"/>
              </w:rPr>
            </w:pPr>
            <w:r>
              <w:rPr>
                <w:rFonts w:ascii="宋体" w:hAnsi="宋体" w:eastAsia="宋体" w:cs="宋体"/>
                <w:spacing w:val="1"/>
                <w:sz w:val="21"/>
                <w:szCs w:val="21"/>
              </w:rPr>
              <w:t>具有甲乙类火灾危险性、粉尘爆炸危险性、中毒危险性</w:t>
            </w:r>
            <w:r>
              <w:rPr>
                <w:rFonts w:ascii="宋体" w:hAnsi="宋体" w:eastAsia="宋体" w:cs="宋体"/>
                <w:spacing w:val="8"/>
                <w:sz w:val="21"/>
                <w:szCs w:val="21"/>
              </w:rPr>
              <w:t>的厂房(含装置或车间)和仓库内设</w:t>
            </w:r>
          </w:p>
          <w:p w14:paraId="00601B7C">
            <w:pPr>
              <w:spacing w:before="15" w:line="250" w:lineRule="auto"/>
              <w:ind w:left="135" w:hanging="115"/>
              <w:rPr>
                <w:rFonts w:ascii="宋体" w:hAnsi="宋体" w:eastAsia="宋体" w:cs="宋体"/>
                <w:sz w:val="21"/>
                <w:szCs w:val="21"/>
              </w:rPr>
            </w:pPr>
            <w:r>
              <w:rPr>
                <w:rFonts w:ascii="宋体" w:hAnsi="宋体" w:eastAsia="宋体" w:cs="宋体"/>
                <w:spacing w:val="12"/>
                <w:sz w:val="21"/>
                <w:szCs w:val="21"/>
              </w:rPr>
              <w:t>置办公室、休息室、</w:t>
            </w:r>
            <w:r>
              <w:rPr>
                <w:rFonts w:ascii="宋体" w:hAnsi="宋体" w:eastAsia="宋体" w:cs="宋体"/>
                <w:spacing w:val="14"/>
                <w:sz w:val="21"/>
                <w:szCs w:val="21"/>
              </w:rPr>
              <w:t>外操室、巡检室。</w:t>
            </w:r>
          </w:p>
        </w:tc>
        <w:tc>
          <w:tcPr>
            <w:tcW w:w="3497" w:type="dxa"/>
            <w:noWrap w:val="0"/>
            <w:vAlign w:val="top"/>
          </w:tcPr>
          <w:p w14:paraId="601E1E28">
            <w:pPr>
              <w:spacing w:before="89" w:line="253" w:lineRule="auto"/>
              <w:ind w:left="143" w:firstLine="448"/>
              <w:jc w:val="both"/>
              <w:rPr>
                <w:rFonts w:ascii="宋体" w:hAnsi="宋体" w:eastAsia="宋体" w:cs="宋体"/>
                <w:sz w:val="21"/>
                <w:szCs w:val="21"/>
              </w:rPr>
            </w:pPr>
            <w:r>
              <w:rPr>
                <w:rFonts w:ascii="宋体" w:hAnsi="宋体" w:eastAsia="宋体" w:cs="宋体"/>
                <w:spacing w:val="-2"/>
                <w:sz w:val="21"/>
                <w:szCs w:val="21"/>
              </w:rPr>
              <w:t>1.《中华人民共和国安全生</w:t>
            </w:r>
            <w:r>
              <w:rPr>
                <w:rFonts w:ascii="宋体" w:hAnsi="宋体" w:eastAsia="宋体" w:cs="宋体"/>
                <w:spacing w:val="7"/>
                <w:sz w:val="21"/>
                <w:szCs w:val="21"/>
              </w:rPr>
              <w:t>产法》第四十一条第二款生产</w:t>
            </w:r>
            <w:r>
              <w:rPr>
                <w:rFonts w:ascii="宋体" w:hAnsi="宋体" w:eastAsia="宋体" w:cs="宋体"/>
                <w:spacing w:val="21"/>
                <w:sz w:val="21"/>
                <w:szCs w:val="21"/>
              </w:rPr>
              <w:t>经营单位应当建立健全并落实</w:t>
            </w:r>
            <w:r>
              <w:rPr>
                <w:rFonts w:ascii="宋体" w:hAnsi="宋体" w:eastAsia="宋体" w:cs="宋体"/>
                <w:spacing w:val="20"/>
                <w:sz w:val="21"/>
                <w:szCs w:val="21"/>
              </w:rPr>
              <w:t>生产安全事故隐患排查治理制</w:t>
            </w:r>
            <w:r>
              <w:rPr>
                <w:rFonts w:ascii="宋体" w:hAnsi="宋体" w:eastAsia="宋体" w:cs="宋体"/>
                <w:spacing w:val="8"/>
                <w:sz w:val="21"/>
                <w:szCs w:val="21"/>
              </w:rPr>
              <w:t>度，采取技术、管理措施，及时发现并消除事故隐患。事故隐患排查治理情况应当如实记录，并</w:t>
            </w:r>
            <w:r>
              <w:rPr>
                <w:rFonts w:ascii="宋体" w:hAnsi="宋体" w:eastAsia="宋体" w:cs="宋体"/>
                <w:spacing w:val="21"/>
                <w:sz w:val="21"/>
                <w:szCs w:val="21"/>
              </w:rPr>
              <w:t>通过职工大会或者职工代表大</w:t>
            </w:r>
            <w:r>
              <w:rPr>
                <w:rFonts w:ascii="宋体" w:hAnsi="宋体" w:eastAsia="宋体" w:cs="宋体"/>
                <w:spacing w:val="8"/>
                <w:sz w:val="21"/>
                <w:szCs w:val="21"/>
              </w:rPr>
              <w:t>会、信息公示栏等方式向从业人员通报。其中，重大事故隐患排</w:t>
            </w:r>
            <w:r>
              <w:rPr>
                <w:rFonts w:ascii="宋体" w:hAnsi="宋体" w:eastAsia="宋体" w:cs="宋体"/>
                <w:spacing w:val="21"/>
                <w:sz w:val="21"/>
                <w:szCs w:val="21"/>
              </w:rPr>
              <w:t>查治理情况应当及时向负有安全生产监督管理职责的部门和</w:t>
            </w:r>
            <w:r>
              <w:rPr>
                <w:rFonts w:ascii="宋体" w:hAnsi="宋体" w:eastAsia="宋体" w:cs="宋体"/>
                <w:spacing w:val="22"/>
                <w:sz w:val="21"/>
                <w:szCs w:val="21"/>
              </w:rPr>
              <w:t>职工大会或者职工代表大会报</w:t>
            </w:r>
            <w:r>
              <w:rPr>
                <w:rFonts w:ascii="宋体" w:hAnsi="宋体" w:eastAsia="宋体" w:cs="宋体"/>
                <w:spacing w:val="-3"/>
                <w:sz w:val="21"/>
                <w:szCs w:val="21"/>
              </w:rPr>
              <w:t>告。</w:t>
            </w:r>
          </w:p>
          <w:p w14:paraId="23C22D27">
            <w:pPr>
              <w:spacing w:before="58" w:line="243" w:lineRule="auto"/>
              <w:ind w:left="102" w:right="2" w:firstLine="480"/>
              <w:jc w:val="both"/>
              <w:rPr>
                <w:rFonts w:ascii="宋体" w:hAnsi="宋体" w:eastAsia="宋体" w:cs="宋体"/>
                <w:sz w:val="21"/>
                <w:szCs w:val="21"/>
              </w:rPr>
            </w:pPr>
            <w:r>
              <w:rPr>
                <w:rFonts w:ascii="宋体" w:hAnsi="宋体" w:eastAsia="宋体" w:cs="宋体"/>
                <w:spacing w:val="-1"/>
                <w:sz w:val="21"/>
                <w:szCs w:val="21"/>
              </w:rPr>
              <w:t>2.《石油化工企业设计防火</w:t>
            </w:r>
            <w:r>
              <w:rPr>
                <w:rFonts w:ascii="宋体" w:hAnsi="宋体" w:eastAsia="宋体" w:cs="宋体"/>
                <w:spacing w:val="18"/>
                <w:sz w:val="21"/>
                <w:szCs w:val="21"/>
              </w:rPr>
              <w:t>标准(2018年版)》(</w:t>
            </w:r>
            <w:r>
              <w:rPr>
                <w:rFonts w:ascii="宋体" w:hAnsi="宋体" w:eastAsia="宋体" w:cs="宋体"/>
                <w:sz w:val="21"/>
                <w:szCs w:val="21"/>
              </w:rPr>
              <w:t>GB</w:t>
            </w:r>
            <w:r>
              <w:rPr>
                <w:rFonts w:ascii="宋体" w:hAnsi="宋体" w:eastAsia="宋体" w:cs="宋体"/>
                <w:spacing w:val="57"/>
                <w:sz w:val="21"/>
                <w:szCs w:val="21"/>
              </w:rPr>
              <w:t xml:space="preserve"> </w:t>
            </w:r>
            <w:r>
              <w:rPr>
                <w:rFonts w:ascii="宋体" w:hAnsi="宋体" w:eastAsia="宋体" w:cs="宋体"/>
                <w:spacing w:val="18"/>
                <w:sz w:val="21"/>
                <w:szCs w:val="21"/>
              </w:rPr>
              <w:t>50160)</w:t>
            </w:r>
            <w:r>
              <w:rPr>
                <w:rFonts w:ascii="宋体" w:hAnsi="宋体" w:eastAsia="宋体" w:cs="宋体"/>
                <w:spacing w:val="16"/>
                <w:sz w:val="21"/>
                <w:szCs w:val="21"/>
              </w:rPr>
              <w:t>5.2.16装置的控制室、机柜</w:t>
            </w:r>
            <w:r>
              <w:rPr>
                <w:rFonts w:ascii="宋体" w:hAnsi="宋体" w:eastAsia="宋体" w:cs="宋体"/>
                <w:spacing w:val="11"/>
                <w:sz w:val="21"/>
                <w:szCs w:val="21"/>
              </w:rPr>
              <w:t>间、变配电所、化验室、办公室</w:t>
            </w:r>
          </w:p>
        </w:tc>
        <w:tc>
          <w:tcPr>
            <w:tcW w:w="2868" w:type="dxa"/>
            <w:noWrap w:val="0"/>
            <w:vAlign w:val="top"/>
          </w:tcPr>
          <w:p w14:paraId="244ECD4D">
            <w:pPr>
              <w:spacing w:line="255" w:lineRule="auto"/>
              <w:rPr>
                <w:rFonts w:ascii="Arial"/>
                <w:sz w:val="21"/>
                <w:szCs w:val="21"/>
              </w:rPr>
            </w:pPr>
          </w:p>
          <w:p w14:paraId="06E6EA0A">
            <w:pPr>
              <w:spacing w:line="255" w:lineRule="auto"/>
              <w:rPr>
                <w:rFonts w:ascii="Arial"/>
                <w:sz w:val="21"/>
                <w:szCs w:val="21"/>
              </w:rPr>
            </w:pPr>
          </w:p>
          <w:p w14:paraId="5449DDFA">
            <w:pPr>
              <w:spacing w:line="255" w:lineRule="auto"/>
              <w:rPr>
                <w:rFonts w:ascii="Arial"/>
                <w:sz w:val="21"/>
                <w:szCs w:val="21"/>
              </w:rPr>
            </w:pPr>
          </w:p>
          <w:p w14:paraId="03745772">
            <w:pPr>
              <w:spacing w:line="255" w:lineRule="auto"/>
              <w:rPr>
                <w:rFonts w:ascii="Arial"/>
                <w:sz w:val="21"/>
                <w:szCs w:val="21"/>
              </w:rPr>
            </w:pPr>
          </w:p>
          <w:p w14:paraId="3F692EE0">
            <w:pPr>
              <w:spacing w:line="256" w:lineRule="auto"/>
              <w:rPr>
                <w:rFonts w:ascii="Arial"/>
                <w:sz w:val="21"/>
                <w:szCs w:val="21"/>
              </w:rPr>
            </w:pPr>
          </w:p>
          <w:p w14:paraId="53D38CF4">
            <w:pPr>
              <w:spacing w:before="75" w:line="255" w:lineRule="auto"/>
              <w:ind w:left="146" w:firstLine="432"/>
              <w:rPr>
                <w:rFonts w:ascii="宋体" w:hAnsi="宋体" w:eastAsia="宋体" w:cs="宋体"/>
                <w:sz w:val="21"/>
                <w:szCs w:val="21"/>
              </w:rPr>
            </w:pPr>
            <w:r>
              <w:rPr>
                <w:rFonts w:ascii="宋体" w:hAnsi="宋体" w:eastAsia="宋体" w:cs="宋体"/>
                <w:spacing w:val="18"/>
                <w:sz w:val="21"/>
                <w:szCs w:val="21"/>
              </w:rPr>
              <w:t>《危险化学品安全专</w:t>
            </w:r>
            <w:r>
              <w:rPr>
                <w:rFonts w:ascii="宋体" w:hAnsi="宋体" w:eastAsia="宋体" w:cs="宋体"/>
                <w:spacing w:val="28"/>
                <w:sz w:val="21"/>
                <w:szCs w:val="21"/>
              </w:rPr>
              <w:t>项整治三年行动实施方</w:t>
            </w:r>
            <w:r>
              <w:rPr>
                <w:rFonts w:ascii="宋体" w:hAnsi="宋体" w:eastAsia="宋体" w:cs="宋体"/>
                <w:spacing w:val="17"/>
                <w:sz w:val="21"/>
                <w:szCs w:val="21"/>
              </w:rPr>
              <w:t>案》(安委〔2020〕3号)</w:t>
            </w:r>
            <w:r>
              <w:rPr>
                <w:rFonts w:ascii="宋体" w:hAnsi="宋体" w:eastAsia="宋体" w:cs="宋体"/>
                <w:spacing w:val="16"/>
                <w:sz w:val="21"/>
                <w:szCs w:val="21"/>
              </w:rPr>
              <w:t>具有甲乙类火灾危险性、</w:t>
            </w:r>
            <w:r>
              <w:rPr>
                <w:rFonts w:ascii="宋体" w:hAnsi="宋体" w:eastAsia="宋体" w:cs="宋体"/>
                <w:spacing w:val="6"/>
                <w:sz w:val="21"/>
                <w:szCs w:val="21"/>
              </w:rPr>
              <w:t>粉尘爆炸危险性、中毒危</w:t>
            </w:r>
            <w:r>
              <w:rPr>
                <w:rFonts w:ascii="宋体" w:hAnsi="宋体" w:eastAsia="宋体" w:cs="宋体"/>
                <w:spacing w:val="17"/>
                <w:sz w:val="21"/>
                <w:szCs w:val="21"/>
              </w:rPr>
              <w:t>险性的厂房(含装置或车</w:t>
            </w:r>
            <w:r>
              <w:rPr>
                <w:rFonts w:ascii="宋体" w:hAnsi="宋体" w:eastAsia="宋体" w:cs="宋体"/>
                <w:spacing w:val="16"/>
                <w:sz w:val="21"/>
                <w:szCs w:val="21"/>
              </w:rPr>
              <w:t>间)和仓库内的办公室、</w:t>
            </w:r>
            <w:r>
              <w:rPr>
                <w:rFonts w:ascii="宋体" w:hAnsi="宋体" w:eastAsia="宋体" w:cs="宋体"/>
                <w:spacing w:val="30"/>
                <w:sz w:val="21"/>
                <w:szCs w:val="21"/>
              </w:rPr>
              <w:t>休息室、外操室、巡检</w:t>
            </w:r>
            <w:r>
              <w:rPr>
                <w:rFonts w:ascii="宋体" w:hAnsi="宋体" w:eastAsia="宋体" w:cs="宋体"/>
                <w:spacing w:val="11"/>
                <w:sz w:val="21"/>
                <w:szCs w:val="21"/>
              </w:rPr>
              <w:t>室，2020年8月前必须予</w:t>
            </w:r>
            <w:r>
              <w:rPr>
                <w:rFonts w:ascii="宋体" w:hAnsi="宋体" w:eastAsia="宋体" w:cs="宋体"/>
                <w:spacing w:val="26"/>
                <w:sz w:val="21"/>
                <w:szCs w:val="21"/>
              </w:rPr>
              <w:t>以拆除。</w:t>
            </w:r>
          </w:p>
        </w:tc>
        <w:tc>
          <w:tcPr>
            <w:tcW w:w="2848" w:type="dxa"/>
            <w:noWrap w:val="0"/>
            <w:vAlign w:val="top"/>
          </w:tcPr>
          <w:p w14:paraId="0DABF010">
            <w:pPr>
              <w:spacing w:line="327" w:lineRule="auto"/>
              <w:rPr>
                <w:rFonts w:ascii="Arial"/>
                <w:sz w:val="21"/>
                <w:szCs w:val="21"/>
              </w:rPr>
            </w:pPr>
          </w:p>
          <w:p w14:paraId="72F9085D">
            <w:pPr>
              <w:spacing w:line="328" w:lineRule="auto"/>
              <w:rPr>
                <w:rFonts w:ascii="Arial"/>
                <w:sz w:val="21"/>
                <w:szCs w:val="21"/>
              </w:rPr>
            </w:pPr>
          </w:p>
          <w:p w14:paraId="7288C532">
            <w:pPr>
              <w:spacing w:before="75" w:line="254" w:lineRule="auto"/>
              <w:ind w:left="148" w:firstLine="428"/>
              <w:jc w:val="both"/>
              <w:rPr>
                <w:rFonts w:ascii="宋体" w:hAnsi="宋体" w:eastAsia="宋体" w:cs="宋体"/>
                <w:sz w:val="21"/>
                <w:szCs w:val="21"/>
              </w:rPr>
            </w:pPr>
            <w:r>
              <w:rPr>
                <w:rFonts w:ascii="宋体" w:hAnsi="宋体" w:eastAsia="宋体" w:cs="宋体"/>
                <w:spacing w:val="30"/>
                <w:sz w:val="21"/>
                <w:szCs w:val="21"/>
              </w:rPr>
              <w:t>《中华人民共和国</w:t>
            </w:r>
            <w:r>
              <w:rPr>
                <w:rFonts w:ascii="宋体" w:hAnsi="宋体" w:eastAsia="宋体" w:cs="宋体"/>
                <w:spacing w:val="5"/>
                <w:sz w:val="21"/>
                <w:szCs w:val="21"/>
              </w:rPr>
              <w:t>安全生产法》第一百零二</w:t>
            </w:r>
            <w:r>
              <w:rPr>
                <w:rFonts w:ascii="宋体" w:hAnsi="宋体" w:eastAsia="宋体" w:cs="宋体"/>
                <w:spacing w:val="18"/>
                <w:sz w:val="21"/>
                <w:szCs w:val="21"/>
              </w:rPr>
              <w:t>条生产经营单位未采</w:t>
            </w:r>
            <w:r>
              <w:rPr>
                <w:rFonts w:ascii="宋体" w:hAnsi="宋体" w:eastAsia="宋体" w:cs="宋体"/>
                <w:spacing w:val="14"/>
                <w:sz w:val="21"/>
                <w:szCs w:val="21"/>
              </w:rPr>
              <w:t>取措施消除事故隐患的，</w:t>
            </w:r>
            <w:r>
              <w:rPr>
                <w:rFonts w:ascii="宋体" w:hAnsi="宋体" w:eastAsia="宋体" w:cs="宋体"/>
                <w:spacing w:val="24"/>
                <w:sz w:val="21"/>
                <w:szCs w:val="21"/>
              </w:rPr>
              <w:t>责令立即消除或者限期</w:t>
            </w:r>
            <w:r>
              <w:rPr>
                <w:rFonts w:ascii="宋体" w:hAnsi="宋体" w:eastAsia="宋体" w:cs="宋体"/>
                <w:spacing w:val="6"/>
                <w:sz w:val="21"/>
                <w:szCs w:val="21"/>
              </w:rPr>
              <w:t>消除，处五万元以下的罚</w:t>
            </w:r>
            <w:r>
              <w:rPr>
                <w:rFonts w:ascii="宋体" w:hAnsi="宋体" w:eastAsia="宋体" w:cs="宋体"/>
                <w:spacing w:val="4"/>
                <w:sz w:val="21"/>
                <w:szCs w:val="21"/>
              </w:rPr>
              <w:t>款；生产经营单位拒不执</w:t>
            </w:r>
            <w:r>
              <w:rPr>
                <w:rFonts w:ascii="宋体" w:hAnsi="宋体" w:eastAsia="宋体" w:cs="宋体"/>
                <w:spacing w:val="24"/>
                <w:sz w:val="21"/>
                <w:szCs w:val="21"/>
              </w:rPr>
              <w:t>行的，责令停产停业整</w:t>
            </w:r>
            <w:r>
              <w:rPr>
                <w:rFonts w:ascii="宋体" w:hAnsi="宋体" w:eastAsia="宋体" w:cs="宋体"/>
                <w:spacing w:val="5"/>
                <w:sz w:val="21"/>
                <w:szCs w:val="21"/>
              </w:rPr>
              <w:t>顿，对其直接负责的主管</w:t>
            </w:r>
            <w:r>
              <w:rPr>
                <w:rFonts w:ascii="宋体" w:hAnsi="宋体" w:eastAsia="宋体" w:cs="宋体"/>
                <w:spacing w:val="24"/>
                <w:sz w:val="21"/>
                <w:szCs w:val="21"/>
              </w:rPr>
              <w:t>人员和其他直接责任人员处五万元以上十万元以下的罚款；构成犯罪</w:t>
            </w:r>
            <w:r>
              <w:rPr>
                <w:rFonts w:ascii="宋体" w:hAnsi="宋体" w:eastAsia="宋体" w:cs="宋体"/>
                <w:spacing w:val="4"/>
                <w:sz w:val="21"/>
                <w:szCs w:val="21"/>
              </w:rPr>
              <w:t>的，依照刑法有关规定追</w:t>
            </w:r>
            <w:r>
              <w:rPr>
                <w:rFonts w:ascii="宋体" w:hAnsi="宋体" w:eastAsia="宋体" w:cs="宋体"/>
                <w:spacing w:val="23"/>
                <w:sz w:val="21"/>
                <w:szCs w:val="21"/>
              </w:rPr>
              <w:t>究刑事责任。</w:t>
            </w:r>
          </w:p>
        </w:tc>
        <w:tc>
          <w:tcPr>
            <w:tcW w:w="1244" w:type="dxa"/>
            <w:noWrap w:val="0"/>
            <w:vAlign w:val="top"/>
          </w:tcPr>
          <w:p w14:paraId="72885397">
            <w:pPr>
              <w:spacing w:line="243" w:lineRule="auto"/>
              <w:rPr>
                <w:rFonts w:ascii="Arial"/>
                <w:sz w:val="21"/>
                <w:szCs w:val="21"/>
              </w:rPr>
            </w:pPr>
          </w:p>
          <w:p w14:paraId="674DC3A7">
            <w:pPr>
              <w:spacing w:line="243" w:lineRule="auto"/>
              <w:rPr>
                <w:rFonts w:ascii="Arial"/>
                <w:sz w:val="21"/>
                <w:szCs w:val="21"/>
              </w:rPr>
            </w:pPr>
          </w:p>
          <w:p w14:paraId="65DD41E2">
            <w:pPr>
              <w:spacing w:line="243" w:lineRule="auto"/>
              <w:rPr>
                <w:rFonts w:ascii="Arial"/>
                <w:sz w:val="21"/>
                <w:szCs w:val="21"/>
              </w:rPr>
            </w:pPr>
          </w:p>
          <w:p w14:paraId="26EE9A8E">
            <w:pPr>
              <w:spacing w:line="243" w:lineRule="auto"/>
              <w:rPr>
                <w:rFonts w:ascii="Arial"/>
                <w:sz w:val="21"/>
                <w:szCs w:val="21"/>
              </w:rPr>
            </w:pPr>
          </w:p>
          <w:p w14:paraId="104E5898">
            <w:pPr>
              <w:spacing w:line="243" w:lineRule="auto"/>
              <w:rPr>
                <w:rFonts w:ascii="Arial"/>
                <w:sz w:val="21"/>
                <w:szCs w:val="21"/>
              </w:rPr>
            </w:pPr>
          </w:p>
          <w:p w14:paraId="17553C1C">
            <w:pPr>
              <w:spacing w:line="243" w:lineRule="auto"/>
              <w:rPr>
                <w:rFonts w:ascii="Arial"/>
                <w:sz w:val="21"/>
                <w:szCs w:val="21"/>
              </w:rPr>
            </w:pPr>
          </w:p>
          <w:p w14:paraId="6AE1A273">
            <w:pPr>
              <w:spacing w:line="244" w:lineRule="auto"/>
              <w:rPr>
                <w:rFonts w:ascii="Arial"/>
                <w:sz w:val="21"/>
                <w:szCs w:val="21"/>
              </w:rPr>
            </w:pPr>
          </w:p>
          <w:p w14:paraId="7E117FE7">
            <w:pPr>
              <w:spacing w:line="244" w:lineRule="auto"/>
              <w:rPr>
                <w:rFonts w:ascii="Arial"/>
                <w:sz w:val="21"/>
                <w:szCs w:val="21"/>
              </w:rPr>
            </w:pPr>
          </w:p>
          <w:p w14:paraId="45188566">
            <w:pPr>
              <w:spacing w:line="244" w:lineRule="auto"/>
              <w:rPr>
                <w:rFonts w:ascii="Arial"/>
                <w:sz w:val="21"/>
                <w:szCs w:val="21"/>
              </w:rPr>
            </w:pPr>
          </w:p>
          <w:p w14:paraId="439F62F2">
            <w:pPr>
              <w:spacing w:line="244" w:lineRule="auto"/>
              <w:rPr>
                <w:rFonts w:ascii="Arial"/>
                <w:sz w:val="21"/>
                <w:szCs w:val="21"/>
              </w:rPr>
            </w:pPr>
          </w:p>
          <w:p w14:paraId="60FC4827">
            <w:pPr>
              <w:spacing w:line="244" w:lineRule="auto"/>
              <w:rPr>
                <w:rFonts w:ascii="Arial"/>
                <w:sz w:val="21"/>
                <w:szCs w:val="21"/>
              </w:rPr>
            </w:pPr>
          </w:p>
          <w:p w14:paraId="53318AAE">
            <w:pPr>
              <w:spacing w:before="78" w:line="219" w:lineRule="auto"/>
              <w:ind w:left="139"/>
              <w:rPr>
                <w:rFonts w:ascii="宋体" w:hAnsi="宋体" w:eastAsia="宋体" w:cs="宋体"/>
                <w:sz w:val="21"/>
                <w:szCs w:val="21"/>
              </w:rPr>
            </w:pPr>
            <w:r>
              <w:rPr>
                <w:rFonts w:ascii="宋体" w:hAnsi="宋体" w:eastAsia="宋体" w:cs="宋体"/>
                <w:spacing w:val="2"/>
                <w:sz w:val="21"/>
                <w:szCs w:val="21"/>
              </w:rPr>
              <w:t>隐患管理</w:t>
            </w:r>
          </w:p>
        </w:tc>
      </w:tr>
    </w:tbl>
    <w:p w14:paraId="2E8A6271">
      <w:pPr>
        <w:spacing w:line="220" w:lineRule="exact"/>
        <w:rPr>
          <w:sz w:val="21"/>
          <w:szCs w:val="21"/>
        </w:rPr>
      </w:pPr>
    </w:p>
    <w:p w14:paraId="3B4D2FAE">
      <w:pPr>
        <w:rPr>
          <w:rFonts w:ascii="Arial"/>
          <w:sz w:val="21"/>
          <w:szCs w:val="21"/>
        </w:rPr>
      </w:pPr>
    </w:p>
    <w:p w14:paraId="79A673B2">
      <w:pPr>
        <w:sectPr>
          <w:pgSz w:w="16840" w:h="11900"/>
          <w:pgMar w:top="1440" w:right="1080" w:bottom="1440" w:left="1080" w:header="0" w:footer="0" w:gutter="0"/>
          <w:pgNumType w:fmt="decimal"/>
          <w:cols w:space="720" w:num="1"/>
        </w:sectPr>
      </w:pPr>
    </w:p>
    <w:p w14:paraId="29E72560"/>
    <w:p w14:paraId="4C34B3BA">
      <w:pPr>
        <w:rPr>
          <w:sz w:val="21"/>
          <w:szCs w:val="21"/>
        </w:rPr>
      </w:pPr>
    </w:p>
    <w:tbl>
      <w:tblPr>
        <w:tblStyle w:val="12"/>
        <w:tblpPr w:leftFromText="180" w:rightFromText="180" w:vertAnchor="text" w:horzAnchor="page" w:tblpXSpec="center" w:tblpY="125"/>
        <w:tblOverlap w:val="never"/>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4"/>
        <w:gridCol w:w="2239"/>
        <w:gridCol w:w="3507"/>
        <w:gridCol w:w="2858"/>
        <w:gridCol w:w="2838"/>
        <w:gridCol w:w="1254"/>
      </w:tblGrid>
      <w:tr w14:paraId="732649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jc w:val="center"/>
        </w:trPr>
        <w:tc>
          <w:tcPr>
            <w:tcW w:w="864" w:type="dxa"/>
            <w:noWrap w:val="0"/>
            <w:vAlign w:val="top"/>
          </w:tcPr>
          <w:p w14:paraId="319A85C7">
            <w:pPr>
              <w:spacing w:before="212" w:line="221" w:lineRule="auto"/>
              <w:ind w:left="188"/>
              <w:rPr>
                <w:rFonts w:ascii="宋体" w:hAnsi="宋体" w:eastAsia="宋体" w:cs="宋体"/>
                <w:b/>
                <w:bCs/>
                <w:sz w:val="21"/>
                <w:szCs w:val="21"/>
              </w:rPr>
            </w:pPr>
            <w:r>
              <w:rPr>
                <w:rFonts w:ascii="宋体" w:hAnsi="宋体" w:eastAsia="宋体" w:cs="宋体"/>
                <w:b/>
                <w:bCs/>
                <w:spacing w:val="-5"/>
                <w:sz w:val="21"/>
                <w:szCs w:val="21"/>
              </w:rPr>
              <w:t>序号</w:t>
            </w:r>
          </w:p>
        </w:tc>
        <w:tc>
          <w:tcPr>
            <w:tcW w:w="2239" w:type="dxa"/>
            <w:noWrap w:val="0"/>
            <w:vAlign w:val="top"/>
          </w:tcPr>
          <w:p w14:paraId="1FE16E87">
            <w:pPr>
              <w:spacing w:before="85" w:line="219" w:lineRule="auto"/>
              <w:ind w:left="631"/>
              <w:rPr>
                <w:rFonts w:ascii="宋体" w:hAnsi="宋体" w:eastAsia="宋体" w:cs="宋体"/>
                <w:b/>
                <w:bCs/>
                <w:sz w:val="21"/>
                <w:szCs w:val="21"/>
              </w:rPr>
            </w:pPr>
            <w:r>
              <w:rPr>
                <w:rFonts w:ascii="宋体" w:hAnsi="宋体" w:eastAsia="宋体" w:cs="宋体"/>
                <w:b/>
                <w:bCs/>
                <w:spacing w:val="3"/>
                <w:sz w:val="21"/>
                <w:szCs w:val="21"/>
              </w:rPr>
              <w:t>执法检查</w:t>
            </w:r>
          </w:p>
          <w:p w14:paraId="0E2650E5">
            <w:pPr>
              <w:spacing w:before="44" w:line="192" w:lineRule="auto"/>
              <w:ind w:left="390"/>
              <w:rPr>
                <w:rFonts w:ascii="宋体" w:hAnsi="宋体" w:eastAsia="宋体" w:cs="宋体"/>
                <w:b/>
                <w:bCs/>
                <w:sz w:val="21"/>
                <w:szCs w:val="21"/>
              </w:rPr>
            </w:pPr>
            <w:r>
              <w:rPr>
                <w:rFonts w:ascii="宋体" w:hAnsi="宋体" w:eastAsia="宋体" w:cs="宋体"/>
                <w:b/>
                <w:bCs/>
                <w:spacing w:val="2"/>
                <w:sz w:val="21"/>
                <w:szCs w:val="21"/>
              </w:rPr>
              <w:t>重点事项内容</w:t>
            </w:r>
          </w:p>
        </w:tc>
        <w:tc>
          <w:tcPr>
            <w:tcW w:w="3507" w:type="dxa"/>
            <w:noWrap w:val="0"/>
            <w:vAlign w:val="top"/>
          </w:tcPr>
          <w:p w14:paraId="3C6BD215">
            <w:pPr>
              <w:spacing w:before="213" w:line="219" w:lineRule="auto"/>
              <w:ind w:left="1051"/>
              <w:rPr>
                <w:rFonts w:ascii="宋体" w:hAnsi="宋体" w:eastAsia="宋体" w:cs="宋体"/>
                <w:b/>
                <w:bCs/>
                <w:sz w:val="21"/>
                <w:szCs w:val="21"/>
              </w:rPr>
            </w:pPr>
            <w:r>
              <w:rPr>
                <w:rFonts w:ascii="宋体" w:hAnsi="宋体" w:eastAsia="宋体" w:cs="宋体"/>
                <w:b/>
                <w:bCs/>
                <w:spacing w:val="2"/>
                <w:sz w:val="21"/>
                <w:szCs w:val="21"/>
              </w:rPr>
              <w:t>执法检查依据</w:t>
            </w:r>
          </w:p>
        </w:tc>
        <w:tc>
          <w:tcPr>
            <w:tcW w:w="2858" w:type="dxa"/>
            <w:noWrap w:val="0"/>
            <w:vAlign w:val="top"/>
          </w:tcPr>
          <w:p w14:paraId="2E258E11">
            <w:pPr>
              <w:spacing w:before="55" w:line="220" w:lineRule="auto"/>
              <w:ind w:left="825"/>
              <w:rPr>
                <w:rFonts w:ascii="宋体" w:hAnsi="宋体" w:eastAsia="宋体" w:cs="宋体"/>
                <w:b/>
                <w:bCs/>
                <w:sz w:val="21"/>
                <w:szCs w:val="21"/>
              </w:rPr>
            </w:pPr>
            <w:r>
              <w:rPr>
                <w:rFonts w:ascii="宋体" w:hAnsi="宋体" w:eastAsia="宋体" w:cs="宋体"/>
                <w:b/>
                <w:bCs/>
                <w:spacing w:val="-2"/>
                <w:sz w:val="21"/>
                <w:szCs w:val="21"/>
              </w:rPr>
              <w:t>有关规范性</w:t>
            </w:r>
          </w:p>
          <w:p w14:paraId="26B5266C">
            <w:pPr>
              <w:spacing w:before="53" w:line="207" w:lineRule="auto"/>
              <w:ind w:left="585"/>
              <w:rPr>
                <w:rFonts w:ascii="宋体" w:hAnsi="宋体" w:eastAsia="宋体" w:cs="宋体"/>
                <w:b/>
                <w:bCs/>
                <w:sz w:val="21"/>
                <w:szCs w:val="21"/>
              </w:rPr>
            </w:pPr>
            <w:r>
              <w:rPr>
                <w:rFonts w:ascii="宋体" w:hAnsi="宋体" w:eastAsia="宋体" w:cs="宋体"/>
                <w:b/>
                <w:bCs/>
                <w:spacing w:val="1"/>
                <w:sz w:val="21"/>
                <w:szCs w:val="21"/>
              </w:rPr>
              <w:t>文件及标准要求</w:t>
            </w:r>
          </w:p>
        </w:tc>
        <w:tc>
          <w:tcPr>
            <w:tcW w:w="2838" w:type="dxa"/>
            <w:noWrap w:val="0"/>
            <w:vAlign w:val="top"/>
          </w:tcPr>
          <w:p w14:paraId="6C0756DB">
            <w:pPr>
              <w:spacing w:before="213" w:line="219" w:lineRule="auto"/>
              <w:ind w:left="966"/>
              <w:rPr>
                <w:rFonts w:ascii="宋体" w:hAnsi="宋体" w:eastAsia="宋体" w:cs="宋体"/>
                <w:b/>
                <w:bCs/>
                <w:sz w:val="21"/>
                <w:szCs w:val="21"/>
              </w:rPr>
            </w:pPr>
            <w:r>
              <w:rPr>
                <w:rFonts w:ascii="宋体" w:hAnsi="宋体" w:eastAsia="宋体" w:cs="宋体"/>
                <w:b/>
                <w:bCs/>
                <w:spacing w:val="3"/>
                <w:sz w:val="21"/>
                <w:szCs w:val="21"/>
              </w:rPr>
              <w:t>处罚依据</w:t>
            </w:r>
          </w:p>
        </w:tc>
        <w:tc>
          <w:tcPr>
            <w:tcW w:w="1254" w:type="dxa"/>
            <w:noWrap w:val="0"/>
            <w:vAlign w:val="top"/>
          </w:tcPr>
          <w:p w14:paraId="749309BC">
            <w:pPr>
              <w:spacing w:before="212" w:line="221" w:lineRule="auto"/>
              <w:ind w:left="392"/>
              <w:rPr>
                <w:rFonts w:ascii="宋体" w:hAnsi="宋体" w:eastAsia="宋体" w:cs="宋体"/>
                <w:b/>
                <w:bCs/>
                <w:sz w:val="21"/>
                <w:szCs w:val="21"/>
              </w:rPr>
            </w:pPr>
            <w:r>
              <w:rPr>
                <w:rFonts w:ascii="宋体" w:hAnsi="宋体" w:eastAsia="宋体" w:cs="宋体"/>
                <w:b/>
                <w:bCs/>
                <w:spacing w:val="-6"/>
                <w:sz w:val="21"/>
                <w:szCs w:val="21"/>
              </w:rPr>
              <w:t>备注</w:t>
            </w:r>
          </w:p>
        </w:tc>
      </w:tr>
      <w:tr w14:paraId="60020F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5" w:hRule="atLeast"/>
          <w:jc w:val="center"/>
        </w:trPr>
        <w:tc>
          <w:tcPr>
            <w:tcW w:w="864" w:type="dxa"/>
            <w:noWrap w:val="0"/>
            <w:vAlign w:val="top"/>
          </w:tcPr>
          <w:p w14:paraId="10C82FEE">
            <w:pPr>
              <w:rPr>
                <w:rFonts w:ascii="Arial"/>
                <w:sz w:val="21"/>
                <w:szCs w:val="21"/>
              </w:rPr>
            </w:pPr>
          </w:p>
        </w:tc>
        <w:tc>
          <w:tcPr>
            <w:tcW w:w="2239" w:type="dxa"/>
            <w:noWrap w:val="0"/>
            <w:vAlign w:val="top"/>
          </w:tcPr>
          <w:p w14:paraId="485A850A">
            <w:pPr>
              <w:rPr>
                <w:rFonts w:ascii="Arial"/>
                <w:sz w:val="21"/>
                <w:szCs w:val="21"/>
              </w:rPr>
            </w:pPr>
          </w:p>
        </w:tc>
        <w:tc>
          <w:tcPr>
            <w:tcW w:w="3507" w:type="dxa"/>
            <w:noWrap w:val="0"/>
            <w:vAlign w:val="top"/>
          </w:tcPr>
          <w:p w14:paraId="52BEA55E">
            <w:pPr>
              <w:spacing w:before="93" w:line="253" w:lineRule="auto"/>
              <w:ind w:left="122"/>
              <w:jc w:val="both"/>
              <w:rPr>
                <w:rFonts w:ascii="宋体" w:hAnsi="宋体" w:eastAsia="宋体" w:cs="宋体"/>
                <w:sz w:val="21"/>
                <w:szCs w:val="21"/>
              </w:rPr>
            </w:pPr>
            <w:r>
              <w:rPr>
                <w:rFonts w:ascii="宋体" w:hAnsi="宋体" w:eastAsia="宋体" w:cs="宋体"/>
                <w:spacing w:val="4"/>
                <w:sz w:val="21"/>
                <w:szCs w:val="21"/>
              </w:rPr>
              <w:t>等不得与设有甲、乙，类设备的</w:t>
            </w:r>
            <w:r>
              <w:rPr>
                <w:rFonts w:ascii="宋体" w:hAnsi="宋体" w:eastAsia="宋体" w:cs="宋体"/>
                <w:spacing w:val="2"/>
                <w:sz w:val="21"/>
                <w:szCs w:val="21"/>
              </w:rPr>
              <w:t>房间布置在同一建筑物内。装置</w:t>
            </w:r>
            <w:r>
              <w:rPr>
                <w:rFonts w:ascii="宋体" w:hAnsi="宋体" w:eastAsia="宋体" w:cs="宋体"/>
                <w:spacing w:val="10"/>
                <w:sz w:val="21"/>
                <w:szCs w:val="21"/>
              </w:rPr>
              <w:t>的控制室与其他建筑物合建时，</w:t>
            </w:r>
            <w:r>
              <w:rPr>
                <w:rFonts w:ascii="宋体" w:hAnsi="宋体" w:eastAsia="宋体" w:cs="宋体"/>
                <w:spacing w:val="13"/>
                <w:sz w:val="21"/>
                <w:szCs w:val="21"/>
              </w:rPr>
              <w:t>应设置独立的防火分区。</w:t>
            </w:r>
          </w:p>
          <w:p w14:paraId="1D519413">
            <w:pPr>
              <w:spacing w:before="24" w:line="237" w:lineRule="auto"/>
              <w:ind w:left="122" w:firstLine="479"/>
              <w:jc w:val="both"/>
              <w:rPr>
                <w:rFonts w:ascii="宋体" w:hAnsi="宋体" w:eastAsia="宋体" w:cs="宋体"/>
                <w:sz w:val="21"/>
                <w:szCs w:val="21"/>
              </w:rPr>
            </w:pPr>
            <w:r>
              <w:rPr>
                <w:rFonts w:ascii="宋体" w:hAnsi="宋体" w:eastAsia="宋体" w:cs="宋体"/>
                <w:spacing w:val="-16"/>
                <w:sz w:val="21"/>
                <w:szCs w:val="21"/>
              </w:rPr>
              <w:t>3.《粉尘防爆安全规程》(GB</w:t>
            </w:r>
            <w:r>
              <w:rPr>
                <w:rFonts w:ascii="宋体" w:hAnsi="宋体" w:eastAsia="宋体" w:cs="宋体"/>
                <w:sz w:val="21"/>
                <w:szCs w:val="21"/>
              </w:rPr>
              <w:t xml:space="preserve"> </w:t>
            </w:r>
            <w:r>
              <w:rPr>
                <w:rFonts w:ascii="宋体" w:hAnsi="宋体" w:eastAsia="宋体" w:cs="宋体"/>
                <w:spacing w:val="21"/>
                <w:sz w:val="21"/>
                <w:szCs w:val="21"/>
              </w:rPr>
              <w:t>15577-2018)5.7粉尘爆炸危</w:t>
            </w:r>
            <w:r>
              <w:rPr>
                <w:rFonts w:ascii="宋体" w:hAnsi="宋体" w:eastAsia="宋体" w:cs="宋体"/>
                <w:spacing w:val="12"/>
                <w:sz w:val="21"/>
                <w:szCs w:val="21"/>
              </w:rPr>
              <w:t>险场所应严格控制区域内作业</w:t>
            </w:r>
            <w:r>
              <w:rPr>
                <w:rFonts w:ascii="宋体" w:hAnsi="宋体" w:eastAsia="宋体" w:cs="宋体"/>
                <w:sz w:val="21"/>
                <w:szCs w:val="21"/>
              </w:rPr>
              <w:t>人员数量，不得设有休息室、会</w:t>
            </w:r>
            <w:r>
              <w:rPr>
                <w:rFonts w:ascii="宋体" w:hAnsi="宋体" w:eastAsia="宋体" w:cs="宋体"/>
                <w:spacing w:val="1"/>
                <w:sz w:val="21"/>
                <w:szCs w:val="21"/>
              </w:rPr>
              <w:t>议室等人员密集场所，与其他厂</w:t>
            </w:r>
            <w:r>
              <w:rPr>
                <w:rFonts w:ascii="宋体" w:hAnsi="宋体" w:eastAsia="宋体" w:cs="宋体"/>
                <w:spacing w:val="37"/>
                <w:sz w:val="21"/>
                <w:szCs w:val="21"/>
              </w:rPr>
              <w:t>房、员工宿舍等应不小于</w:t>
            </w:r>
            <w:r>
              <w:rPr>
                <w:rFonts w:ascii="宋体" w:hAnsi="宋体" w:eastAsia="宋体" w:cs="宋体"/>
                <w:sz w:val="21"/>
                <w:szCs w:val="21"/>
              </w:rPr>
              <w:t xml:space="preserve">GB </w:t>
            </w:r>
            <w:r>
              <w:rPr>
                <w:rFonts w:ascii="宋体" w:hAnsi="宋体" w:eastAsia="宋体" w:cs="宋体"/>
                <w:spacing w:val="7"/>
                <w:sz w:val="21"/>
                <w:szCs w:val="21"/>
              </w:rPr>
              <w:t>50016规定的防火安全距离。</w:t>
            </w:r>
          </w:p>
        </w:tc>
        <w:tc>
          <w:tcPr>
            <w:tcW w:w="2858" w:type="dxa"/>
            <w:noWrap w:val="0"/>
            <w:vAlign w:val="top"/>
          </w:tcPr>
          <w:p w14:paraId="20131133">
            <w:pPr>
              <w:rPr>
                <w:rFonts w:ascii="Arial"/>
                <w:sz w:val="21"/>
                <w:szCs w:val="21"/>
              </w:rPr>
            </w:pPr>
          </w:p>
        </w:tc>
        <w:tc>
          <w:tcPr>
            <w:tcW w:w="2838" w:type="dxa"/>
            <w:noWrap w:val="0"/>
            <w:vAlign w:val="top"/>
          </w:tcPr>
          <w:p w14:paraId="7D859A08">
            <w:pPr>
              <w:rPr>
                <w:rFonts w:ascii="Arial"/>
                <w:sz w:val="21"/>
                <w:szCs w:val="21"/>
              </w:rPr>
            </w:pPr>
          </w:p>
        </w:tc>
        <w:tc>
          <w:tcPr>
            <w:tcW w:w="1254" w:type="dxa"/>
            <w:noWrap w:val="0"/>
            <w:vAlign w:val="top"/>
          </w:tcPr>
          <w:p w14:paraId="3BFC8C84">
            <w:pPr>
              <w:rPr>
                <w:rFonts w:ascii="Arial"/>
                <w:sz w:val="21"/>
                <w:szCs w:val="21"/>
              </w:rPr>
            </w:pPr>
          </w:p>
        </w:tc>
      </w:tr>
      <w:tr w14:paraId="705B14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6" w:hRule="atLeast"/>
          <w:jc w:val="center"/>
        </w:trPr>
        <w:tc>
          <w:tcPr>
            <w:tcW w:w="864" w:type="dxa"/>
            <w:noWrap w:val="0"/>
            <w:vAlign w:val="top"/>
          </w:tcPr>
          <w:p w14:paraId="47929B4A">
            <w:pPr>
              <w:spacing w:line="256" w:lineRule="auto"/>
              <w:rPr>
                <w:rFonts w:ascii="Arial"/>
                <w:sz w:val="21"/>
                <w:szCs w:val="21"/>
              </w:rPr>
            </w:pPr>
          </w:p>
          <w:p w14:paraId="0849014A">
            <w:pPr>
              <w:spacing w:line="256" w:lineRule="auto"/>
              <w:rPr>
                <w:rFonts w:ascii="Arial"/>
                <w:sz w:val="21"/>
                <w:szCs w:val="21"/>
              </w:rPr>
            </w:pPr>
          </w:p>
          <w:p w14:paraId="008D003F">
            <w:pPr>
              <w:spacing w:line="257" w:lineRule="auto"/>
              <w:rPr>
                <w:rFonts w:ascii="Arial"/>
                <w:sz w:val="21"/>
                <w:szCs w:val="21"/>
              </w:rPr>
            </w:pPr>
          </w:p>
          <w:p w14:paraId="55BEBC4F">
            <w:pPr>
              <w:spacing w:line="257" w:lineRule="auto"/>
              <w:rPr>
                <w:rFonts w:ascii="Arial"/>
                <w:sz w:val="21"/>
                <w:szCs w:val="21"/>
              </w:rPr>
            </w:pPr>
          </w:p>
          <w:p w14:paraId="7093B6F6">
            <w:pPr>
              <w:spacing w:line="257" w:lineRule="auto"/>
              <w:rPr>
                <w:rFonts w:ascii="Arial"/>
                <w:sz w:val="21"/>
                <w:szCs w:val="21"/>
              </w:rPr>
            </w:pPr>
          </w:p>
          <w:p w14:paraId="7BCCC054">
            <w:pPr>
              <w:spacing w:line="257" w:lineRule="auto"/>
              <w:rPr>
                <w:rFonts w:ascii="Arial"/>
                <w:sz w:val="21"/>
                <w:szCs w:val="21"/>
              </w:rPr>
            </w:pPr>
          </w:p>
          <w:p w14:paraId="5A6CAFC8">
            <w:pPr>
              <w:spacing w:line="257" w:lineRule="auto"/>
              <w:rPr>
                <w:rFonts w:ascii="Arial"/>
                <w:sz w:val="21"/>
                <w:szCs w:val="21"/>
              </w:rPr>
            </w:pPr>
          </w:p>
          <w:p w14:paraId="149BDA63">
            <w:pPr>
              <w:spacing w:before="78" w:line="184" w:lineRule="auto"/>
              <w:ind w:left="305"/>
              <w:rPr>
                <w:rFonts w:ascii="宋体" w:hAnsi="宋体" w:eastAsia="宋体" w:cs="宋体"/>
                <w:sz w:val="21"/>
                <w:szCs w:val="21"/>
              </w:rPr>
            </w:pPr>
            <w:r>
              <w:rPr>
                <w:rFonts w:ascii="宋体" w:hAnsi="宋体" w:eastAsia="宋体" w:cs="宋体"/>
                <w:spacing w:val="-7"/>
                <w:sz w:val="21"/>
                <w:szCs w:val="21"/>
              </w:rPr>
              <w:t>1</w:t>
            </w:r>
            <w:r>
              <w:rPr>
                <w:rFonts w:hint="eastAsia" w:ascii="宋体" w:hAnsi="宋体" w:eastAsia="宋体" w:cs="宋体"/>
                <w:spacing w:val="-7"/>
                <w:sz w:val="21"/>
                <w:szCs w:val="21"/>
                <w:lang w:val="en-US" w:eastAsia="zh-CN"/>
              </w:rPr>
              <w:t>5</w:t>
            </w:r>
          </w:p>
        </w:tc>
        <w:tc>
          <w:tcPr>
            <w:tcW w:w="2239" w:type="dxa"/>
            <w:noWrap w:val="0"/>
            <w:vAlign w:val="top"/>
          </w:tcPr>
          <w:p w14:paraId="7397368D">
            <w:pPr>
              <w:spacing w:line="282" w:lineRule="auto"/>
              <w:rPr>
                <w:rFonts w:ascii="Arial"/>
                <w:sz w:val="21"/>
                <w:szCs w:val="21"/>
              </w:rPr>
            </w:pPr>
          </w:p>
          <w:p w14:paraId="363B3E52">
            <w:pPr>
              <w:spacing w:line="282" w:lineRule="auto"/>
              <w:rPr>
                <w:rFonts w:ascii="Arial"/>
                <w:sz w:val="21"/>
                <w:szCs w:val="21"/>
              </w:rPr>
            </w:pPr>
          </w:p>
          <w:p w14:paraId="00B45CAC">
            <w:pPr>
              <w:spacing w:line="282" w:lineRule="auto"/>
              <w:rPr>
                <w:rFonts w:ascii="Arial"/>
                <w:sz w:val="21"/>
                <w:szCs w:val="21"/>
              </w:rPr>
            </w:pPr>
          </w:p>
          <w:p w14:paraId="16BA6952">
            <w:pPr>
              <w:spacing w:line="283" w:lineRule="auto"/>
              <w:rPr>
                <w:rFonts w:ascii="Arial"/>
                <w:sz w:val="21"/>
                <w:szCs w:val="21"/>
              </w:rPr>
            </w:pPr>
          </w:p>
          <w:p w14:paraId="2DDE8D1C">
            <w:pPr>
              <w:spacing w:before="78" w:line="244" w:lineRule="auto"/>
              <w:ind w:left="91" w:right="37" w:firstLine="59"/>
              <w:jc w:val="both"/>
              <w:rPr>
                <w:rFonts w:ascii="宋体" w:hAnsi="宋体" w:eastAsia="宋体" w:cs="宋体"/>
                <w:sz w:val="21"/>
                <w:szCs w:val="21"/>
              </w:rPr>
            </w:pPr>
            <w:r>
              <w:rPr>
                <w:rFonts w:ascii="宋体" w:hAnsi="宋体" w:eastAsia="宋体" w:cs="宋体"/>
                <w:spacing w:val="15"/>
                <w:sz w:val="21"/>
                <w:szCs w:val="21"/>
              </w:rPr>
              <w:t>危险化学品生产、</w:t>
            </w:r>
            <w:r>
              <w:rPr>
                <w:rFonts w:ascii="宋体" w:hAnsi="宋体" w:eastAsia="宋体" w:cs="宋体"/>
                <w:spacing w:val="9"/>
                <w:sz w:val="21"/>
                <w:szCs w:val="21"/>
              </w:rPr>
              <w:t>经营企业主要负责</w:t>
            </w:r>
            <w:r>
              <w:rPr>
                <w:rFonts w:ascii="宋体" w:hAnsi="宋体" w:eastAsia="宋体" w:cs="宋体"/>
                <w:spacing w:val="6"/>
                <w:sz w:val="21"/>
                <w:szCs w:val="21"/>
              </w:rPr>
              <w:t>人和安全生产管理</w:t>
            </w:r>
            <w:r>
              <w:rPr>
                <w:rFonts w:ascii="宋体" w:hAnsi="宋体" w:eastAsia="宋体" w:cs="宋体"/>
                <w:spacing w:val="9"/>
                <w:sz w:val="21"/>
                <w:szCs w:val="21"/>
              </w:rPr>
              <w:t>人员未依法经考核</w:t>
            </w:r>
            <w:r>
              <w:rPr>
                <w:rFonts w:ascii="宋体" w:hAnsi="宋体" w:eastAsia="宋体" w:cs="宋体"/>
                <w:spacing w:val="-7"/>
                <w:sz w:val="21"/>
                <w:szCs w:val="21"/>
              </w:rPr>
              <w:t>合格。</w:t>
            </w:r>
          </w:p>
        </w:tc>
        <w:tc>
          <w:tcPr>
            <w:tcW w:w="3507" w:type="dxa"/>
            <w:noWrap w:val="0"/>
            <w:vAlign w:val="top"/>
          </w:tcPr>
          <w:p w14:paraId="233D64D1">
            <w:pPr>
              <w:spacing w:before="117" w:line="241" w:lineRule="auto"/>
              <w:ind w:left="122" w:right="1" w:firstLine="489"/>
              <w:rPr>
                <w:rFonts w:ascii="宋体" w:hAnsi="宋体" w:eastAsia="宋体" w:cs="宋体"/>
                <w:sz w:val="21"/>
                <w:szCs w:val="21"/>
              </w:rPr>
            </w:pPr>
            <w:r>
              <w:rPr>
                <w:rFonts w:ascii="宋体" w:hAnsi="宋体" w:eastAsia="宋体" w:cs="宋体"/>
                <w:spacing w:val="-11"/>
                <w:sz w:val="21"/>
                <w:szCs w:val="21"/>
              </w:rPr>
              <w:t>1.《中华人民共和国安全生</w:t>
            </w:r>
            <w:r>
              <w:rPr>
                <w:rFonts w:ascii="宋体" w:hAnsi="宋体" w:eastAsia="宋体" w:cs="宋体"/>
                <w:sz w:val="21"/>
                <w:szCs w:val="21"/>
              </w:rPr>
              <w:t>产法》第二十七条第一款、第二</w:t>
            </w:r>
            <w:r>
              <w:rPr>
                <w:rFonts w:ascii="宋体" w:hAnsi="宋体" w:eastAsia="宋体" w:cs="宋体"/>
                <w:spacing w:val="8"/>
                <w:sz w:val="21"/>
                <w:szCs w:val="21"/>
              </w:rPr>
              <w:t>款生产经营单位的主要负责</w:t>
            </w:r>
            <w:r>
              <w:rPr>
                <w:rFonts w:ascii="宋体" w:hAnsi="宋体" w:eastAsia="宋体" w:cs="宋体"/>
                <w:spacing w:val="11"/>
                <w:sz w:val="21"/>
                <w:szCs w:val="21"/>
              </w:rPr>
              <w:t>人和安全生产管理人员必须具</w:t>
            </w:r>
            <w:r>
              <w:rPr>
                <w:rFonts w:ascii="宋体" w:hAnsi="宋体" w:eastAsia="宋体" w:cs="宋体"/>
                <w:spacing w:val="10"/>
                <w:sz w:val="21"/>
                <w:szCs w:val="21"/>
              </w:rPr>
              <w:t>备与本单位所从事的生产经营活动相应的安全生产知识和管</w:t>
            </w:r>
            <w:r>
              <w:rPr>
                <w:rFonts w:ascii="宋体" w:hAnsi="宋体" w:eastAsia="宋体" w:cs="宋体"/>
                <w:spacing w:val="24"/>
                <w:sz w:val="21"/>
                <w:szCs w:val="21"/>
              </w:rPr>
              <w:t>理能力。</w:t>
            </w:r>
          </w:p>
          <w:p w14:paraId="17A393CF">
            <w:pPr>
              <w:spacing w:before="57" w:line="242" w:lineRule="auto"/>
              <w:ind w:left="122" w:firstLine="479"/>
              <w:rPr>
                <w:rFonts w:ascii="宋体" w:hAnsi="宋体" w:eastAsia="宋体" w:cs="宋体"/>
                <w:sz w:val="21"/>
                <w:szCs w:val="21"/>
              </w:rPr>
            </w:pPr>
            <w:r>
              <w:rPr>
                <w:rFonts w:ascii="宋体" w:hAnsi="宋体" w:eastAsia="宋体" w:cs="宋体"/>
                <w:spacing w:val="10"/>
                <w:sz w:val="21"/>
                <w:szCs w:val="21"/>
              </w:rPr>
              <w:t>危险物品的生产、经营、储</w:t>
            </w:r>
            <w:r>
              <w:rPr>
                <w:rFonts w:ascii="宋体" w:hAnsi="宋体" w:eastAsia="宋体" w:cs="宋体"/>
                <w:spacing w:val="11"/>
                <w:sz w:val="21"/>
                <w:szCs w:val="21"/>
              </w:rPr>
              <w:t>存、装卸单位以及矿山、金属冶</w:t>
            </w:r>
            <w:r>
              <w:rPr>
                <w:rFonts w:ascii="宋体" w:hAnsi="宋体" w:eastAsia="宋体" w:cs="宋体"/>
                <w:spacing w:val="10"/>
                <w:sz w:val="21"/>
                <w:szCs w:val="21"/>
              </w:rPr>
              <w:t>炼、建筑施工、运输单位的主要负责人和安全生产管理人员，应</w:t>
            </w:r>
            <w:r>
              <w:rPr>
                <w:rFonts w:ascii="宋体" w:hAnsi="宋体" w:eastAsia="宋体" w:cs="宋体"/>
                <w:spacing w:val="21"/>
                <w:sz w:val="21"/>
                <w:szCs w:val="21"/>
              </w:rPr>
              <w:t>当由主管的负有安全生产监督</w:t>
            </w:r>
          </w:p>
        </w:tc>
        <w:tc>
          <w:tcPr>
            <w:tcW w:w="2858" w:type="dxa"/>
            <w:noWrap w:val="0"/>
            <w:vAlign w:val="top"/>
          </w:tcPr>
          <w:p w14:paraId="6B574525">
            <w:pPr>
              <w:rPr>
                <w:rFonts w:ascii="Arial"/>
                <w:sz w:val="21"/>
                <w:szCs w:val="21"/>
              </w:rPr>
            </w:pPr>
          </w:p>
        </w:tc>
        <w:tc>
          <w:tcPr>
            <w:tcW w:w="2838" w:type="dxa"/>
            <w:noWrap w:val="0"/>
            <w:vAlign w:val="top"/>
          </w:tcPr>
          <w:p w14:paraId="26AA2392">
            <w:pPr>
              <w:spacing w:before="78" w:line="254" w:lineRule="auto"/>
              <w:ind w:left="126" w:firstLine="468"/>
              <w:jc w:val="both"/>
              <w:rPr>
                <w:rFonts w:ascii="宋体" w:hAnsi="宋体" w:eastAsia="宋体" w:cs="宋体"/>
                <w:sz w:val="21"/>
                <w:szCs w:val="21"/>
              </w:rPr>
            </w:pPr>
            <w:r>
              <w:rPr>
                <w:rFonts w:ascii="宋体" w:hAnsi="宋体" w:eastAsia="宋体" w:cs="宋体"/>
                <w:spacing w:val="28"/>
                <w:sz w:val="21"/>
                <w:szCs w:val="21"/>
              </w:rPr>
              <w:t>《中华人民共和国</w:t>
            </w:r>
            <w:r>
              <w:rPr>
                <w:rFonts w:ascii="宋体" w:hAnsi="宋体" w:eastAsia="宋体" w:cs="宋体"/>
                <w:spacing w:val="5"/>
                <w:sz w:val="21"/>
                <w:szCs w:val="21"/>
              </w:rPr>
              <w:t>安全生产法》第九十七条</w:t>
            </w:r>
            <w:r>
              <w:rPr>
                <w:rFonts w:ascii="宋体" w:hAnsi="宋体" w:eastAsia="宋体" w:cs="宋体"/>
                <w:spacing w:val="19"/>
                <w:sz w:val="21"/>
                <w:szCs w:val="21"/>
              </w:rPr>
              <w:t>第二项生产经营单位</w:t>
            </w:r>
            <w:r>
              <w:rPr>
                <w:rFonts w:ascii="宋体" w:hAnsi="宋体" w:eastAsia="宋体" w:cs="宋体"/>
                <w:spacing w:val="5"/>
                <w:sz w:val="21"/>
                <w:szCs w:val="21"/>
              </w:rPr>
              <w:t>有下列行为之一的，责令</w:t>
            </w:r>
            <w:r>
              <w:rPr>
                <w:rFonts w:ascii="宋体" w:hAnsi="宋体" w:eastAsia="宋体" w:cs="宋体"/>
                <w:spacing w:val="6"/>
                <w:sz w:val="21"/>
                <w:szCs w:val="21"/>
              </w:rPr>
              <w:t>限期改正，处十万元以下</w:t>
            </w:r>
            <w:r>
              <w:rPr>
                <w:rFonts w:ascii="宋体" w:hAnsi="宋体" w:eastAsia="宋体" w:cs="宋体"/>
                <w:spacing w:val="15"/>
                <w:sz w:val="21"/>
                <w:szCs w:val="21"/>
              </w:rPr>
              <w:t>的罚款；逾期未改正的，</w:t>
            </w:r>
            <w:r>
              <w:rPr>
                <w:rFonts w:ascii="宋体" w:hAnsi="宋体" w:eastAsia="宋体" w:cs="宋体"/>
                <w:spacing w:val="5"/>
                <w:sz w:val="21"/>
                <w:szCs w:val="21"/>
              </w:rPr>
              <w:t>责令停产停业整顿，并处</w:t>
            </w:r>
            <w:r>
              <w:rPr>
                <w:rFonts w:ascii="宋体" w:hAnsi="宋体" w:eastAsia="宋体" w:cs="宋体"/>
                <w:spacing w:val="23"/>
                <w:sz w:val="21"/>
                <w:szCs w:val="21"/>
              </w:rPr>
              <w:t>十万元以上二十万元以</w:t>
            </w:r>
            <w:r>
              <w:rPr>
                <w:rFonts w:ascii="宋体" w:hAnsi="宋体" w:eastAsia="宋体" w:cs="宋体"/>
                <w:spacing w:val="6"/>
                <w:sz w:val="21"/>
                <w:szCs w:val="21"/>
              </w:rPr>
              <w:t>下的罚款，对其直接负责</w:t>
            </w:r>
            <w:r>
              <w:rPr>
                <w:rFonts w:ascii="宋体" w:hAnsi="宋体" w:eastAsia="宋体" w:cs="宋体"/>
                <w:spacing w:val="25"/>
                <w:sz w:val="21"/>
                <w:szCs w:val="21"/>
              </w:rPr>
              <w:t>的主管人员和其他直接</w:t>
            </w:r>
            <w:r>
              <w:rPr>
                <w:rFonts w:ascii="宋体" w:hAnsi="宋体" w:eastAsia="宋体" w:cs="宋体"/>
                <w:spacing w:val="21"/>
                <w:sz w:val="21"/>
                <w:szCs w:val="21"/>
              </w:rPr>
              <w:t>责任人员处二万元以上</w:t>
            </w:r>
            <w:r>
              <w:rPr>
                <w:rFonts w:ascii="宋体" w:hAnsi="宋体" w:eastAsia="宋体" w:cs="宋体"/>
                <w:spacing w:val="17"/>
                <w:sz w:val="21"/>
                <w:szCs w:val="21"/>
              </w:rPr>
              <w:t>五万元以下的罚款：</w:t>
            </w:r>
          </w:p>
        </w:tc>
        <w:tc>
          <w:tcPr>
            <w:tcW w:w="1254" w:type="dxa"/>
            <w:noWrap w:val="0"/>
            <w:vAlign w:val="top"/>
          </w:tcPr>
          <w:p w14:paraId="62E78258">
            <w:pPr>
              <w:spacing w:line="266" w:lineRule="auto"/>
              <w:rPr>
                <w:rFonts w:ascii="Arial"/>
                <w:sz w:val="21"/>
                <w:szCs w:val="21"/>
              </w:rPr>
            </w:pPr>
          </w:p>
          <w:p w14:paraId="24B8222B">
            <w:pPr>
              <w:spacing w:line="266" w:lineRule="auto"/>
              <w:rPr>
                <w:rFonts w:ascii="Arial"/>
                <w:sz w:val="21"/>
                <w:szCs w:val="21"/>
              </w:rPr>
            </w:pPr>
          </w:p>
          <w:p w14:paraId="1D39397D">
            <w:pPr>
              <w:spacing w:line="266" w:lineRule="auto"/>
              <w:rPr>
                <w:rFonts w:ascii="Arial"/>
                <w:sz w:val="21"/>
                <w:szCs w:val="21"/>
              </w:rPr>
            </w:pPr>
          </w:p>
          <w:p w14:paraId="3026D32E">
            <w:pPr>
              <w:spacing w:line="267" w:lineRule="auto"/>
              <w:rPr>
                <w:rFonts w:ascii="Arial"/>
                <w:sz w:val="21"/>
                <w:szCs w:val="21"/>
              </w:rPr>
            </w:pPr>
          </w:p>
          <w:p w14:paraId="653AF5AA">
            <w:pPr>
              <w:spacing w:line="267" w:lineRule="auto"/>
              <w:rPr>
                <w:rFonts w:ascii="Arial"/>
                <w:sz w:val="21"/>
                <w:szCs w:val="21"/>
              </w:rPr>
            </w:pPr>
          </w:p>
          <w:p w14:paraId="66CABB34">
            <w:pPr>
              <w:spacing w:line="267" w:lineRule="auto"/>
              <w:rPr>
                <w:rFonts w:ascii="Arial"/>
                <w:sz w:val="21"/>
                <w:szCs w:val="21"/>
              </w:rPr>
            </w:pPr>
          </w:p>
          <w:p w14:paraId="6B7E9B9F">
            <w:pPr>
              <w:spacing w:before="78" w:line="232" w:lineRule="auto"/>
              <w:ind w:left="129" w:right="130"/>
              <w:rPr>
                <w:rFonts w:ascii="宋体" w:hAnsi="宋体" w:eastAsia="宋体" w:cs="宋体"/>
                <w:sz w:val="21"/>
                <w:szCs w:val="21"/>
              </w:rPr>
            </w:pPr>
            <w:r>
              <w:rPr>
                <w:rFonts w:ascii="宋体" w:hAnsi="宋体" w:eastAsia="宋体" w:cs="宋体"/>
                <w:spacing w:val="6"/>
                <w:sz w:val="21"/>
                <w:szCs w:val="21"/>
              </w:rPr>
              <w:t>重大隐患</w:t>
            </w:r>
            <w:r>
              <w:rPr>
                <w:rFonts w:ascii="宋体" w:hAnsi="宋体" w:eastAsia="宋体" w:cs="宋体"/>
                <w:spacing w:val="4"/>
                <w:sz w:val="21"/>
                <w:szCs w:val="21"/>
              </w:rPr>
              <w:t>管理</w:t>
            </w:r>
          </w:p>
        </w:tc>
      </w:tr>
    </w:tbl>
    <w:p w14:paraId="3832E193">
      <w:pPr>
        <w:spacing w:line="129" w:lineRule="exact"/>
      </w:pPr>
    </w:p>
    <w:p w14:paraId="6E54D324">
      <w:pPr>
        <w:rPr>
          <w:rFonts w:ascii="Arial"/>
          <w:sz w:val="21"/>
        </w:rPr>
      </w:pPr>
    </w:p>
    <w:p w14:paraId="4C08BB54">
      <w:pPr>
        <w:sectPr>
          <w:pgSz w:w="16840" w:h="11900"/>
          <w:pgMar w:top="1440" w:right="1080" w:bottom="1440" w:left="1080" w:header="0" w:footer="0" w:gutter="0"/>
          <w:pgNumType w:fmt="decimal"/>
          <w:cols w:space="720" w:num="1"/>
        </w:sectPr>
      </w:pPr>
    </w:p>
    <w:p w14:paraId="1100529D"/>
    <w:p w14:paraId="5DD07EA6"/>
    <w:p w14:paraId="54EC6B33">
      <w:pPr>
        <w:spacing w:line="210" w:lineRule="exact"/>
      </w:pP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4"/>
        <w:gridCol w:w="2228"/>
        <w:gridCol w:w="3498"/>
        <w:gridCol w:w="2878"/>
        <w:gridCol w:w="2838"/>
        <w:gridCol w:w="1254"/>
      </w:tblGrid>
      <w:tr w14:paraId="52AE1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jc w:val="center"/>
        </w:trPr>
        <w:tc>
          <w:tcPr>
            <w:tcW w:w="864" w:type="dxa"/>
            <w:noWrap w:val="0"/>
            <w:vAlign w:val="top"/>
          </w:tcPr>
          <w:p w14:paraId="1D2AABEA">
            <w:pPr>
              <w:spacing w:before="226" w:line="221" w:lineRule="auto"/>
              <w:ind w:left="185"/>
              <w:rPr>
                <w:rFonts w:ascii="宋体" w:hAnsi="宋体" w:eastAsia="宋体" w:cs="宋体"/>
                <w:b/>
                <w:bCs/>
                <w:sz w:val="24"/>
                <w:szCs w:val="24"/>
              </w:rPr>
            </w:pPr>
            <w:r>
              <w:rPr>
                <w:rFonts w:ascii="宋体" w:hAnsi="宋体" w:eastAsia="宋体" w:cs="宋体"/>
                <w:b/>
                <w:bCs/>
                <w:spacing w:val="7"/>
                <w:sz w:val="24"/>
                <w:szCs w:val="24"/>
              </w:rPr>
              <w:t>序号</w:t>
            </w:r>
          </w:p>
        </w:tc>
        <w:tc>
          <w:tcPr>
            <w:tcW w:w="2228" w:type="dxa"/>
            <w:noWrap w:val="0"/>
            <w:vAlign w:val="top"/>
          </w:tcPr>
          <w:p w14:paraId="1E43EF8F">
            <w:pPr>
              <w:spacing w:before="95" w:line="219" w:lineRule="auto"/>
              <w:ind w:left="621"/>
              <w:rPr>
                <w:rFonts w:ascii="宋体" w:hAnsi="宋体" w:eastAsia="宋体" w:cs="宋体"/>
                <w:b/>
                <w:bCs/>
                <w:sz w:val="24"/>
                <w:szCs w:val="24"/>
              </w:rPr>
            </w:pPr>
            <w:r>
              <w:rPr>
                <w:rFonts w:ascii="宋体" w:hAnsi="宋体" w:eastAsia="宋体" w:cs="宋体"/>
                <w:b/>
                <w:bCs/>
                <w:spacing w:val="3"/>
                <w:sz w:val="24"/>
                <w:szCs w:val="24"/>
              </w:rPr>
              <w:t>执法检查</w:t>
            </w:r>
          </w:p>
          <w:p w14:paraId="44EDF7D4">
            <w:pPr>
              <w:spacing w:before="34" w:line="200" w:lineRule="auto"/>
              <w:ind w:left="381"/>
              <w:rPr>
                <w:rFonts w:ascii="宋体" w:hAnsi="宋体" w:eastAsia="宋体" w:cs="宋体"/>
                <w:b/>
                <w:bCs/>
                <w:sz w:val="24"/>
                <w:szCs w:val="24"/>
              </w:rPr>
            </w:pPr>
            <w:r>
              <w:rPr>
                <w:rFonts w:ascii="宋体" w:hAnsi="宋体" w:eastAsia="宋体" w:cs="宋体"/>
                <w:b/>
                <w:bCs/>
                <w:spacing w:val="2"/>
                <w:sz w:val="24"/>
                <w:szCs w:val="24"/>
              </w:rPr>
              <w:t>重点事项内容</w:t>
            </w:r>
          </w:p>
        </w:tc>
        <w:tc>
          <w:tcPr>
            <w:tcW w:w="3498" w:type="dxa"/>
            <w:noWrap w:val="0"/>
            <w:vAlign w:val="top"/>
          </w:tcPr>
          <w:p w14:paraId="7D85360D">
            <w:pPr>
              <w:spacing w:before="223" w:line="219" w:lineRule="auto"/>
              <w:ind w:left="1033"/>
              <w:rPr>
                <w:rFonts w:ascii="宋体" w:hAnsi="宋体" w:eastAsia="宋体" w:cs="宋体"/>
                <w:b/>
                <w:bCs/>
                <w:sz w:val="24"/>
                <w:szCs w:val="24"/>
              </w:rPr>
            </w:pPr>
            <w:r>
              <w:rPr>
                <w:rFonts w:ascii="宋体" w:hAnsi="宋体" w:eastAsia="宋体" w:cs="宋体"/>
                <w:b/>
                <w:bCs/>
                <w:spacing w:val="2"/>
                <w:sz w:val="24"/>
                <w:szCs w:val="24"/>
              </w:rPr>
              <w:t>执法检查依据</w:t>
            </w:r>
          </w:p>
        </w:tc>
        <w:tc>
          <w:tcPr>
            <w:tcW w:w="2878" w:type="dxa"/>
            <w:noWrap w:val="0"/>
            <w:vAlign w:val="top"/>
          </w:tcPr>
          <w:p w14:paraId="14FC02A3">
            <w:pPr>
              <w:spacing w:before="95" w:line="220" w:lineRule="auto"/>
              <w:ind w:left="834"/>
              <w:rPr>
                <w:rFonts w:ascii="宋体" w:hAnsi="宋体" w:eastAsia="宋体" w:cs="宋体"/>
                <w:b/>
                <w:bCs/>
                <w:sz w:val="24"/>
                <w:szCs w:val="24"/>
              </w:rPr>
            </w:pPr>
            <w:r>
              <w:rPr>
                <w:rFonts w:ascii="宋体" w:hAnsi="宋体" w:eastAsia="宋体" w:cs="宋体"/>
                <w:b/>
                <w:bCs/>
                <w:spacing w:val="-2"/>
                <w:sz w:val="24"/>
                <w:szCs w:val="24"/>
              </w:rPr>
              <w:t>有关规范性</w:t>
            </w:r>
          </w:p>
          <w:p w14:paraId="11310153">
            <w:pPr>
              <w:spacing w:before="23" w:line="207" w:lineRule="auto"/>
              <w:ind w:left="595"/>
              <w:rPr>
                <w:rFonts w:ascii="宋体" w:hAnsi="宋体" w:eastAsia="宋体" w:cs="宋体"/>
                <w:b/>
                <w:bCs/>
                <w:sz w:val="24"/>
                <w:szCs w:val="24"/>
              </w:rPr>
            </w:pPr>
            <w:r>
              <w:rPr>
                <w:rFonts w:ascii="宋体" w:hAnsi="宋体" w:eastAsia="宋体" w:cs="宋体"/>
                <w:b/>
                <w:bCs/>
                <w:spacing w:val="1"/>
                <w:sz w:val="24"/>
                <w:szCs w:val="24"/>
              </w:rPr>
              <w:t>文件及标准要求</w:t>
            </w:r>
          </w:p>
        </w:tc>
        <w:tc>
          <w:tcPr>
            <w:tcW w:w="2838" w:type="dxa"/>
            <w:noWrap w:val="0"/>
            <w:vAlign w:val="top"/>
          </w:tcPr>
          <w:p w14:paraId="1B45683A">
            <w:pPr>
              <w:spacing w:before="223" w:line="219" w:lineRule="auto"/>
              <w:ind w:left="936"/>
              <w:rPr>
                <w:rFonts w:ascii="宋体" w:hAnsi="宋体" w:eastAsia="宋体" w:cs="宋体"/>
                <w:b/>
                <w:bCs/>
                <w:sz w:val="24"/>
                <w:szCs w:val="24"/>
              </w:rPr>
            </w:pPr>
            <w:r>
              <w:rPr>
                <w:rFonts w:ascii="宋体" w:hAnsi="宋体" w:eastAsia="宋体" w:cs="宋体"/>
                <w:b/>
                <w:bCs/>
                <w:spacing w:val="8"/>
                <w:sz w:val="24"/>
                <w:szCs w:val="24"/>
              </w:rPr>
              <w:t>处罚依据</w:t>
            </w:r>
          </w:p>
        </w:tc>
        <w:tc>
          <w:tcPr>
            <w:tcW w:w="1254" w:type="dxa"/>
            <w:noWrap w:val="0"/>
            <w:vAlign w:val="top"/>
          </w:tcPr>
          <w:p w14:paraId="5D96FFF9">
            <w:pPr>
              <w:spacing w:before="222" w:line="221" w:lineRule="auto"/>
              <w:ind w:left="392"/>
              <w:rPr>
                <w:rFonts w:ascii="宋体" w:hAnsi="宋体" w:eastAsia="宋体" w:cs="宋体"/>
                <w:b/>
                <w:bCs/>
                <w:sz w:val="24"/>
                <w:szCs w:val="24"/>
              </w:rPr>
            </w:pPr>
            <w:r>
              <w:rPr>
                <w:rFonts w:ascii="宋体" w:hAnsi="宋体" w:eastAsia="宋体" w:cs="宋体"/>
                <w:b/>
                <w:bCs/>
                <w:spacing w:val="-6"/>
                <w:sz w:val="24"/>
                <w:szCs w:val="24"/>
              </w:rPr>
              <w:t>备注</w:t>
            </w:r>
          </w:p>
        </w:tc>
      </w:tr>
      <w:tr w14:paraId="227A31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6" w:hRule="atLeast"/>
          <w:jc w:val="center"/>
        </w:trPr>
        <w:tc>
          <w:tcPr>
            <w:tcW w:w="864" w:type="dxa"/>
            <w:noWrap w:val="0"/>
            <w:vAlign w:val="top"/>
          </w:tcPr>
          <w:p w14:paraId="6FEAD8E0">
            <w:pPr>
              <w:rPr>
                <w:rFonts w:ascii="Arial"/>
                <w:sz w:val="21"/>
              </w:rPr>
            </w:pPr>
          </w:p>
        </w:tc>
        <w:tc>
          <w:tcPr>
            <w:tcW w:w="2228" w:type="dxa"/>
            <w:noWrap w:val="0"/>
            <w:vAlign w:val="top"/>
          </w:tcPr>
          <w:p w14:paraId="5EF7C465">
            <w:pPr>
              <w:rPr>
                <w:rFonts w:ascii="Arial"/>
                <w:sz w:val="21"/>
                <w:szCs w:val="21"/>
              </w:rPr>
            </w:pPr>
          </w:p>
        </w:tc>
        <w:tc>
          <w:tcPr>
            <w:tcW w:w="3498" w:type="dxa"/>
            <w:noWrap w:val="0"/>
            <w:vAlign w:val="top"/>
          </w:tcPr>
          <w:p w14:paraId="240E3A5E">
            <w:pPr>
              <w:spacing w:before="90" w:line="213" w:lineRule="auto"/>
              <w:ind w:left="143"/>
              <w:rPr>
                <w:rFonts w:ascii="宋体" w:hAnsi="宋体" w:eastAsia="宋体" w:cs="宋体"/>
                <w:spacing w:val="10"/>
                <w:sz w:val="21"/>
                <w:szCs w:val="21"/>
              </w:rPr>
            </w:pPr>
            <w:r>
              <w:rPr>
                <w:rFonts w:ascii="宋体" w:hAnsi="宋体" w:eastAsia="宋体" w:cs="宋体"/>
                <w:spacing w:val="10"/>
                <w:sz w:val="21"/>
                <w:szCs w:val="21"/>
              </w:rPr>
              <w:t>管理职责的部门对其安全生产</w:t>
            </w:r>
          </w:p>
          <w:p w14:paraId="09661BE1">
            <w:pPr>
              <w:spacing w:before="63" w:line="204" w:lineRule="auto"/>
              <w:ind w:left="143"/>
              <w:rPr>
                <w:rFonts w:ascii="宋体" w:hAnsi="宋体" w:eastAsia="宋体" w:cs="宋体"/>
                <w:sz w:val="21"/>
                <w:szCs w:val="21"/>
              </w:rPr>
            </w:pPr>
            <w:r>
              <w:rPr>
                <w:rFonts w:ascii="宋体" w:hAnsi="宋体" w:eastAsia="宋体" w:cs="宋体"/>
                <w:spacing w:val="10"/>
                <w:sz w:val="21"/>
                <w:szCs w:val="21"/>
              </w:rPr>
              <w:t>知识和管理能力考核合格。</w:t>
            </w:r>
          </w:p>
          <w:p w14:paraId="40E219AC">
            <w:pPr>
              <w:spacing w:before="34" w:line="212" w:lineRule="auto"/>
              <w:ind w:left="583"/>
              <w:rPr>
                <w:rFonts w:ascii="宋体" w:hAnsi="宋体" w:eastAsia="宋体" w:cs="宋体"/>
                <w:sz w:val="21"/>
                <w:szCs w:val="21"/>
              </w:rPr>
            </w:pPr>
            <w:r>
              <w:rPr>
                <w:rFonts w:ascii="宋体" w:hAnsi="宋体" w:eastAsia="宋体" w:cs="宋体"/>
                <w:spacing w:val="-10"/>
                <w:sz w:val="21"/>
                <w:szCs w:val="21"/>
              </w:rPr>
              <w:t>2.《化工和危险化学品生产</w:t>
            </w:r>
          </w:p>
          <w:p w14:paraId="31DD8716">
            <w:pPr>
              <w:spacing w:before="44" w:line="212" w:lineRule="auto"/>
              <w:ind w:left="143"/>
              <w:rPr>
                <w:rFonts w:ascii="宋体" w:hAnsi="宋体" w:eastAsia="宋体" w:cs="宋体"/>
                <w:sz w:val="21"/>
                <w:szCs w:val="21"/>
              </w:rPr>
            </w:pPr>
            <w:r>
              <w:rPr>
                <w:rFonts w:ascii="宋体" w:hAnsi="宋体" w:eastAsia="宋体" w:cs="宋体"/>
                <w:spacing w:val="13"/>
                <w:sz w:val="21"/>
                <w:szCs w:val="21"/>
              </w:rPr>
              <w:t>经营单位重大生产安全事故隐</w:t>
            </w:r>
          </w:p>
          <w:p w14:paraId="631CEFCE">
            <w:pPr>
              <w:spacing w:before="46" w:line="210" w:lineRule="auto"/>
              <w:ind w:left="143"/>
              <w:rPr>
                <w:rFonts w:ascii="宋体" w:hAnsi="宋体" w:eastAsia="宋体" w:cs="宋体"/>
                <w:sz w:val="21"/>
                <w:szCs w:val="21"/>
              </w:rPr>
            </w:pPr>
            <w:r>
              <w:rPr>
                <w:rFonts w:ascii="宋体" w:hAnsi="宋体" w:eastAsia="宋体" w:cs="宋体"/>
                <w:spacing w:val="18"/>
                <w:sz w:val="21"/>
                <w:szCs w:val="21"/>
              </w:rPr>
              <w:t>患判定标准(试行)》(安监总</w:t>
            </w:r>
          </w:p>
          <w:p w14:paraId="75D0356E">
            <w:pPr>
              <w:spacing w:before="45" w:line="215" w:lineRule="auto"/>
              <w:ind w:left="143"/>
              <w:rPr>
                <w:rFonts w:ascii="宋体" w:hAnsi="宋体" w:eastAsia="宋体" w:cs="宋体"/>
                <w:sz w:val="21"/>
                <w:szCs w:val="21"/>
              </w:rPr>
            </w:pPr>
            <w:r>
              <w:rPr>
                <w:rFonts w:ascii="宋体" w:hAnsi="宋体" w:eastAsia="宋体" w:cs="宋体"/>
                <w:spacing w:val="1"/>
                <w:sz w:val="21"/>
                <w:szCs w:val="21"/>
              </w:rPr>
              <w:t>管三〔2017〕121号)第一条危</w:t>
            </w:r>
          </w:p>
          <w:p w14:paraId="5280CED5">
            <w:pPr>
              <w:spacing w:before="61" w:line="211" w:lineRule="auto"/>
              <w:ind w:left="143"/>
              <w:rPr>
                <w:rFonts w:ascii="宋体" w:hAnsi="宋体" w:eastAsia="宋体" w:cs="宋体"/>
                <w:sz w:val="21"/>
                <w:szCs w:val="21"/>
              </w:rPr>
            </w:pPr>
            <w:r>
              <w:rPr>
                <w:rFonts w:ascii="宋体" w:hAnsi="宋体" w:eastAsia="宋体" w:cs="宋体"/>
                <w:spacing w:val="8"/>
                <w:sz w:val="21"/>
                <w:szCs w:val="21"/>
              </w:rPr>
              <w:t>险化学品生产、经营单位主要负</w:t>
            </w:r>
          </w:p>
          <w:p w14:paraId="172D4CC6">
            <w:pPr>
              <w:spacing w:before="35" w:line="215" w:lineRule="auto"/>
              <w:ind w:left="143"/>
              <w:rPr>
                <w:rFonts w:ascii="宋体" w:hAnsi="宋体" w:eastAsia="宋体" w:cs="宋体"/>
                <w:sz w:val="21"/>
                <w:szCs w:val="21"/>
              </w:rPr>
            </w:pPr>
            <w:r>
              <w:rPr>
                <w:rFonts w:ascii="宋体" w:hAnsi="宋体" w:eastAsia="宋体" w:cs="宋体"/>
                <w:spacing w:val="11"/>
                <w:sz w:val="21"/>
                <w:szCs w:val="21"/>
              </w:rPr>
              <w:t>责人和安全生产管理人员未依</w:t>
            </w:r>
          </w:p>
          <w:p w14:paraId="1DAC4959">
            <w:pPr>
              <w:spacing w:before="51" w:line="189" w:lineRule="auto"/>
              <w:ind w:left="143"/>
              <w:rPr>
                <w:rFonts w:ascii="宋体" w:hAnsi="宋体" w:eastAsia="宋体" w:cs="宋体"/>
                <w:sz w:val="21"/>
                <w:szCs w:val="21"/>
              </w:rPr>
            </w:pPr>
            <w:r>
              <w:rPr>
                <w:rFonts w:ascii="宋体" w:hAnsi="宋体" w:eastAsia="宋体" w:cs="宋体"/>
                <w:spacing w:val="17"/>
                <w:sz w:val="21"/>
                <w:szCs w:val="21"/>
              </w:rPr>
              <w:t>法经考核合格。</w:t>
            </w:r>
          </w:p>
        </w:tc>
        <w:tc>
          <w:tcPr>
            <w:tcW w:w="2878" w:type="dxa"/>
            <w:noWrap w:val="0"/>
            <w:vAlign w:val="top"/>
          </w:tcPr>
          <w:p w14:paraId="669E470B">
            <w:pPr>
              <w:rPr>
                <w:rFonts w:ascii="Arial"/>
                <w:sz w:val="21"/>
                <w:szCs w:val="21"/>
              </w:rPr>
            </w:pPr>
          </w:p>
        </w:tc>
        <w:tc>
          <w:tcPr>
            <w:tcW w:w="2838" w:type="dxa"/>
            <w:noWrap w:val="0"/>
            <w:vAlign w:val="top"/>
          </w:tcPr>
          <w:p w14:paraId="46A3AA1F">
            <w:pPr>
              <w:spacing w:before="91" w:line="212" w:lineRule="auto"/>
              <w:ind w:left="687"/>
              <w:rPr>
                <w:rFonts w:ascii="宋体" w:hAnsi="宋体" w:eastAsia="宋体" w:cs="宋体"/>
                <w:spacing w:val="14"/>
                <w:sz w:val="21"/>
                <w:szCs w:val="21"/>
              </w:rPr>
            </w:pPr>
            <w:r>
              <w:rPr>
                <w:rFonts w:ascii="宋体" w:hAnsi="宋体" w:eastAsia="宋体" w:cs="宋体"/>
                <w:spacing w:val="14"/>
                <w:sz w:val="21"/>
                <w:szCs w:val="21"/>
              </w:rPr>
              <w:t>(二)危险物品的生</w:t>
            </w:r>
          </w:p>
          <w:p w14:paraId="1ABDC203">
            <w:pPr>
              <w:spacing w:before="43" w:line="219" w:lineRule="auto"/>
              <w:ind w:left="147"/>
              <w:rPr>
                <w:rFonts w:ascii="宋体" w:hAnsi="宋体" w:eastAsia="宋体" w:cs="宋体"/>
                <w:sz w:val="21"/>
                <w:szCs w:val="21"/>
              </w:rPr>
            </w:pPr>
            <w:r>
              <w:rPr>
                <w:rFonts w:ascii="宋体" w:hAnsi="宋体" w:eastAsia="宋体" w:cs="宋体"/>
                <w:spacing w:val="-1"/>
                <w:sz w:val="21"/>
                <w:szCs w:val="21"/>
              </w:rPr>
              <w:t>产、经营、储存、装卸单</w:t>
            </w:r>
          </w:p>
          <w:p w14:paraId="78E5E5B3">
            <w:pPr>
              <w:spacing w:before="34" w:line="221" w:lineRule="auto"/>
              <w:ind w:left="147"/>
              <w:rPr>
                <w:rFonts w:ascii="宋体" w:hAnsi="宋体" w:eastAsia="宋体" w:cs="宋体"/>
                <w:sz w:val="21"/>
                <w:szCs w:val="21"/>
              </w:rPr>
            </w:pPr>
            <w:r>
              <w:rPr>
                <w:rFonts w:ascii="宋体" w:hAnsi="宋体" w:eastAsia="宋体" w:cs="宋体"/>
                <w:spacing w:val="13"/>
                <w:sz w:val="21"/>
                <w:szCs w:val="21"/>
              </w:rPr>
              <w:t>位以及矿山、金属冶炼、</w:t>
            </w:r>
          </w:p>
          <w:p w14:paraId="6509E9AE">
            <w:pPr>
              <w:spacing w:before="44" w:line="212" w:lineRule="auto"/>
              <w:ind w:left="147"/>
              <w:rPr>
                <w:rFonts w:ascii="宋体" w:hAnsi="宋体" w:eastAsia="宋体" w:cs="宋体"/>
                <w:sz w:val="21"/>
                <w:szCs w:val="21"/>
              </w:rPr>
            </w:pPr>
            <w:r>
              <w:rPr>
                <w:rFonts w:ascii="宋体" w:hAnsi="宋体" w:eastAsia="宋体" w:cs="宋体"/>
                <w:spacing w:val="1"/>
                <w:sz w:val="21"/>
                <w:szCs w:val="21"/>
              </w:rPr>
              <w:t>建筑施工、运输单位的主</w:t>
            </w:r>
          </w:p>
          <w:p w14:paraId="5787FEDA">
            <w:pPr>
              <w:spacing w:before="44" w:line="211" w:lineRule="auto"/>
              <w:ind w:left="147"/>
              <w:rPr>
                <w:rFonts w:ascii="宋体" w:hAnsi="宋体" w:eastAsia="宋体" w:cs="宋体"/>
                <w:sz w:val="21"/>
                <w:szCs w:val="21"/>
              </w:rPr>
            </w:pPr>
            <w:r>
              <w:rPr>
                <w:rFonts w:ascii="宋体" w:hAnsi="宋体" w:eastAsia="宋体" w:cs="宋体"/>
                <w:spacing w:val="21"/>
                <w:sz w:val="21"/>
                <w:szCs w:val="21"/>
              </w:rPr>
              <w:t>要负责人和安全生产管</w:t>
            </w:r>
          </w:p>
          <w:p w14:paraId="09457A68">
            <w:pPr>
              <w:spacing w:before="45" w:line="215" w:lineRule="auto"/>
              <w:ind w:left="147"/>
              <w:rPr>
                <w:rFonts w:ascii="宋体" w:hAnsi="宋体" w:eastAsia="宋体" w:cs="宋体"/>
                <w:sz w:val="21"/>
                <w:szCs w:val="21"/>
              </w:rPr>
            </w:pPr>
            <w:r>
              <w:rPr>
                <w:rFonts w:ascii="宋体" w:hAnsi="宋体" w:eastAsia="宋体" w:cs="宋体"/>
                <w:spacing w:val="20"/>
                <w:sz w:val="21"/>
                <w:szCs w:val="21"/>
              </w:rPr>
              <w:t>理人员未按照规定经考</w:t>
            </w:r>
          </w:p>
          <w:p w14:paraId="4D186EEC">
            <w:pPr>
              <w:spacing w:before="51" w:line="210" w:lineRule="auto"/>
              <w:ind w:left="147"/>
              <w:rPr>
                <w:rFonts w:ascii="宋体" w:hAnsi="宋体" w:eastAsia="宋体" w:cs="宋体"/>
                <w:sz w:val="21"/>
                <w:szCs w:val="21"/>
              </w:rPr>
            </w:pPr>
            <w:r>
              <w:rPr>
                <w:rFonts w:ascii="宋体" w:hAnsi="宋体" w:eastAsia="宋体" w:cs="宋体"/>
                <w:spacing w:val="24"/>
                <w:sz w:val="21"/>
                <w:szCs w:val="21"/>
              </w:rPr>
              <w:t>核合格的。</w:t>
            </w:r>
          </w:p>
        </w:tc>
        <w:tc>
          <w:tcPr>
            <w:tcW w:w="1254" w:type="dxa"/>
            <w:noWrap w:val="0"/>
            <w:vAlign w:val="top"/>
          </w:tcPr>
          <w:p w14:paraId="039F413E">
            <w:pPr>
              <w:rPr>
                <w:rFonts w:ascii="Arial"/>
                <w:sz w:val="21"/>
              </w:rPr>
            </w:pPr>
          </w:p>
        </w:tc>
      </w:tr>
      <w:tr w14:paraId="78D7C5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9" w:hRule="atLeast"/>
          <w:jc w:val="center"/>
        </w:trPr>
        <w:tc>
          <w:tcPr>
            <w:tcW w:w="864" w:type="dxa"/>
            <w:noWrap w:val="0"/>
            <w:vAlign w:val="top"/>
          </w:tcPr>
          <w:p w14:paraId="1FB64D4E">
            <w:pPr>
              <w:spacing w:line="264" w:lineRule="auto"/>
              <w:rPr>
                <w:rFonts w:ascii="Arial"/>
                <w:sz w:val="21"/>
                <w:szCs w:val="21"/>
              </w:rPr>
            </w:pPr>
          </w:p>
          <w:p w14:paraId="34FA7E8B">
            <w:pPr>
              <w:spacing w:line="264" w:lineRule="auto"/>
              <w:rPr>
                <w:rFonts w:ascii="Arial"/>
                <w:sz w:val="21"/>
                <w:szCs w:val="21"/>
              </w:rPr>
            </w:pPr>
          </w:p>
          <w:p w14:paraId="3D20B4B3">
            <w:pPr>
              <w:spacing w:line="264" w:lineRule="auto"/>
              <w:rPr>
                <w:rFonts w:ascii="Arial"/>
                <w:sz w:val="21"/>
                <w:szCs w:val="21"/>
              </w:rPr>
            </w:pPr>
          </w:p>
          <w:p w14:paraId="16D134DA">
            <w:pPr>
              <w:spacing w:line="264" w:lineRule="auto"/>
              <w:rPr>
                <w:rFonts w:ascii="Arial"/>
                <w:sz w:val="21"/>
                <w:szCs w:val="21"/>
              </w:rPr>
            </w:pPr>
          </w:p>
          <w:p w14:paraId="3CF599BA">
            <w:pPr>
              <w:spacing w:line="264" w:lineRule="auto"/>
              <w:rPr>
                <w:rFonts w:ascii="Arial"/>
                <w:sz w:val="21"/>
                <w:szCs w:val="21"/>
              </w:rPr>
            </w:pPr>
          </w:p>
          <w:p w14:paraId="55E3D218">
            <w:pPr>
              <w:spacing w:line="264" w:lineRule="auto"/>
              <w:rPr>
                <w:rFonts w:ascii="Arial"/>
                <w:sz w:val="21"/>
                <w:szCs w:val="21"/>
              </w:rPr>
            </w:pPr>
          </w:p>
          <w:p w14:paraId="60F0BEA1">
            <w:pPr>
              <w:spacing w:line="265" w:lineRule="auto"/>
              <w:rPr>
                <w:rFonts w:ascii="Arial"/>
                <w:sz w:val="21"/>
                <w:szCs w:val="21"/>
              </w:rPr>
            </w:pPr>
          </w:p>
          <w:p w14:paraId="5B168391">
            <w:pPr>
              <w:spacing w:line="265" w:lineRule="auto"/>
              <w:rPr>
                <w:rFonts w:ascii="Arial"/>
                <w:sz w:val="21"/>
                <w:szCs w:val="21"/>
              </w:rPr>
            </w:pPr>
          </w:p>
          <w:p w14:paraId="3E74AC0F">
            <w:pPr>
              <w:spacing w:before="78" w:line="184" w:lineRule="auto"/>
              <w:ind w:left="305"/>
              <w:rPr>
                <w:rFonts w:ascii="宋体" w:hAnsi="宋体" w:eastAsia="宋体" w:cs="宋体"/>
                <w:sz w:val="21"/>
                <w:szCs w:val="21"/>
              </w:rPr>
            </w:pPr>
            <w:r>
              <w:rPr>
                <w:rFonts w:ascii="宋体" w:hAnsi="宋体" w:eastAsia="宋体" w:cs="宋体"/>
                <w:spacing w:val="-7"/>
                <w:sz w:val="21"/>
                <w:szCs w:val="21"/>
              </w:rPr>
              <w:t>1</w:t>
            </w:r>
            <w:r>
              <w:rPr>
                <w:rFonts w:hint="eastAsia" w:ascii="宋体" w:hAnsi="宋体" w:eastAsia="宋体" w:cs="宋体"/>
                <w:spacing w:val="-7"/>
                <w:sz w:val="21"/>
                <w:szCs w:val="21"/>
                <w:lang w:val="en-US" w:eastAsia="zh-CN"/>
              </w:rPr>
              <w:t>6</w:t>
            </w:r>
          </w:p>
        </w:tc>
        <w:tc>
          <w:tcPr>
            <w:tcW w:w="2228" w:type="dxa"/>
            <w:noWrap w:val="0"/>
            <w:vAlign w:val="top"/>
          </w:tcPr>
          <w:p w14:paraId="1364F722">
            <w:pPr>
              <w:spacing w:line="268" w:lineRule="auto"/>
              <w:rPr>
                <w:rFonts w:ascii="Arial"/>
                <w:sz w:val="21"/>
                <w:szCs w:val="21"/>
              </w:rPr>
            </w:pPr>
          </w:p>
          <w:p w14:paraId="0591F386">
            <w:pPr>
              <w:spacing w:line="268" w:lineRule="auto"/>
              <w:rPr>
                <w:rFonts w:ascii="Arial"/>
                <w:sz w:val="21"/>
                <w:szCs w:val="21"/>
              </w:rPr>
            </w:pPr>
          </w:p>
          <w:p w14:paraId="7338D344">
            <w:pPr>
              <w:spacing w:line="268" w:lineRule="auto"/>
              <w:rPr>
                <w:rFonts w:ascii="Arial"/>
                <w:sz w:val="21"/>
                <w:szCs w:val="21"/>
              </w:rPr>
            </w:pPr>
          </w:p>
          <w:p w14:paraId="614645FE">
            <w:pPr>
              <w:spacing w:line="268" w:lineRule="auto"/>
              <w:rPr>
                <w:rFonts w:ascii="Arial"/>
                <w:sz w:val="21"/>
                <w:szCs w:val="21"/>
              </w:rPr>
            </w:pPr>
          </w:p>
          <w:p w14:paraId="6EDA22E6">
            <w:pPr>
              <w:spacing w:line="268" w:lineRule="auto"/>
              <w:rPr>
                <w:rFonts w:ascii="Arial"/>
                <w:sz w:val="21"/>
                <w:szCs w:val="21"/>
              </w:rPr>
            </w:pPr>
          </w:p>
          <w:p w14:paraId="23B98647">
            <w:pPr>
              <w:spacing w:line="268" w:lineRule="auto"/>
              <w:rPr>
                <w:rFonts w:ascii="Arial"/>
                <w:sz w:val="21"/>
                <w:szCs w:val="21"/>
              </w:rPr>
            </w:pPr>
          </w:p>
          <w:p w14:paraId="78D3A744">
            <w:pPr>
              <w:spacing w:before="78" w:line="243" w:lineRule="auto"/>
              <w:ind w:left="131" w:right="141" w:firstLine="9"/>
              <w:jc w:val="both"/>
              <w:rPr>
                <w:rFonts w:ascii="宋体" w:hAnsi="宋体" w:eastAsia="宋体" w:cs="宋体"/>
                <w:sz w:val="21"/>
                <w:szCs w:val="21"/>
              </w:rPr>
            </w:pPr>
            <w:r>
              <w:rPr>
                <w:rFonts w:ascii="宋体" w:hAnsi="宋体" w:eastAsia="宋体" w:cs="宋体"/>
                <w:spacing w:val="1"/>
                <w:sz w:val="21"/>
                <w:szCs w:val="21"/>
              </w:rPr>
              <w:t>涉及危险化工工艺</w:t>
            </w:r>
            <w:r>
              <w:rPr>
                <w:rFonts w:ascii="宋体" w:hAnsi="宋体" w:eastAsia="宋体" w:cs="宋体"/>
                <w:spacing w:val="2"/>
                <w:sz w:val="21"/>
                <w:szCs w:val="21"/>
              </w:rPr>
              <w:t>的特种作业人员未</w:t>
            </w:r>
            <w:r>
              <w:rPr>
                <w:rFonts w:ascii="宋体" w:hAnsi="宋体" w:eastAsia="宋体" w:cs="宋体"/>
                <w:spacing w:val="3"/>
                <w:sz w:val="21"/>
                <w:szCs w:val="21"/>
              </w:rPr>
              <w:t>取得特种作业操作</w:t>
            </w:r>
            <w:r>
              <w:rPr>
                <w:rFonts w:ascii="宋体" w:hAnsi="宋体" w:eastAsia="宋体" w:cs="宋体"/>
                <w:spacing w:val="17"/>
                <w:sz w:val="21"/>
                <w:szCs w:val="21"/>
              </w:rPr>
              <w:t>证而上岗操作。</w:t>
            </w:r>
          </w:p>
        </w:tc>
        <w:tc>
          <w:tcPr>
            <w:tcW w:w="3498" w:type="dxa"/>
            <w:noWrap w:val="0"/>
            <w:vAlign w:val="top"/>
          </w:tcPr>
          <w:p w14:paraId="4C1FD2EF">
            <w:pPr>
              <w:spacing w:line="257" w:lineRule="auto"/>
              <w:rPr>
                <w:rFonts w:ascii="Arial"/>
                <w:sz w:val="21"/>
                <w:szCs w:val="21"/>
              </w:rPr>
            </w:pPr>
          </w:p>
          <w:p w14:paraId="771D0E3F">
            <w:pPr>
              <w:spacing w:line="258" w:lineRule="auto"/>
              <w:rPr>
                <w:rFonts w:ascii="Arial"/>
                <w:sz w:val="21"/>
                <w:szCs w:val="21"/>
              </w:rPr>
            </w:pPr>
          </w:p>
          <w:p w14:paraId="3E5C086D">
            <w:pPr>
              <w:spacing w:before="75" w:line="251" w:lineRule="auto"/>
              <w:ind w:left="143" w:firstLine="459"/>
              <w:jc w:val="both"/>
              <w:rPr>
                <w:rFonts w:ascii="宋体" w:hAnsi="宋体" w:eastAsia="宋体" w:cs="宋体"/>
                <w:sz w:val="21"/>
                <w:szCs w:val="21"/>
              </w:rPr>
            </w:pPr>
            <w:r>
              <w:rPr>
                <w:rFonts w:ascii="宋体" w:hAnsi="宋体" w:eastAsia="宋体" w:cs="宋体"/>
                <w:spacing w:val="-2"/>
                <w:sz w:val="21"/>
                <w:szCs w:val="21"/>
              </w:rPr>
              <w:t>1.《中华人民共和国安全生</w:t>
            </w:r>
            <w:r>
              <w:rPr>
                <w:rFonts w:ascii="宋体" w:hAnsi="宋体" w:eastAsia="宋体" w:cs="宋体"/>
                <w:spacing w:val="8"/>
                <w:sz w:val="21"/>
                <w:szCs w:val="21"/>
              </w:rPr>
              <w:t>产法》第三十条第一款生产经</w:t>
            </w:r>
            <w:r>
              <w:rPr>
                <w:rFonts w:ascii="宋体" w:hAnsi="宋体" w:eastAsia="宋体" w:cs="宋体"/>
                <w:spacing w:val="21"/>
                <w:sz w:val="21"/>
                <w:szCs w:val="21"/>
              </w:rPr>
              <w:t>营单位的特种作业人员必须按照国家有关规定经专门的安全</w:t>
            </w:r>
            <w:r>
              <w:rPr>
                <w:rFonts w:ascii="宋体" w:hAnsi="宋体" w:eastAsia="宋体" w:cs="宋体"/>
                <w:spacing w:val="8"/>
                <w:sz w:val="21"/>
                <w:szCs w:val="21"/>
              </w:rPr>
              <w:t>作业培训，取得相应资格，方可</w:t>
            </w:r>
            <w:r>
              <w:rPr>
                <w:rFonts w:ascii="宋体" w:hAnsi="宋体" w:eastAsia="宋体" w:cs="宋体"/>
                <w:spacing w:val="32"/>
                <w:sz w:val="21"/>
                <w:szCs w:val="21"/>
              </w:rPr>
              <w:t>上岗作业。</w:t>
            </w:r>
          </w:p>
          <w:p w14:paraId="1461FF37">
            <w:pPr>
              <w:spacing w:before="46" w:line="242" w:lineRule="auto"/>
              <w:ind w:left="143" w:firstLine="449"/>
              <w:jc w:val="both"/>
              <w:rPr>
                <w:rFonts w:ascii="宋体" w:hAnsi="宋体" w:eastAsia="宋体" w:cs="宋体"/>
                <w:sz w:val="21"/>
                <w:szCs w:val="21"/>
              </w:rPr>
            </w:pPr>
            <w:r>
              <w:rPr>
                <w:rFonts w:ascii="宋体" w:hAnsi="宋体" w:eastAsia="宋体" w:cs="宋体"/>
                <w:spacing w:val="-11"/>
                <w:sz w:val="21"/>
                <w:szCs w:val="21"/>
              </w:rPr>
              <w:t>2.《化工和危险化学品生产</w:t>
            </w:r>
            <w:r>
              <w:rPr>
                <w:rFonts w:ascii="宋体" w:hAnsi="宋体" w:eastAsia="宋体" w:cs="宋体"/>
                <w:spacing w:val="13"/>
                <w:sz w:val="21"/>
                <w:szCs w:val="21"/>
              </w:rPr>
              <w:t>经营单位重大生产安全事故隐</w:t>
            </w:r>
            <w:r>
              <w:rPr>
                <w:rFonts w:ascii="宋体" w:hAnsi="宋体" w:eastAsia="宋体" w:cs="宋体"/>
                <w:spacing w:val="20"/>
                <w:sz w:val="21"/>
                <w:szCs w:val="21"/>
              </w:rPr>
              <w:t>患判定标准(试行)》(安监总</w:t>
            </w:r>
            <w:r>
              <w:rPr>
                <w:rFonts w:ascii="宋体" w:hAnsi="宋体" w:eastAsia="宋体" w:cs="宋体"/>
                <w:spacing w:val="-2"/>
                <w:sz w:val="21"/>
                <w:szCs w:val="21"/>
              </w:rPr>
              <w:t>管三〔2017〕121号)第二条特</w:t>
            </w:r>
            <w:r>
              <w:rPr>
                <w:rFonts w:ascii="宋体" w:hAnsi="宋体" w:eastAsia="宋体" w:cs="宋体"/>
                <w:spacing w:val="10"/>
                <w:sz w:val="21"/>
                <w:szCs w:val="21"/>
              </w:rPr>
              <w:t>种作业人员未持证上岗。</w:t>
            </w:r>
          </w:p>
        </w:tc>
        <w:tc>
          <w:tcPr>
            <w:tcW w:w="2878" w:type="dxa"/>
            <w:noWrap w:val="0"/>
            <w:vAlign w:val="top"/>
          </w:tcPr>
          <w:p w14:paraId="27839D15">
            <w:pPr>
              <w:rPr>
                <w:rFonts w:ascii="Arial"/>
                <w:sz w:val="21"/>
                <w:szCs w:val="21"/>
              </w:rPr>
            </w:pPr>
          </w:p>
        </w:tc>
        <w:tc>
          <w:tcPr>
            <w:tcW w:w="2838" w:type="dxa"/>
            <w:noWrap w:val="0"/>
            <w:vAlign w:val="top"/>
          </w:tcPr>
          <w:p w14:paraId="30BD22F4">
            <w:pPr>
              <w:spacing w:before="107" w:line="255" w:lineRule="auto"/>
              <w:ind w:left="117" w:firstLine="446"/>
              <w:jc w:val="both"/>
              <w:rPr>
                <w:rFonts w:ascii="宋体" w:hAnsi="宋体" w:eastAsia="宋体" w:cs="宋体"/>
                <w:sz w:val="21"/>
                <w:szCs w:val="21"/>
              </w:rPr>
            </w:pPr>
            <w:r>
              <w:rPr>
                <w:rFonts w:ascii="宋体" w:hAnsi="宋体" w:eastAsia="宋体" w:cs="宋体"/>
                <w:spacing w:val="32"/>
                <w:sz w:val="21"/>
                <w:szCs w:val="21"/>
              </w:rPr>
              <w:t>《中华人民共和国</w:t>
            </w:r>
            <w:r>
              <w:rPr>
                <w:rFonts w:ascii="宋体" w:hAnsi="宋体" w:eastAsia="宋体" w:cs="宋体"/>
                <w:spacing w:val="6"/>
                <w:sz w:val="21"/>
                <w:szCs w:val="21"/>
              </w:rPr>
              <w:t>安全生产法》第九十七条</w:t>
            </w:r>
            <w:r>
              <w:rPr>
                <w:rFonts w:ascii="宋体" w:hAnsi="宋体" w:eastAsia="宋体" w:cs="宋体"/>
                <w:spacing w:val="20"/>
                <w:sz w:val="21"/>
                <w:szCs w:val="21"/>
              </w:rPr>
              <w:t>第七项生产经营单位</w:t>
            </w:r>
            <w:r>
              <w:rPr>
                <w:rFonts w:ascii="宋体" w:hAnsi="宋体" w:eastAsia="宋体" w:cs="宋体"/>
                <w:spacing w:val="6"/>
                <w:sz w:val="21"/>
                <w:szCs w:val="21"/>
              </w:rPr>
              <w:t>有下列行为之一的，责令</w:t>
            </w:r>
            <w:r>
              <w:rPr>
                <w:rFonts w:ascii="宋体" w:hAnsi="宋体" w:eastAsia="宋体" w:cs="宋体"/>
                <w:spacing w:val="4"/>
                <w:sz w:val="21"/>
                <w:szCs w:val="21"/>
              </w:rPr>
              <w:t>限期改正，处十万元以下</w:t>
            </w:r>
            <w:r>
              <w:rPr>
                <w:rFonts w:ascii="宋体" w:hAnsi="宋体" w:eastAsia="宋体" w:cs="宋体"/>
                <w:spacing w:val="16"/>
                <w:sz w:val="21"/>
                <w:szCs w:val="21"/>
              </w:rPr>
              <w:t>的罚款；逾期未改正的，</w:t>
            </w:r>
            <w:r>
              <w:rPr>
                <w:rFonts w:ascii="宋体" w:hAnsi="宋体" w:eastAsia="宋体" w:cs="宋体"/>
                <w:spacing w:val="6"/>
                <w:sz w:val="21"/>
                <w:szCs w:val="21"/>
              </w:rPr>
              <w:t>责令停产停业整顿，并处</w:t>
            </w:r>
            <w:r>
              <w:rPr>
                <w:rFonts w:ascii="宋体" w:hAnsi="宋体" w:eastAsia="宋体" w:cs="宋体"/>
                <w:spacing w:val="27"/>
                <w:sz w:val="21"/>
                <w:szCs w:val="21"/>
              </w:rPr>
              <w:t>十万元以上二十万元以</w:t>
            </w:r>
            <w:r>
              <w:rPr>
                <w:rFonts w:ascii="宋体" w:hAnsi="宋体" w:eastAsia="宋体" w:cs="宋体"/>
                <w:spacing w:val="7"/>
                <w:sz w:val="21"/>
                <w:szCs w:val="21"/>
              </w:rPr>
              <w:t>下的罚款，对其直接负责</w:t>
            </w:r>
            <w:r>
              <w:rPr>
                <w:rFonts w:ascii="宋体" w:hAnsi="宋体" w:eastAsia="宋体" w:cs="宋体"/>
                <w:spacing w:val="26"/>
                <w:sz w:val="21"/>
                <w:szCs w:val="21"/>
              </w:rPr>
              <w:t>的主管人员和其他直接责任人员处二万元以上</w:t>
            </w:r>
            <w:r>
              <w:rPr>
                <w:rFonts w:ascii="宋体" w:hAnsi="宋体" w:eastAsia="宋体" w:cs="宋体"/>
                <w:spacing w:val="19"/>
                <w:sz w:val="21"/>
                <w:szCs w:val="21"/>
              </w:rPr>
              <w:t>五万元以下的罚款：</w:t>
            </w:r>
          </w:p>
          <w:p w14:paraId="72ADF7C3">
            <w:pPr>
              <w:spacing w:before="45" w:line="213" w:lineRule="auto"/>
              <w:ind w:left="147" w:right="58" w:firstLine="549"/>
              <w:jc w:val="both"/>
              <w:rPr>
                <w:rFonts w:ascii="宋体" w:hAnsi="宋体" w:eastAsia="宋体" w:cs="宋体"/>
                <w:sz w:val="21"/>
                <w:szCs w:val="21"/>
              </w:rPr>
            </w:pPr>
            <w:r>
              <w:rPr>
                <w:rFonts w:ascii="宋体" w:hAnsi="宋体" w:eastAsia="宋体" w:cs="宋体"/>
                <w:spacing w:val="16"/>
                <w:sz w:val="21"/>
                <w:szCs w:val="21"/>
              </w:rPr>
              <w:t>(七)特种作业人员</w:t>
            </w:r>
            <w:r>
              <w:rPr>
                <w:rFonts w:ascii="宋体" w:hAnsi="宋体" w:eastAsia="宋体" w:cs="宋体"/>
                <w:spacing w:val="21"/>
                <w:sz w:val="21"/>
                <w:szCs w:val="21"/>
              </w:rPr>
              <w:t>未按照规定经专门的安</w:t>
            </w:r>
          </w:p>
        </w:tc>
        <w:tc>
          <w:tcPr>
            <w:tcW w:w="1254" w:type="dxa"/>
            <w:noWrap w:val="0"/>
            <w:vAlign w:val="top"/>
          </w:tcPr>
          <w:p w14:paraId="05FD28F2">
            <w:pPr>
              <w:rPr>
                <w:rFonts w:ascii="Arial"/>
                <w:sz w:val="21"/>
                <w:szCs w:val="21"/>
              </w:rPr>
            </w:pPr>
          </w:p>
          <w:p w14:paraId="7D709419">
            <w:pPr>
              <w:rPr>
                <w:rFonts w:ascii="Arial"/>
                <w:sz w:val="21"/>
                <w:szCs w:val="21"/>
              </w:rPr>
            </w:pPr>
          </w:p>
          <w:p w14:paraId="7CA1A557">
            <w:pPr>
              <w:rPr>
                <w:rFonts w:ascii="Arial"/>
                <w:sz w:val="21"/>
                <w:szCs w:val="21"/>
              </w:rPr>
            </w:pPr>
          </w:p>
          <w:p w14:paraId="5E19BCE9">
            <w:pPr>
              <w:spacing w:line="241" w:lineRule="auto"/>
              <w:rPr>
                <w:rFonts w:ascii="Arial"/>
                <w:sz w:val="21"/>
                <w:szCs w:val="21"/>
              </w:rPr>
            </w:pPr>
          </w:p>
          <w:p w14:paraId="6EFD6ED5">
            <w:pPr>
              <w:spacing w:line="241" w:lineRule="auto"/>
              <w:rPr>
                <w:rFonts w:ascii="Arial"/>
                <w:sz w:val="21"/>
                <w:szCs w:val="21"/>
              </w:rPr>
            </w:pPr>
          </w:p>
          <w:p w14:paraId="0B553629">
            <w:pPr>
              <w:spacing w:line="241" w:lineRule="auto"/>
              <w:rPr>
                <w:rFonts w:ascii="Arial"/>
                <w:sz w:val="21"/>
                <w:szCs w:val="21"/>
              </w:rPr>
            </w:pPr>
          </w:p>
          <w:p w14:paraId="7453A569">
            <w:pPr>
              <w:spacing w:line="241" w:lineRule="auto"/>
              <w:rPr>
                <w:rFonts w:ascii="Arial"/>
                <w:sz w:val="21"/>
                <w:szCs w:val="21"/>
              </w:rPr>
            </w:pPr>
          </w:p>
          <w:p w14:paraId="4275F343">
            <w:pPr>
              <w:spacing w:line="241" w:lineRule="auto"/>
              <w:rPr>
                <w:rFonts w:ascii="Arial"/>
                <w:sz w:val="21"/>
                <w:szCs w:val="21"/>
              </w:rPr>
            </w:pPr>
          </w:p>
          <w:p w14:paraId="03BDB96F">
            <w:pPr>
              <w:spacing w:before="78"/>
              <w:ind w:left="138" w:right="120"/>
              <w:rPr>
                <w:rFonts w:ascii="宋体" w:hAnsi="宋体" w:eastAsia="宋体" w:cs="宋体"/>
                <w:sz w:val="21"/>
                <w:szCs w:val="21"/>
              </w:rPr>
            </w:pPr>
            <w:r>
              <w:rPr>
                <w:rFonts w:ascii="宋体" w:hAnsi="宋体" w:eastAsia="宋体" w:cs="宋体"/>
                <w:spacing w:val="6"/>
                <w:sz w:val="21"/>
                <w:szCs w:val="21"/>
              </w:rPr>
              <w:t>重大隐患</w:t>
            </w:r>
            <w:r>
              <w:rPr>
                <w:rFonts w:ascii="宋体" w:hAnsi="宋体" w:eastAsia="宋体" w:cs="宋体"/>
                <w:spacing w:val="4"/>
                <w:sz w:val="21"/>
                <w:szCs w:val="21"/>
              </w:rPr>
              <w:t>管理</w:t>
            </w:r>
          </w:p>
        </w:tc>
      </w:tr>
    </w:tbl>
    <w:p w14:paraId="713B72BE"/>
    <w:p w14:paraId="4DB34B41"/>
    <w:p w14:paraId="369517F2">
      <w:pPr>
        <w:spacing w:line="109" w:lineRule="exact"/>
      </w:pP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5"/>
        <w:gridCol w:w="2238"/>
        <w:gridCol w:w="3497"/>
        <w:gridCol w:w="2868"/>
        <w:gridCol w:w="2838"/>
        <w:gridCol w:w="1254"/>
      </w:tblGrid>
      <w:tr w14:paraId="426BD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jc w:val="center"/>
        </w:trPr>
        <w:tc>
          <w:tcPr>
            <w:tcW w:w="875" w:type="dxa"/>
            <w:noWrap w:val="0"/>
            <w:vAlign w:val="top"/>
          </w:tcPr>
          <w:p w14:paraId="49E235BE">
            <w:pPr>
              <w:spacing w:before="216" w:line="221" w:lineRule="auto"/>
              <w:ind w:left="185"/>
              <w:rPr>
                <w:rFonts w:ascii="宋体" w:hAnsi="宋体" w:eastAsia="宋体" w:cs="宋体"/>
                <w:b/>
                <w:bCs/>
                <w:sz w:val="24"/>
                <w:szCs w:val="24"/>
              </w:rPr>
            </w:pPr>
            <w:r>
              <w:rPr>
                <w:rFonts w:ascii="宋体" w:hAnsi="宋体" w:eastAsia="宋体" w:cs="宋体"/>
                <w:b/>
                <w:bCs/>
                <w:spacing w:val="7"/>
                <w:sz w:val="24"/>
                <w:szCs w:val="24"/>
              </w:rPr>
              <w:t>序号</w:t>
            </w:r>
          </w:p>
        </w:tc>
        <w:tc>
          <w:tcPr>
            <w:tcW w:w="2238" w:type="dxa"/>
            <w:noWrap w:val="0"/>
            <w:vAlign w:val="top"/>
          </w:tcPr>
          <w:p w14:paraId="61BC935D">
            <w:pPr>
              <w:spacing w:before="65" w:line="219" w:lineRule="auto"/>
              <w:ind w:left="630"/>
              <w:rPr>
                <w:rFonts w:ascii="宋体" w:hAnsi="宋体" w:eastAsia="宋体" w:cs="宋体"/>
                <w:b/>
                <w:bCs/>
                <w:sz w:val="24"/>
                <w:szCs w:val="24"/>
              </w:rPr>
            </w:pPr>
            <w:r>
              <w:rPr>
                <w:rFonts w:ascii="宋体" w:hAnsi="宋体" w:eastAsia="宋体" w:cs="宋体"/>
                <w:b/>
                <w:bCs/>
                <w:spacing w:val="3"/>
                <w:sz w:val="24"/>
                <w:szCs w:val="24"/>
              </w:rPr>
              <w:t>执法检查</w:t>
            </w:r>
          </w:p>
          <w:p w14:paraId="0AB63AFB">
            <w:pPr>
              <w:spacing w:before="44" w:line="200" w:lineRule="auto"/>
              <w:ind w:left="390"/>
              <w:rPr>
                <w:rFonts w:ascii="宋体" w:hAnsi="宋体" w:eastAsia="宋体" w:cs="宋体"/>
                <w:b/>
                <w:bCs/>
                <w:sz w:val="24"/>
                <w:szCs w:val="24"/>
              </w:rPr>
            </w:pPr>
            <w:r>
              <w:rPr>
                <w:rFonts w:ascii="宋体" w:hAnsi="宋体" w:eastAsia="宋体" w:cs="宋体"/>
                <w:b/>
                <w:bCs/>
                <w:spacing w:val="2"/>
                <w:sz w:val="24"/>
                <w:szCs w:val="24"/>
              </w:rPr>
              <w:t>重点事项内容</w:t>
            </w:r>
          </w:p>
        </w:tc>
        <w:tc>
          <w:tcPr>
            <w:tcW w:w="3497" w:type="dxa"/>
            <w:noWrap w:val="0"/>
            <w:vAlign w:val="top"/>
          </w:tcPr>
          <w:p w14:paraId="08B010E1">
            <w:pPr>
              <w:spacing w:before="213" w:line="219" w:lineRule="auto"/>
              <w:ind w:left="1032"/>
              <w:rPr>
                <w:rFonts w:ascii="宋体" w:hAnsi="宋体" w:eastAsia="宋体" w:cs="宋体"/>
                <w:b/>
                <w:bCs/>
                <w:sz w:val="24"/>
                <w:szCs w:val="24"/>
              </w:rPr>
            </w:pPr>
            <w:r>
              <w:rPr>
                <w:rFonts w:ascii="宋体" w:hAnsi="宋体" w:eastAsia="宋体" w:cs="宋体"/>
                <w:b/>
                <w:bCs/>
                <w:spacing w:val="5"/>
                <w:sz w:val="24"/>
                <w:szCs w:val="24"/>
              </w:rPr>
              <w:t>执法检查依据</w:t>
            </w:r>
          </w:p>
        </w:tc>
        <w:tc>
          <w:tcPr>
            <w:tcW w:w="2868" w:type="dxa"/>
            <w:noWrap w:val="0"/>
            <w:vAlign w:val="top"/>
          </w:tcPr>
          <w:p w14:paraId="7F1C2847">
            <w:pPr>
              <w:spacing w:before="65" w:line="220" w:lineRule="auto"/>
              <w:ind w:left="825"/>
              <w:rPr>
                <w:rFonts w:ascii="宋体" w:hAnsi="宋体" w:eastAsia="宋体" w:cs="宋体"/>
                <w:b/>
                <w:bCs/>
                <w:sz w:val="24"/>
                <w:szCs w:val="24"/>
              </w:rPr>
            </w:pPr>
            <w:r>
              <w:rPr>
                <w:rFonts w:ascii="宋体" w:hAnsi="宋体" w:eastAsia="宋体" w:cs="宋体"/>
                <w:b/>
                <w:bCs/>
                <w:spacing w:val="-2"/>
                <w:sz w:val="24"/>
                <w:szCs w:val="24"/>
              </w:rPr>
              <w:t>有关规范性</w:t>
            </w:r>
          </w:p>
          <w:p w14:paraId="522024A9">
            <w:pPr>
              <w:spacing w:before="52" w:line="192" w:lineRule="auto"/>
              <w:ind w:left="585"/>
              <w:rPr>
                <w:rFonts w:ascii="宋体" w:hAnsi="宋体" w:eastAsia="宋体" w:cs="宋体"/>
                <w:b/>
                <w:bCs/>
                <w:sz w:val="24"/>
                <w:szCs w:val="24"/>
              </w:rPr>
            </w:pPr>
            <w:r>
              <w:rPr>
                <w:rFonts w:ascii="宋体" w:hAnsi="宋体" w:eastAsia="宋体" w:cs="宋体"/>
                <w:b/>
                <w:bCs/>
                <w:spacing w:val="1"/>
                <w:sz w:val="24"/>
                <w:szCs w:val="24"/>
              </w:rPr>
              <w:t>文件及标准要求</w:t>
            </w:r>
          </w:p>
        </w:tc>
        <w:tc>
          <w:tcPr>
            <w:tcW w:w="2838" w:type="dxa"/>
            <w:noWrap w:val="0"/>
            <w:vAlign w:val="top"/>
          </w:tcPr>
          <w:p w14:paraId="4B9DF33D">
            <w:pPr>
              <w:spacing w:before="210" w:line="219" w:lineRule="auto"/>
              <w:ind w:left="960"/>
              <w:rPr>
                <w:rFonts w:ascii="宋体" w:hAnsi="宋体" w:eastAsia="宋体" w:cs="宋体"/>
                <w:b/>
                <w:bCs/>
                <w:sz w:val="24"/>
                <w:szCs w:val="24"/>
              </w:rPr>
            </w:pPr>
            <w:r>
              <w:rPr>
                <w:rFonts w:ascii="宋体" w:hAnsi="宋体" w:eastAsia="宋体" w:cs="宋体"/>
                <w:b/>
                <w:bCs/>
                <w:spacing w:val="9"/>
                <w:sz w:val="24"/>
                <w:szCs w:val="24"/>
              </w:rPr>
              <w:t>处罚依据</w:t>
            </w:r>
          </w:p>
        </w:tc>
        <w:tc>
          <w:tcPr>
            <w:tcW w:w="1254" w:type="dxa"/>
            <w:noWrap w:val="0"/>
            <w:vAlign w:val="top"/>
          </w:tcPr>
          <w:p w14:paraId="4CAB5D5F">
            <w:pPr>
              <w:spacing w:before="212" w:line="221" w:lineRule="auto"/>
              <w:ind w:left="392"/>
              <w:rPr>
                <w:rFonts w:ascii="宋体" w:hAnsi="宋体" w:eastAsia="宋体" w:cs="宋体"/>
                <w:b/>
                <w:bCs/>
                <w:sz w:val="24"/>
                <w:szCs w:val="24"/>
              </w:rPr>
            </w:pPr>
            <w:r>
              <w:rPr>
                <w:rFonts w:ascii="宋体" w:hAnsi="宋体" w:eastAsia="宋体" w:cs="宋体"/>
                <w:b/>
                <w:bCs/>
                <w:spacing w:val="-6"/>
                <w:sz w:val="24"/>
                <w:szCs w:val="24"/>
              </w:rPr>
              <w:t>备注</w:t>
            </w:r>
          </w:p>
        </w:tc>
      </w:tr>
      <w:tr w14:paraId="2FACD8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jc w:val="center"/>
        </w:trPr>
        <w:tc>
          <w:tcPr>
            <w:tcW w:w="875" w:type="dxa"/>
            <w:noWrap w:val="0"/>
            <w:vAlign w:val="top"/>
          </w:tcPr>
          <w:p w14:paraId="6DDE4CE0">
            <w:pPr>
              <w:rPr>
                <w:rFonts w:hint="eastAsia" w:ascii="宋体" w:hAnsi="宋体" w:eastAsia="宋体" w:cs="宋体"/>
                <w:sz w:val="21"/>
                <w:szCs w:val="21"/>
              </w:rPr>
            </w:pPr>
          </w:p>
        </w:tc>
        <w:tc>
          <w:tcPr>
            <w:tcW w:w="2238" w:type="dxa"/>
            <w:noWrap w:val="0"/>
            <w:vAlign w:val="top"/>
          </w:tcPr>
          <w:p w14:paraId="4B7C4295">
            <w:pPr>
              <w:rPr>
                <w:rFonts w:hint="eastAsia" w:ascii="宋体" w:hAnsi="宋体" w:eastAsia="宋体" w:cs="宋体"/>
                <w:sz w:val="21"/>
                <w:szCs w:val="21"/>
              </w:rPr>
            </w:pPr>
          </w:p>
        </w:tc>
        <w:tc>
          <w:tcPr>
            <w:tcW w:w="3497" w:type="dxa"/>
            <w:noWrap w:val="0"/>
            <w:vAlign w:val="top"/>
          </w:tcPr>
          <w:p w14:paraId="71B02C1C">
            <w:pPr>
              <w:rPr>
                <w:rFonts w:hint="eastAsia" w:ascii="宋体" w:hAnsi="宋体" w:eastAsia="宋体" w:cs="宋体"/>
                <w:sz w:val="21"/>
                <w:szCs w:val="21"/>
              </w:rPr>
            </w:pPr>
          </w:p>
        </w:tc>
        <w:tc>
          <w:tcPr>
            <w:tcW w:w="2868" w:type="dxa"/>
            <w:noWrap w:val="0"/>
            <w:vAlign w:val="top"/>
          </w:tcPr>
          <w:p w14:paraId="018806CB">
            <w:pPr>
              <w:rPr>
                <w:rFonts w:hint="eastAsia" w:ascii="宋体" w:hAnsi="宋体" w:eastAsia="宋体" w:cs="宋体"/>
                <w:sz w:val="21"/>
                <w:szCs w:val="21"/>
              </w:rPr>
            </w:pPr>
          </w:p>
        </w:tc>
        <w:tc>
          <w:tcPr>
            <w:tcW w:w="2838" w:type="dxa"/>
            <w:noWrap w:val="0"/>
            <w:vAlign w:val="top"/>
          </w:tcPr>
          <w:p w14:paraId="2D4F55CB">
            <w:pPr>
              <w:spacing w:before="91" w:line="222" w:lineRule="auto"/>
              <w:ind w:left="127" w:right="110"/>
              <w:rPr>
                <w:rFonts w:hint="eastAsia" w:ascii="宋体" w:hAnsi="宋体" w:eastAsia="宋体" w:cs="宋体"/>
                <w:sz w:val="21"/>
                <w:szCs w:val="21"/>
              </w:rPr>
            </w:pPr>
            <w:r>
              <w:rPr>
                <w:rFonts w:hint="eastAsia" w:ascii="宋体" w:hAnsi="宋体" w:eastAsia="宋体" w:cs="宋体"/>
                <w:spacing w:val="19"/>
                <w:sz w:val="21"/>
                <w:szCs w:val="21"/>
              </w:rPr>
              <w:t>全作业培训并取得相应</w:t>
            </w:r>
            <w:r>
              <w:rPr>
                <w:rFonts w:hint="eastAsia" w:ascii="宋体" w:hAnsi="宋体" w:eastAsia="宋体" w:cs="宋体"/>
                <w:spacing w:val="13"/>
                <w:sz w:val="21"/>
                <w:szCs w:val="21"/>
              </w:rPr>
              <w:t>资格，上岗作业的。</w:t>
            </w:r>
          </w:p>
        </w:tc>
        <w:tc>
          <w:tcPr>
            <w:tcW w:w="1254" w:type="dxa"/>
            <w:noWrap w:val="0"/>
            <w:vAlign w:val="top"/>
          </w:tcPr>
          <w:p w14:paraId="0F87E6B9">
            <w:pPr>
              <w:rPr>
                <w:rFonts w:hint="eastAsia" w:ascii="宋体" w:hAnsi="宋体" w:eastAsia="宋体" w:cs="宋体"/>
                <w:sz w:val="21"/>
                <w:szCs w:val="21"/>
              </w:rPr>
            </w:pPr>
          </w:p>
        </w:tc>
      </w:tr>
      <w:tr w14:paraId="1FCDB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6" w:hRule="atLeast"/>
          <w:jc w:val="center"/>
        </w:trPr>
        <w:tc>
          <w:tcPr>
            <w:tcW w:w="875" w:type="dxa"/>
            <w:noWrap w:val="0"/>
            <w:vAlign w:val="top"/>
          </w:tcPr>
          <w:p w14:paraId="31D11F41">
            <w:pPr>
              <w:spacing w:line="247" w:lineRule="auto"/>
              <w:rPr>
                <w:rFonts w:hint="eastAsia" w:ascii="宋体" w:hAnsi="宋体" w:eastAsia="宋体" w:cs="宋体"/>
                <w:sz w:val="21"/>
                <w:szCs w:val="21"/>
              </w:rPr>
            </w:pPr>
          </w:p>
          <w:p w14:paraId="68DC965D">
            <w:pPr>
              <w:spacing w:line="247" w:lineRule="auto"/>
              <w:rPr>
                <w:rFonts w:hint="eastAsia" w:ascii="宋体" w:hAnsi="宋体" w:eastAsia="宋体" w:cs="宋体"/>
                <w:sz w:val="21"/>
                <w:szCs w:val="21"/>
              </w:rPr>
            </w:pPr>
          </w:p>
          <w:p w14:paraId="4DBEC353">
            <w:pPr>
              <w:spacing w:line="247" w:lineRule="auto"/>
              <w:rPr>
                <w:rFonts w:hint="eastAsia" w:ascii="宋体" w:hAnsi="宋体" w:eastAsia="宋体" w:cs="宋体"/>
                <w:sz w:val="21"/>
                <w:szCs w:val="21"/>
              </w:rPr>
            </w:pPr>
          </w:p>
          <w:p w14:paraId="50AEFF64">
            <w:pPr>
              <w:spacing w:line="247" w:lineRule="auto"/>
              <w:rPr>
                <w:rFonts w:hint="eastAsia" w:ascii="宋体" w:hAnsi="宋体" w:eastAsia="宋体" w:cs="宋体"/>
                <w:sz w:val="21"/>
                <w:szCs w:val="21"/>
              </w:rPr>
            </w:pPr>
          </w:p>
          <w:p w14:paraId="49023237">
            <w:pPr>
              <w:spacing w:line="247" w:lineRule="auto"/>
              <w:rPr>
                <w:rFonts w:hint="eastAsia" w:ascii="宋体" w:hAnsi="宋体" w:eastAsia="宋体" w:cs="宋体"/>
                <w:sz w:val="21"/>
                <w:szCs w:val="21"/>
              </w:rPr>
            </w:pPr>
          </w:p>
          <w:p w14:paraId="03366812">
            <w:pPr>
              <w:spacing w:line="247" w:lineRule="auto"/>
              <w:rPr>
                <w:rFonts w:hint="eastAsia" w:ascii="宋体" w:hAnsi="宋体" w:eastAsia="宋体" w:cs="宋体"/>
                <w:sz w:val="21"/>
                <w:szCs w:val="21"/>
              </w:rPr>
            </w:pPr>
          </w:p>
          <w:p w14:paraId="7FEF86AF">
            <w:pPr>
              <w:spacing w:line="247" w:lineRule="auto"/>
              <w:rPr>
                <w:rFonts w:hint="eastAsia" w:ascii="宋体" w:hAnsi="宋体" w:eastAsia="宋体" w:cs="宋体"/>
                <w:sz w:val="21"/>
                <w:szCs w:val="21"/>
              </w:rPr>
            </w:pPr>
          </w:p>
          <w:p w14:paraId="0C7F641A">
            <w:pPr>
              <w:spacing w:line="247" w:lineRule="auto"/>
              <w:rPr>
                <w:rFonts w:hint="eastAsia" w:ascii="宋体" w:hAnsi="宋体" w:eastAsia="宋体" w:cs="宋体"/>
                <w:sz w:val="21"/>
                <w:szCs w:val="21"/>
              </w:rPr>
            </w:pPr>
          </w:p>
          <w:p w14:paraId="1924662A">
            <w:pPr>
              <w:spacing w:line="247" w:lineRule="auto"/>
              <w:rPr>
                <w:rFonts w:hint="eastAsia" w:ascii="宋体" w:hAnsi="宋体" w:eastAsia="宋体" w:cs="宋体"/>
                <w:sz w:val="21"/>
                <w:szCs w:val="21"/>
              </w:rPr>
            </w:pPr>
          </w:p>
          <w:p w14:paraId="1608B1E7">
            <w:pPr>
              <w:spacing w:line="247" w:lineRule="auto"/>
              <w:rPr>
                <w:rFonts w:hint="eastAsia" w:ascii="宋体" w:hAnsi="宋体" w:eastAsia="宋体" w:cs="宋体"/>
                <w:sz w:val="21"/>
                <w:szCs w:val="21"/>
              </w:rPr>
            </w:pPr>
          </w:p>
          <w:p w14:paraId="548E7503">
            <w:pPr>
              <w:spacing w:line="248" w:lineRule="auto"/>
              <w:rPr>
                <w:rFonts w:hint="eastAsia" w:ascii="宋体" w:hAnsi="宋体" w:eastAsia="宋体" w:cs="宋体"/>
                <w:sz w:val="21"/>
                <w:szCs w:val="21"/>
              </w:rPr>
            </w:pPr>
          </w:p>
          <w:p w14:paraId="42808367">
            <w:pPr>
              <w:spacing w:line="248" w:lineRule="auto"/>
              <w:rPr>
                <w:rFonts w:hint="eastAsia" w:ascii="宋体" w:hAnsi="宋体" w:eastAsia="宋体" w:cs="宋体"/>
                <w:sz w:val="21"/>
                <w:szCs w:val="21"/>
              </w:rPr>
            </w:pPr>
          </w:p>
          <w:p w14:paraId="115F0695">
            <w:pPr>
              <w:spacing w:line="248" w:lineRule="auto"/>
              <w:rPr>
                <w:rFonts w:hint="eastAsia" w:ascii="宋体" w:hAnsi="宋体" w:eastAsia="宋体" w:cs="宋体"/>
                <w:sz w:val="21"/>
                <w:szCs w:val="21"/>
              </w:rPr>
            </w:pPr>
          </w:p>
          <w:p w14:paraId="63ACF9BF">
            <w:pPr>
              <w:spacing w:before="78" w:line="184" w:lineRule="auto"/>
              <w:ind w:left="305"/>
              <w:rPr>
                <w:rFonts w:hint="eastAsia" w:ascii="宋体" w:hAnsi="宋体" w:eastAsia="宋体" w:cs="宋体"/>
                <w:sz w:val="21"/>
                <w:szCs w:val="21"/>
              </w:rPr>
            </w:pPr>
            <w:r>
              <w:rPr>
                <w:rFonts w:hint="eastAsia" w:ascii="宋体" w:hAnsi="宋体" w:eastAsia="宋体" w:cs="宋体"/>
                <w:spacing w:val="-7"/>
                <w:sz w:val="21"/>
                <w:szCs w:val="21"/>
              </w:rPr>
              <w:t>1</w:t>
            </w:r>
            <w:r>
              <w:rPr>
                <w:rFonts w:hint="eastAsia" w:ascii="宋体" w:hAnsi="宋体" w:eastAsia="宋体" w:cs="宋体"/>
                <w:spacing w:val="-7"/>
                <w:sz w:val="21"/>
                <w:szCs w:val="21"/>
                <w:lang w:val="en-US" w:eastAsia="zh-CN"/>
              </w:rPr>
              <w:t>7</w:t>
            </w:r>
          </w:p>
        </w:tc>
        <w:tc>
          <w:tcPr>
            <w:tcW w:w="2238" w:type="dxa"/>
            <w:noWrap w:val="0"/>
            <w:vAlign w:val="top"/>
          </w:tcPr>
          <w:p w14:paraId="4F3A5418">
            <w:pPr>
              <w:spacing w:line="258" w:lineRule="auto"/>
              <w:rPr>
                <w:rFonts w:hint="eastAsia" w:ascii="宋体" w:hAnsi="宋体" w:eastAsia="宋体" w:cs="宋体"/>
                <w:sz w:val="21"/>
                <w:szCs w:val="21"/>
              </w:rPr>
            </w:pPr>
          </w:p>
          <w:p w14:paraId="67D35D42">
            <w:pPr>
              <w:spacing w:line="258" w:lineRule="auto"/>
              <w:rPr>
                <w:rFonts w:hint="eastAsia" w:ascii="宋体" w:hAnsi="宋体" w:eastAsia="宋体" w:cs="宋体"/>
                <w:sz w:val="21"/>
                <w:szCs w:val="21"/>
              </w:rPr>
            </w:pPr>
          </w:p>
          <w:p w14:paraId="0C2AF919">
            <w:pPr>
              <w:spacing w:line="258" w:lineRule="auto"/>
              <w:rPr>
                <w:rFonts w:hint="eastAsia" w:ascii="宋体" w:hAnsi="宋体" w:eastAsia="宋体" w:cs="宋体"/>
                <w:sz w:val="21"/>
                <w:szCs w:val="21"/>
              </w:rPr>
            </w:pPr>
          </w:p>
          <w:p w14:paraId="2A010FE5">
            <w:pPr>
              <w:spacing w:line="258" w:lineRule="auto"/>
              <w:rPr>
                <w:rFonts w:hint="eastAsia" w:ascii="宋体" w:hAnsi="宋体" w:eastAsia="宋体" w:cs="宋体"/>
                <w:sz w:val="21"/>
                <w:szCs w:val="21"/>
              </w:rPr>
            </w:pPr>
          </w:p>
          <w:p w14:paraId="27A01559">
            <w:pPr>
              <w:spacing w:line="258" w:lineRule="auto"/>
              <w:rPr>
                <w:rFonts w:hint="eastAsia" w:ascii="宋体" w:hAnsi="宋体" w:eastAsia="宋体" w:cs="宋体"/>
                <w:sz w:val="21"/>
                <w:szCs w:val="21"/>
              </w:rPr>
            </w:pPr>
          </w:p>
          <w:p w14:paraId="724759BF">
            <w:pPr>
              <w:spacing w:line="258" w:lineRule="auto"/>
              <w:rPr>
                <w:rFonts w:hint="eastAsia" w:ascii="宋体" w:hAnsi="宋体" w:eastAsia="宋体" w:cs="宋体"/>
                <w:sz w:val="21"/>
                <w:szCs w:val="21"/>
              </w:rPr>
            </w:pPr>
          </w:p>
          <w:p w14:paraId="5F57E050">
            <w:pPr>
              <w:spacing w:line="258" w:lineRule="auto"/>
              <w:rPr>
                <w:rFonts w:hint="eastAsia" w:ascii="宋体" w:hAnsi="宋体" w:eastAsia="宋体" w:cs="宋体"/>
                <w:sz w:val="21"/>
                <w:szCs w:val="21"/>
              </w:rPr>
            </w:pPr>
          </w:p>
          <w:p w14:paraId="6D0C337E">
            <w:pPr>
              <w:spacing w:line="258" w:lineRule="auto"/>
              <w:rPr>
                <w:rFonts w:hint="eastAsia" w:ascii="宋体" w:hAnsi="宋体" w:eastAsia="宋体" w:cs="宋体"/>
                <w:sz w:val="21"/>
                <w:szCs w:val="21"/>
              </w:rPr>
            </w:pPr>
          </w:p>
          <w:p w14:paraId="6B13C8FD">
            <w:pPr>
              <w:spacing w:line="258" w:lineRule="auto"/>
              <w:rPr>
                <w:rFonts w:hint="eastAsia" w:ascii="宋体" w:hAnsi="宋体" w:eastAsia="宋体" w:cs="宋体"/>
                <w:sz w:val="21"/>
                <w:szCs w:val="21"/>
              </w:rPr>
            </w:pPr>
          </w:p>
          <w:p w14:paraId="3B58B67D">
            <w:pPr>
              <w:spacing w:line="258" w:lineRule="auto"/>
              <w:rPr>
                <w:rFonts w:hint="eastAsia" w:ascii="宋体" w:hAnsi="宋体" w:eastAsia="宋体" w:cs="宋体"/>
                <w:sz w:val="21"/>
                <w:szCs w:val="21"/>
              </w:rPr>
            </w:pPr>
          </w:p>
          <w:p w14:paraId="5A387535">
            <w:pPr>
              <w:spacing w:before="78" w:line="236" w:lineRule="auto"/>
              <w:ind w:left="120" w:right="37" w:firstLine="29"/>
              <w:jc w:val="both"/>
              <w:rPr>
                <w:rFonts w:hint="eastAsia" w:ascii="宋体" w:hAnsi="宋体" w:eastAsia="宋体" w:cs="宋体"/>
                <w:sz w:val="21"/>
                <w:szCs w:val="21"/>
              </w:rPr>
            </w:pPr>
            <w:r>
              <w:rPr>
                <w:rFonts w:hint="eastAsia" w:ascii="宋体" w:hAnsi="宋体" w:eastAsia="宋体" w:cs="宋体"/>
                <w:spacing w:val="1"/>
                <w:sz w:val="21"/>
                <w:szCs w:val="21"/>
              </w:rPr>
              <w:t>涉及“两重点一重</w:t>
            </w:r>
            <w:r>
              <w:rPr>
                <w:rFonts w:hint="eastAsia" w:ascii="宋体" w:hAnsi="宋体" w:eastAsia="宋体" w:cs="宋体"/>
                <w:spacing w:val="18"/>
                <w:sz w:val="21"/>
                <w:szCs w:val="21"/>
              </w:rPr>
              <w:t>大”的生产装置、</w:t>
            </w:r>
            <w:r>
              <w:rPr>
                <w:rFonts w:hint="eastAsia" w:ascii="宋体" w:hAnsi="宋体" w:eastAsia="宋体" w:cs="宋体"/>
                <w:spacing w:val="2"/>
                <w:sz w:val="21"/>
                <w:szCs w:val="21"/>
              </w:rPr>
              <w:t>储存设施外部安全</w:t>
            </w:r>
            <w:r>
              <w:rPr>
                <w:rFonts w:hint="eastAsia" w:ascii="宋体" w:hAnsi="宋体" w:eastAsia="宋体" w:cs="宋体"/>
                <w:spacing w:val="6"/>
                <w:sz w:val="21"/>
                <w:szCs w:val="21"/>
              </w:rPr>
              <w:t>防护距离不符合国</w:t>
            </w:r>
            <w:r>
              <w:rPr>
                <w:rFonts w:hint="eastAsia" w:ascii="宋体" w:hAnsi="宋体" w:eastAsia="宋体" w:cs="宋体"/>
                <w:spacing w:val="20"/>
                <w:sz w:val="21"/>
                <w:szCs w:val="21"/>
              </w:rPr>
              <w:t>家标准要求。</w:t>
            </w:r>
          </w:p>
        </w:tc>
        <w:tc>
          <w:tcPr>
            <w:tcW w:w="3497" w:type="dxa"/>
            <w:noWrap w:val="0"/>
            <w:vAlign w:val="top"/>
          </w:tcPr>
          <w:p w14:paraId="54F2C0FC">
            <w:pPr>
              <w:spacing w:before="108" w:line="253" w:lineRule="auto"/>
              <w:ind w:left="112" w:firstLine="488"/>
              <w:rPr>
                <w:rFonts w:hint="eastAsia" w:ascii="宋体" w:hAnsi="宋体" w:eastAsia="宋体" w:cs="宋体"/>
                <w:sz w:val="21"/>
                <w:szCs w:val="21"/>
              </w:rPr>
            </w:pPr>
            <w:r>
              <w:rPr>
                <w:rFonts w:hint="eastAsia" w:ascii="宋体" w:hAnsi="宋体" w:eastAsia="宋体" w:cs="宋体"/>
                <w:spacing w:val="-2"/>
                <w:sz w:val="21"/>
                <w:szCs w:val="21"/>
              </w:rPr>
              <w:t>1.《中华人民共和国安全生</w:t>
            </w:r>
            <w:r>
              <w:rPr>
                <w:rFonts w:hint="eastAsia" w:ascii="宋体" w:hAnsi="宋体" w:eastAsia="宋体" w:cs="宋体"/>
                <w:spacing w:val="9"/>
                <w:sz w:val="21"/>
                <w:szCs w:val="21"/>
              </w:rPr>
              <w:t>产法》第四十一条第二款生产</w:t>
            </w:r>
            <w:r>
              <w:rPr>
                <w:rFonts w:hint="eastAsia" w:ascii="宋体" w:hAnsi="宋体" w:eastAsia="宋体" w:cs="宋体"/>
                <w:spacing w:val="19"/>
                <w:sz w:val="21"/>
                <w:szCs w:val="21"/>
              </w:rPr>
              <w:t>经营单位应当建立健全并落实</w:t>
            </w:r>
            <w:r>
              <w:rPr>
                <w:rFonts w:hint="eastAsia" w:ascii="宋体" w:hAnsi="宋体" w:eastAsia="宋体" w:cs="宋体"/>
                <w:spacing w:val="18"/>
                <w:sz w:val="21"/>
                <w:szCs w:val="21"/>
              </w:rPr>
              <w:t>生产安全事故隐患排查治理制</w:t>
            </w:r>
            <w:r>
              <w:rPr>
                <w:rFonts w:hint="eastAsia" w:ascii="宋体" w:hAnsi="宋体" w:eastAsia="宋体" w:cs="宋体"/>
                <w:spacing w:val="10"/>
                <w:sz w:val="21"/>
                <w:szCs w:val="21"/>
              </w:rPr>
              <w:t>度，采取技术、管理措施，及时</w:t>
            </w:r>
            <w:r>
              <w:rPr>
                <w:rFonts w:hint="eastAsia" w:ascii="宋体" w:hAnsi="宋体" w:eastAsia="宋体" w:cs="宋体"/>
                <w:spacing w:val="11"/>
                <w:sz w:val="21"/>
                <w:szCs w:val="21"/>
              </w:rPr>
              <w:t>发现并消除事故隐患。事故隐患</w:t>
            </w:r>
            <w:r>
              <w:rPr>
                <w:rFonts w:hint="eastAsia" w:ascii="宋体" w:hAnsi="宋体" w:eastAsia="宋体" w:cs="宋体"/>
                <w:spacing w:val="8"/>
                <w:sz w:val="21"/>
                <w:szCs w:val="21"/>
              </w:rPr>
              <w:t>排查治理情况应当如实记录，并</w:t>
            </w:r>
            <w:r>
              <w:rPr>
                <w:rFonts w:hint="eastAsia" w:ascii="宋体" w:hAnsi="宋体" w:eastAsia="宋体" w:cs="宋体"/>
                <w:spacing w:val="19"/>
                <w:sz w:val="21"/>
                <w:szCs w:val="21"/>
              </w:rPr>
              <w:t>通过职工大会或者职工代表大</w:t>
            </w:r>
            <w:r>
              <w:rPr>
                <w:rFonts w:hint="eastAsia" w:ascii="宋体" w:hAnsi="宋体" w:eastAsia="宋体" w:cs="宋体"/>
                <w:spacing w:val="8"/>
                <w:sz w:val="21"/>
                <w:szCs w:val="21"/>
              </w:rPr>
              <w:t>会、信息公示栏等方式向从业人</w:t>
            </w:r>
            <w:r>
              <w:rPr>
                <w:rFonts w:hint="eastAsia" w:ascii="宋体" w:hAnsi="宋体" w:eastAsia="宋体" w:cs="宋体"/>
                <w:spacing w:val="9"/>
                <w:sz w:val="21"/>
                <w:szCs w:val="21"/>
              </w:rPr>
              <w:t>员通报。其中，重大事故隐患排</w:t>
            </w:r>
            <w:r>
              <w:rPr>
                <w:rFonts w:hint="eastAsia" w:ascii="宋体" w:hAnsi="宋体" w:eastAsia="宋体" w:cs="宋体"/>
                <w:spacing w:val="19"/>
                <w:sz w:val="21"/>
                <w:szCs w:val="21"/>
              </w:rPr>
              <w:t>查治理情况应当及时向负有安</w:t>
            </w:r>
            <w:r>
              <w:rPr>
                <w:rFonts w:hint="eastAsia" w:ascii="宋体" w:hAnsi="宋体" w:eastAsia="宋体" w:cs="宋体"/>
                <w:spacing w:val="20"/>
                <w:sz w:val="21"/>
                <w:szCs w:val="21"/>
              </w:rPr>
              <w:t>全生产监督管理职责的部门和</w:t>
            </w:r>
            <w:r>
              <w:rPr>
                <w:rFonts w:hint="eastAsia" w:ascii="宋体" w:hAnsi="宋体" w:eastAsia="宋体" w:cs="宋体"/>
                <w:spacing w:val="19"/>
                <w:sz w:val="21"/>
                <w:szCs w:val="21"/>
              </w:rPr>
              <w:t>职工大会或者职工代表大会报</w:t>
            </w:r>
            <w:r>
              <w:rPr>
                <w:rFonts w:hint="eastAsia" w:ascii="宋体" w:hAnsi="宋体" w:eastAsia="宋体" w:cs="宋体"/>
                <w:spacing w:val="-3"/>
                <w:sz w:val="21"/>
                <w:szCs w:val="21"/>
              </w:rPr>
              <w:t>告。</w:t>
            </w:r>
          </w:p>
          <w:p w14:paraId="0A8BA0E6">
            <w:pPr>
              <w:spacing w:before="77" w:line="245" w:lineRule="auto"/>
              <w:ind w:left="112" w:firstLine="455"/>
              <w:rPr>
                <w:rFonts w:hint="eastAsia" w:ascii="宋体" w:hAnsi="宋体" w:eastAsia="宋体" w:cs="宋体"/>
                <w:sz w:val="21"/>
                <w:szCs w:val="21"/>
              </w:rPr>
            </w:pPr>
            <w:r>
              <w:rPr>
                <w:rFonts w:hint="eastAsia" w:ascii="宋体" w:hAnsi="宋体" w:eastAsia="宋体" w:cs="宋体"/>
                <w:spacing w:val="-8"/>
                <w:sz w:val="21"/>
                <w:szCs w:val="21"/>
              </w:rPr>
              <w:t>2.《化工和危险化学品生产</w:t>
            </w:r>
            <w:r>
              <w:rPr>
                <w:rFonts w:hint="eastAsia" w:ascii="宋体" w:hAnsi="宋体" w:eastAsia="宋体" w:cs="宋体"/>
                <w:spacing w:val="13"/>
                <w:sz w:val="21"/>
                <w:szCs w:val="21"/>
              </w:rPr>
              <w:t>经营单位重大生产安全事故隐</w:t>
            </w:r>
            <w:r>
              <w:rPr>
                <w:rFonts w:hint="eastAsia" w:ascii="宋体" w:hAnsi="宋体" w:eastAsia="宋体" w:cs="宋体"/>
                <w:spacing w:val="20"/>
                <w:sz w:val="21"/>
                <w:szCs w:val="21"/>
              </w:rPr>
              <w:t>患判定标准(试行)》(安监总</w:t>
            </w:r>
            <w:r>
              <w:rPr>
                <w:rFonts w:hint="eastAsia" w:ascii="宋体" w:hAnsi="宋体" w:eastAsia="宋体" w:cs="宋体"/>
                <w:spacing w:val="1"/>
                <w:sz w:val="21"/>
                <w:szCs w:val="21"/>
              </w:rPr>
              <w:t>管三〔2017〕121号)第三条涉</w:t>
            </w:r>
            <w:r>
              <w:rPr>
                <w:rFonts w:hint="eastAsia" w:ascii="宋体" w:hAnsi="宋体" w:eastAsia="宋体" w:cs="宋体"/>
                <w:spacing w:val="10"/>
                <w:sz w:val="21"/>
                <w:szCs w:val="21"/>
              </w:rPr>
              <w:t>及"两重点一重大"的生产装置、</w:t>
            </w:r>
            <w:r>
              <w:rPr>
                <w:rFonts w:hint="eastAsia" w:ascii="宋体" w:hAnsi="宋体" w:eastAsia="宋体" w:cs="宋体"/>
                <w:spacing w:val="15"/>
                <w:sz w:val="21"/>
                <w:szCs w:val="21"/>
              </w:rPr>
              <w:t>储存设施外部安全防护距离不符合国家标准要求。</w:t>
            </w:r>
          </w:p>
        </w:tc>
        <w:tc>
          <w:tcPr>
            <w:tcW w:w="2868" w:type="dxa"/>
            <w:noWrap w:val="0"/>
            <w:vAlign w:val="top"/>
          </w:tcPr>
          <w:p w14:paraId="3C345DF4">
            <w:pPr>
              <w:rPr>
                <w:rFonts w:hint="eastAsia" w:ascii="宋体" w:hAnsi="宋体" w:eastAsia="宋体" w:cs="宋体"/>
                <w:sz w:val="21"/>
                <w:szCs w:val="21"/>
              </w:rPr>
            </w:pPr>
          </w:p>
        </w:tc>
        <w:tc>
          <w:tcPr>
            <w:tcW w:w="2838" w:type="dxa"/>
            <w:noWrap w:val="0"/>
            <w:vAlign w:val="top"/>
          </w:tcPr>
          <w:p w14:paraId="4601B9D3">
            <w:pPr>
              <w:spacing w:line="287" w:lineRule="auto"/>
              <w:rPr>
                <w:rFonts w:hint="eastAsia" w:ascii="宋体" w:hAnsi="宋体" w:eastAsia="宋体" w:cs="宋体"/>
                <w:sz w:val="21"/>
                <w:szCs w:val="21"/>
              </w:rPr>
            </w:pPr>
          </w:p>
          <w:p w14:paraId="705E8CC8">
            <w:pPr>
              <w:spacing w:line="287" w:lineRule="auto"/>
              <w:rPr>
                <w:rFonts w:hint="eastAsia" w:ascii="宋体" w:hAnsi="宋体" w:eastAsia="宋体" w:cs="宋体"/>
                <w:sz w:val="21"/>
                <w:szCs w:val="21"/>
              </w:rPr>
            </w:pPr>
          </w:p>
          <w:p w14:paraId="2062CD5F">
            <w:pPr>
              <w:spacing w:line="287" w:lineRule="auto"/>
              <w:rPr>
                <w:rFonts w:hint="eastAsia" w:ascii="宋体" w:hAnsi="宋体" w:eastAsia="宋体" w:cs="宋体"/>
                <w:sz w:val="21"/>
                <w:szCs w:val="21"/>
              </w:rPr>
            </w:pPr>
          </w:p>
          <w:p w14:paraId="37D9311F">
            <w:pPr>
              <w:spacing w:line="287" w:lineRule="auto"/>
              <w:rPr>
                <w:rFonts w:hint="eastAsia" w:ascii="宋体" w:hAnsi="宋体" w:eastAsia="宋体" w:cs="宋体"/>
                <w:sz w:val="21"/>
                <w:szCs w:val="21"/>
              </w:rPr>
            </w:pPr>
          </w:p>
          <w:p w14:paraId="214354BE">
            <w:pPr>
              <w:spacing w:before="75" w:line="253" w:lineRule="auto"/>
              <w:ind w:left="116" w:firstLine="469"/>
              <w:jc w:val="both"/>
              <w:rPr>
                <w:rFonts w:hint="eastAsia" w:ascii="宋体" w:hAnsi="宋体" w:eastAsia="宋体" w:cs="宋体"/>
                <w:sz w:val="21"/>
                <w:szCs w:val="21"/>
              </w:rPr>
            </w:pPr>
            <w:r>
              <w:rPr>
                <w:rFonts w:hint="eastAsia" w:ascii="宋体" w:hAnsi="宋体" w:eastAsia="宋体" w:cs="宋体"/>
                <w:spacing w:val="29"/>
                <w:sz w:val="21"/>
                <w:szCs w:val="21"/>
              </w:rPr>
              <w:t>《中华人民共和国</w:t>
            </w:r>
            <w:r>
              <w:rPr>
                <w:rFonts w:hint="eastAsia" w:ascii="宋体" w:hAnsi="宋体" w:eastAsia="宋体" w:cs="宋体"/>
                <w:spacing w:val="6"/>
                <w:sz w:val="21"/>
                <w:szCs w:val="21"/>
              </w:rPr>
              <w:t>安全生产法》第一百零二</w:t>
            </w:r>
            <w:r>
              <w:rPr>
                <w:rFonts w:hint="eastAsia" w:ascii="宋体" w:hAnsi="宋体" w:eastAsia="宋体" w:cs="宋体"/>
                <w:spacing w:val="18"/>
                <w:sz w:val="21"/>
                <w:szCs w:val="21"/>
              </w:rPr>
              <w:t>条生产经营单位未采</w:t>
            </w:r>
            <w:r>
              <w:rPr>
                <w:rFonts w:hint="eastAsia" w:ascii="宋体" w:hAnsi="宋体" w:eastAsia="宋体" w:cs="宋体"/>
                <w:spacing w:val="16"/>
                <w:sz w:val="21"/>
                <w:szCs w:val="21"/>
              </w:rPr>
              <w:t>取措施消除事故隐患的，</w:t>
            </w:r>
            <w:r>
              <w:rPr>
                <w:rFonts w:hint="eastAsia" w:ascii="宋体" w:hAnsi="宋体" w:eastAsia="宋体" w:cs="宋体"/>
                <w:spacing w:val="23"/>
                <w:sz w:val="21"/>
                <w:szCs w:val="21"/>
              </w:rPr>
              <w:t>责令立即消除或者限期</w:t>
            </w:r>
            <w:r>
              <w:rPr>
                <w:rFonts w:hint="eastAsia" w:ascii="宋体" w:hAnsi="宋体" w:eastAsia="宋体" w:cs="宋体"/>
                <w:spacing w:val="8"/>
                <w:sz w:val="21"/>
                <w:szCs w:val="21"/>
              </w:rPr>
              <w:t>消除，处五万元以下的罚</w:t>
            </w:r>
            <w:r>
              <w:rPr>
                <w:rFonts w:hint="eastAsia" w:ascii="宋体" w:hAnsi="宋体" w:eastAsia="宋体" w:cs="宋体"/>
                <w:spacing w:val="6"/>
                <w:sz w:val="21"/>
                <w:szCs w:val="21"/>
              </w:rPr>
              <w:t>款；生产经营单位拒不执</w:t>
            </w:r>
            <w:r>
              <w:rPr>
                <w:rFonts w:hint="eastAsia" w:ascii="宋体" w:hAnsi="宋体" w:eastAsia="宋体" w:cs="宋体"/>
                <w:spacing w:val="24"/>
                <w:sz w:val="21"/>
                <w:szCs w:val="21"/>
              </w:rPr>
              <w:t>行的，责令停产停业整</w:t>
            </w:r>
            <w:r>
              <w:rPr>
                <w:rFonts w:hint="eastAsia" w:ascii="宋体" w:hAnsi="宋体" w:eastAsia="宋体" w:cs="宋体"/>
                <w:spacing w:val="6"/>
                <w:sz w:val="21"/>
                <w:szCs w:val="21"/>
              </w:rPr>
              <w:t>顿，对其直接负责的主管</w:t>
            </w:r>
            <w:r>
              <w:rPr>
                <w:rFonts w:hint="eastAsia" w:ascii="宋体" w:hAnsi="宋体" w:eastAsia="宋体" w:cs="宋体"/>
                <w:spacing w:val="26"/>
                <w:sz w:val="21"/>
                <w:szCs w:val="21"/>
              </w:rPr>
              <w:t>人员和其他直接责任人员处五万元以上十万元</w:t>
            </w:r>
            <w:r>
              <w:rPr>
                <w:rFonts w:hint="eastAsia" w:ascii="宋体" w:hAnsi="宋体" w:eastAsia="宋体" w:cs="宋体"/>
                <w:spacing w:val="25"/>
                <w:sz w:val="21"/>
                <w:szCs w:val="21"/>
              </w:rPr>
              <w:t>以下的罚款；构成犯罪</w:t>
            </w:r>
            <w:r>
              <w:rPr>
                <w:rFonts w:hint="eastAsia" w:ascii="宋体" w:hAnsi="宋体" w:eastAsia="宋体" w:cs="宋体"/>
                <w:spacing w:val="6"/>
                <w:sz w:val="21"/>
                <w:szCs w:val="21"/>
              </w:rPr>
              <w:t>的，依照刑法有关规定追</w:t>
            </w:r>
            <w:r>
              <w:rPr>
                <w:rFonts w:hint="eastAsia" w:ascii="宋体" w:hAnsi="宋体" w:eastAsia="宋体" w:cs="宋体"/>
                <w:spacing w:val="25"/>
                <w:sz w:val="21"/>
                <w:szCs w:val="21"/>
              </w:rPr>
              <w:t>究刑事责任。</w:t>
            </w:r>
          </w:p>
        </w:tc>
        <w:tc>
          <w:tcPr>
            <w:tcW w:w="1254" w:type="dxa"/>
            <w:noWrap w:val="0"/>
            <w:vAlign w:val="top"/>
          </w:tcPr>
          <w:p w14:paraId="54A554D1">
            <w:pPr>
              <w:spacing w:line="252" w:lineRule="auto"/>
              <w:rPr>
                <w:rFonts w:hint="eastAsia" w:ascii="宋体" w:hAnsi="宋体" w:eastAsia="宋体" w:cs="宋体"/>
                <w:sz w:val="21"/>
                <w:szCs w:val="21"/>
              </w:rPr>
            </w:pPr>
          </w:p>
          <w:p w14:paraId="5098535A">
            <w:pPr>
              <w:spacing w:line="253" w:lineRule="auto"/>
              <w:rPr>
                <w:rFonts w:hint="eastAsia" w:ascii="宋体" w:hAnsi="宋体" w:eastAsia="宋体" w:cs="宋体"/>
                <w:sz w:val="21"/>
                <w:szCs w:val="21"/>
              </w:rPr>
            </w:pPr>
          </w:p>
          <w:p w14:paraId="6CC61C77">
            <w:pPr>
              <w:spacing w:line="253" w:lineRule="auto"/>
              <w:rPr>
                <w:rFonts w:hint="eastAsia" w:ascii="宋体" w:hAnsi="宋体" w:eastAsia="宋体" w:cs="宋体"/>
                <w:sz w:val="21"/>
                <w:szCs w:val="21"/>
              </w:rPr>
            </w:pPr>
          </w:p>
          <w:p w14:paraId="52F5C853">
            <w:pPr>
              <w:spacing w:line="253" w:lineRule="auto"/>
              <w:rPr>
                <w:rFonts w:hint="eastAsia" w:ascii="宋体" w:hAnsi="宋体" w:eastAsia="宋体" w:cs="宋体"/>
                <w:sz w:val="21"/>
                <w:szCs w:val="21"/>
              </w:rPr>
            </w:pPr>
          </w:p>
          <w:p w14:paraId="3E3EACDA">
            <w:pPr>
              <w:spacing w:line="253" w:lineRule="auto"/>
              <w:rPr>
                <w:rFonts w:hint="eastAsia" w:ascii="宋体" w:hAnsi="宋体" w:eastAsia="宋体" w:cs="宋体"/>
                <w:sz w:val="21"/>
                <w:szCs w:val="21"/>
              </w:rPr>
            </w:pPr>
          </w:p>
          <w:p w14:paraId="52643AC9">
            <w:pPr>
              <w:spacing w:line="253" w:lineRule="auto"/>
              <w:rPr>
                <w:rFonts w:hint="eastAsia" w:ascii="宋体" w:hAnsi="宋体" w:eastAsia="宋体" w:cs="宋体"/>
                <w:sz w:val="21"/>
                <w:szCs w:val="21"/>
              </w:rPr>
            </w:pPr>
          </w:p>
          <w:p w14:paraId="64F9EBB6">
            <w:pPr>
              <w:spacing w:line="253" w:lineRule="auto"/>
              <w:rPr>
                <w:rFonts w:hint="eastAsia" w:ascii="宋体" w:hAnsi="宋体" w:eastAsia="宋体" w:cs="宋体"/>
                <w:sz w:val="21"/>
                <w:szCs w:val="21"/>
              </w:rPr>
            </w:pPr>
          </w:p>
          <w:p w14:paraId="10A552F4">
            <w:pPr>
              <w:spacing w:line="253" w:lineRule="auto"/>
              <w:rPr>
                <w:rFonts w:hint="eastAsia" w:ascii="宋体" w:hAnsi="宋体" w:eastAsia="宋体" w:cs="宋体"/>
                <w:sz w:val="21"/>
                <w:szCs w:val="21"/>
              </w:rPr>
            </w:pPr>
          </w:p>
          <w:p w14:paraId="055026F3">
            <w:pPr>
              <w:spacing w:line="253" w:lineRule="auto"/>
              <w:rPr>
                <w:rFonts w:hint="eastAsia" w:ascii="宋体" w:hAnsi="宋体" w:eastAsia="宋体" w:cs="宋体"/>
                <w:sz w:val="21"/>
                <w:szCs w:val="21"/>
              </w:rPr>
            </w:pPr>
          </w:p>
          <w:p w14:paraId="7A8352EE">
            <w:pPr>
              <w:spacing w:line="253" w:lineRule="auto"/>
              <w:rPr>
                <w:rFonts w:hint="eastAsia" w:ascii="宋体" w:hAnsi="宋体" w:eastAsia="宋体" w:cs="宋体"/>
                <w:sz w:val="21"/>
                <w:szCs w:val="21"/>
              </w:rPr>
            </w:pPr>
          </w:p>
          <w:p w14:paraId="139AFB8C">
            <w:pPr>
              <w:spacing w:line="253" w:lineRule="auto"/>
              <w:rPr>
                <w:rFonts w:hint="eastAsia" w:ascii="宋体" w:hAnsi="宋体" w:eastAsia="宋体" w:cs="宋体"/>
                <w:sz w:val="21"/>
                <w:szCs w:val="21"/>
              </w:rPr>
            </w:pPr>
          </w:p>
          <w:p w14:paraId="78186C0D">
            <w:pPr>
              <w:spacing w:line="253" w:lineRule="auto"/>
              <w:rPr>
                <w:rFonts w:hint="eastAsia" w:ascii="宋体" w:hAnsi="宋体" w:eastAsia="宋体" w:cs="宋体"/>
                <w:sz w:val="21"/>
                <w:szCs w:val="21"/>
              </w:rPr>
            </w:pPr>
          </w:p>
          <w:p w14:paraId="6C00E749">
            <w:pPr>
              <w:spacing w:before="78" w:line="225" w:lineRule="auto"/>
              <w:ind w:left="99" w:right="160"/>
              <w:rPr>
                <w:rFonts w:hint="eastAsia" w:ascii="宋体" w:hAnsi="宋体" w:eastAsia="宋体" w:cs="宋体"/>
                <w:sz w:val="21"/>
                <w:szCs w:val="21"/>
              </w:rPr>
            </w:pPr>
            <w:r>
              <w:rPr>
                <w:rFonts w:hint="eastAsia" w:ascii="宋体" w:hAnsi="宋体" w:eastAsia="宋体" w:cs="宋体"/>
                <w:spacing w:val="6"/>
                <w:sz w:val="21"/>
                <w:szCs w:val="21"/>
              </w:rPr>
              <w:t>重大隐患</w:t>
            </w:r>
            <w:r>
              <w:rPr>
                <w:rFonts w:hint="eastAsia" w:ascii="宋体" w:hAnsi="宋体" w:eastAsia="宋体" w:cs="宋体"/>
                <w:spacing w:val="4"/>
                <w:sz w:val="21"/>
                <w:szCs w:val="21"/>
              </w:rPr>
              <w:t>管理</w:t>
            </w:r>
          </w:p>
        </w:tc>
      </w:tr>
    </w:tbl>
    <w:p w14:paraId="514D0CC6">
      <w:pPr>
        <w:rPr>
          <w:rFonts w:hint="eastAsia" w:ascii="宋体" w:hAnsi="宋体" w:eastAsia="宋体" w:cs="宋体"/>
          <w:sz w:val="21"/>
          <w:szCs w:val="21"/>
        </w:rPr>
      </w:pPr>
    </w:p>
    <w:p w14:paraId="125C2A50">
      <w:pPr>
        <w:sectPr>
          <w:pgSz w:w="16840" w:h="11900"/>
          <w:pgMar w:top="1440" w:right="1080" w:bottom="1440" w:left="1080" w:header="0" w:footer="0" w:gutter="0"/>
          <w:pgNumType w:fmt="decimal"/>
          <w:cols w:space="720" w:num="1"/>
        </w:sectPr>
      </w:pPr>
    </w:p>
    <w:p w14:paraId="536279FF"/>
    <w:p w14:paraId="25D6419D"/>
    <w:p w14:paraId="4D32F691">
      <w:pPr>
        <w:spacing w:line="220" w:lineRule="exact"/>
      </w:pP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4"/>
        <w:gridCol w:w="2228"/>
        <w:gridCol w:w="3507"/>
        <w:gridCol w:w="2868"/>
        <w:gridCol w:w="2848"/>
        <w:gridCol w:w="1244"/>
      </w:tblGrid>
      <w:tr w14:paraId="1B4805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jc w:val="center"/>
        </w:trPr>
        <w:tc>
          <w:tcPr>
            <w:tcW w:w="864" w:type="dxa"/>
            <w:noWrap w:val="0"/>
            <w:vAlign w:val="top"/>
          </w:tcPr>
          <w:p w14:paraId="3692FB3D">
            <w:pPr>
              <w:spacing w:before="226" w:line="221" w:lineRule="auto"/>
              <w:ind w:left="184"/>
              <w:rPr>
                <w:rFonts w:ascii="宋体" w:hAnsi="宋体" w:eastAsia="宋体" w:cs="宋体"/>
                <w:b/>
                <w:bCs/>
                <w:sz w:val="24"/>
                <w:szCs w:val="24"/>
              </w:rPr>
            </w:pPr>
            <w:r>
              <w:rPr>
                <w:rFonts w:ascii="宋体" w:hAnsi="宋体" w:eastAsia="宋体" w:cs="宋体"/>
                <w:b/>
                <w:bCs/>
                <w:spacing w:val="7"/>
                <w:sz w:val="24"/>
                <w:szCs w:val="24"/>
              </w:rPr>
              <w:t>序号</w:t>
            </w:r>
          </w:p>
        </w:tc>
        <w:tc>
          <w:tcPr>
            <w:tcW w:w="2228" w:type="dxa"/>
            <w:noWrap w:val="0"/>
            <w:vAlign w:val="top"/>
          </w:tcPr>
          <w:p w14:paraId="5DAAC452">
            <w:pPr>
              <w:spacing w:before="81" w:line="219" w:lineRule="auto"/>
              <w:ind w:left="624"/>
              <w:rPr>
                <w:rFonts w:ascii="宋体" w:hAnsi="宋体" w:eastAsia="宋体" w:cs="宋体"/>
                <w:b/>
                <w:bCs/>
                <w:sz w:val="24"/>
                <w:szCs w:val="24"/>
              </w:rPr>
            </w:pPr>
            <w:r>
              <w:rPr>
                <w:rFonts w:ascii="宋体" w:hAnsi="宋体" w:eastAsia="宋体" w:cs="宋体"/>
                <w:b/>
                <w:bCs/>
                <w:spacing w:val="-5"/>
                <w:sz w:val="24"/>
                <w:szCs w:val="24"/>
              </w:rPr>
              <w:t>执法检查</w:t>
            </w:r>
          </w:p>
          <w:p w14:paraId="07FC16B0">
            <w:pPr>
              <w:spacing w:before="34" w:line="210" w:lineRule="auto"/>
              <w:ind w:left="384"/>
              <w:rPr>
                <w:rFonts w:ascii="宋体" w:hAnsi="宋体" w:eastAsia="宋体" w:cs="宋体"/>
                <w:b/>
                <w:bCs/>
                <w:sz w:val="24"/>
                <w:szCs w:val="24"/>
              </w:rPr>
            </w:pPr>
            <w:r>
              <w:rPr>
                <w:rFonts w:ascii="宋体" w:hAnsi="宋体" w:eastAsia="宋体" w:cs="宋体"/>
                <w:b/>
                <w:bCs/>
                <w:spacing w:val="-4"/>
                <w:sz w:val="24"/>
                <w:szCs w:val="24"/>
              </w:rPr>
              <w:t>重点事项内容</w:t>
            </w:r>
          </w:p>
        </w:tc>
        <w:tc>
          <w:tcPr>
            <w:tcW w:w="3507" w:type="dxa"/>
            <w:noWrap w:val="0"/>
            <w:vAlign w:val="top"/>
          </w:tcPr>
          <w:p w14:paraId="5D767206">
            <w:pPr>
              <w:spacing w:before="219" w:line="219" w:lineRule="auto"/>
              <w:ind w:left="1026"/>
              <w:rPr>
                <w:rFonts w:ascii="宋体" w:hAnsi="宋体" w:eastAsia="宋体" w:cs="宋体"/>
                <w:b/>
                <w:bCs/>
                <w:sz w:val="24"/>
                <w:szCs w:val="24"/>
              </w:rPr>
            </w:pPr>
            <w:r>
              <w:rPr>
                <w:rFonts w:ascii="宋体" w:hAnsi="宋体" w:eastAsia="宋体" w:cs="宋体"/>
                <w:b/>
                <w:bCs/>
                <w:spacing w:val="5"/>
                <w:sz w:val="24"/>
                <w:szCs w:val="24"/>
              </w:rPr>
              <w:t>执法检查依据</w:t>
            </w:r>
          </w:p>
        </w:tc>
        <w:tc>
          <w:tcPr>
            <w:tcW w:w="2868" w:type="dxa"/>
            <w:noWrap w:val="0"/>
            <w:vAlign w:val="top"/>
          </w:tcPr>
          <w:p w14:paraId="1FCDE271">
            <w:pPr>
              <w:spacing w:before="95" w:line="220" w:lineRule="auto"/>
              <w:ind w:left="825"/>
              <w:rPr>
                <w:rFonts w:ascii="宋体" w:hAnsi="宋体" w:eastAsia="宋体" w:cs="宋体"/>
                <w:b/>
                <w:bCs/>
                <w:sz w:val="24"/>
                <w:szCs w:val="24"/>
              </w:rPr>
            </w:pPr>
            <w:r>
              <w:rPr>
                <w:rFonts w:ascii="宋体" w:hAnsi="宋体" w:eastAsia="宋体" w:cs="宋体"/>
                <w:b/>
                <w:bCs/>
                <w:spacing w:val="-2"/>
                <w:sz w:val="24"/>
                <w:szCs w:val="24"/>
              </w:rPr>
              <w:t>有关规范性</w:t>
            </w:r>
          </w:p>
          <w:p w14:paraId="5C058889">
            <w:pPr>
              <w:spacing w:before="49" w:line="187" w:lineRule="auto"/>
              <w:ind w:left="589"/>
              <w:rPr>
                <w:rFonts w:ascii="宋体" w:hAnsi="宋体" w:eastAsia="宋体" w:cs="宋体"/>
                <w:b/>
                <w:bCs/>
                <w:sz w:val="24"/>
                <w:szCs w:val="24"/>
              </w:rPr>
            </w:pPr>
            <w:r>
              <w:rPr>
                <w:rFonts w:ascii="宋体" w:hAnsi="宋体" w:eastAsia="宋体" w:cs="宋体"/>
                <w:b/>
                <w:bCs/>
                <w:spacing w:val="-4"/>
                <w:sz w:val="24"/>
                <w:szCs w:val="24"/>
              </w:rPr>
              <w:t>文件及标准要求</w:t>
            </w:r>
          </w:p>
        </w:tc>
        <w:tc>
          <w:tcPr>
            <w:tcW w:w="2848" w:type="dxa"/>
            <w:noWrap w:val="0"/>
            <w:vAlign w:val="top"/>
          </w:tcPr>
          <w:p w14:paraId="63B8F18B">
            <w:pPr>
              <w:spacing w:before="223" w:line="219" w:lineRule="auto"/>
              <w:ind w:left="908"/>
              <w:rPr>
                <w:rFonts w:ascii="宋体" w:hAnsi="宋体" w:eastAsia="宋体" w:cs="宋体"/>
                <w:b/>
                <w:bCs/>
                <w:sz w:val="24"/>
                <w:szCs w:val="24"/>
              </w:rPr>
            </w:pPr>
            <w:r>
              <w:rPr>
                <w:rFonts w:ascii="宋体" w:hAnsi="宋体" w:eastAsia="宋体" w:cs="宋体"/>
                <w:b/>
                <w:bCs/>
                <w:spacing w:val="13"/>
                <w:sz w:val="24"/>
                <w:szCs w:val="24"/>
              </w:rPr>
              <w:t>处罚依据</w:t>
            </w:r>
          </w:p>
        </w:tc>
        <w:tc>
          <w:tcPr>
            <w:tcW w:w="1244" w:type="dxa"/>
            <w:noWrap w:val="0"/>
            <w:vAlign w:val="top"/>
          </w:tcPr>
          <w:p w14:paraId="46DD4D04">
            <w:pPr>
              <w:spacing w:before="222" w:line="221" w:lineRule="auto"/>
              <w:ind w:left="383"/>
              <w:rPr>
                <w:rFonts w:ascii="宋体" w:hAnsi="宋体" w:eastAsia="宋体" w:cs="宋体"/>
                <w:b/>
                <w:bCs/>
                <w:sz w:val="24"/>
                <w:szCs w:val="24"/>
              </w:rPr>
            </w:pPr>
            <w:r>
              <w:rPr>
                <w:rFonts w:ascii="宋体" w:hAnsi="宋体" w:eastAsia="宋体" w:cs="宋体"/>
                <w:b/>
                <w:bCs/>
                <w:spacing w:val="-6"/>
                <w:sz w:val="24"/>
                <w:szCs w:val="24"/>
              </w:rPr>
              <w:t>备注</w:t>
            </w:r>
          </w:p>
        </w:tc>
      </w:tr>
      <w:tr w14:paraId="71488F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5" w:hRule="atLeast"/>
          <w:jc w:val="center"/>
        </w:trPr>
        <w:tc>
          <w:tcPr>
            <w:tcW w:w="864" w:type="dxa"/>
            <w:noWrap w:val="0"/>
            <w:vAlign w:val="top"/>
          </w:tcPr>
          <w:p w14:paraId="68D9FEE6">
            <w:pPr>
              <w:spacing w:line="252" w:lineRule="auto"/>
              <w:rPr>
                <w:rFonts w:hint="eastAsia" w:ascii="宋体" w:hAnsi="宋体" w:eastAsia="宋体" w:cs="宋体"/>
                <w:sz w:val="21"/>
                <w:szCs w:val="21"/>
              </w:rPr>
            </w:pPr>
          </w:p>
          <w:p w14:paraId="26EF11EA">
            <w:pPr>
              <w:spacing w:line="253" w:lineRule="auto"/>
              <w:rPr>
                <w:rFonts w:hint="eastAsia" w:ascii="宋体" w:hAnsi="宋体" w:eastAsia="宋体" w:cs="宋体"/>
                <w:sz w:val="21"/>
                <w:szCs w:val="21"/>
              </w:rPr>
            </w:pPr>
          </w:p>
          <w:p w14:paraId="00A833F2">
            <w:pPr>
              <w:spacing w:line="253" w:lineRule="auto"/>
              <w:rPr>
                <w:rFonts w:hint="eastAsia" w:ascii="宋体" w:hAnsi="宋体" w:eastAsia="宋体" w:cs="宋体"/>
                <w:sz w:val="21"/>
                <w:szCs w:val="21"/>
              </w:rPr>
            </w:pPr>
          </w:p>
          <w:p w14:paraId="2EA4314C">
            <w:pPr>
              <w:spacing w:line="253" w:lineRule="auto"/>
              <w:rPr>
                <w:rFonts w:hint="eastAsia" w:ascii="宋体" w:hAnsi="宋体" w:eastAsia="宋体" w:cs="宋体"/>
                <w:sz w:val="21"/>
                <w:szCs w:val="21"/>
              </w:rPr>
            </w:pPr>
          </w:p>
          <w:p w14:paraId="7E4F9B41">
            <w:pPr>
              <w:spacing w:line="253" w:lineRule="auto"/>
              <w:rPr>
                <w:rFonts w:hint="eastAsia" w:ascii="宋体" w:hAnsi="宋体" w:eastAsia="宋体" w:cs="宋体"/>
                <w:sz w:val="21"/>
                <w:szCs w:val="21"/>
              </w:rPr>
            </w:pPr>
          </w:p>
          <w:p w14:paraId="1FCD92FD">
            <w:pPr>
              <w:spacing w:line="253" w:lineRule="auto"/>
              <w:rPr>
                <w:rFonts w:hint="eastAsia" w:ascii="宋体" w:hAnsi="宋体" w:eastAsia="宋体" w:cs="宋体"/>
                <w:sz w:val="21"/>
                <w:szCs w:val="21"/>
              </w:rPr>
            </w:pPr>
          </w:p>
          <w:p w14:paraId="38DDF116">
            <w:pPr>
              <w:spacing w:line="253" w:lineRule="auto"/>
              <w:rPr>
                <w:rFonts w:hint="eastAsia" w:ascii="宋体" w:hAnsi="宋体" w:eastAsia="宋体" w:cs="宋体"/>
                <w:sz w:val="21"/>
                <w:szCs w:val="21"/>
              </w:rPr>
            </w:pPr>
          </w:p>
          <w:p w14:paraId="6F859F7B">
            <w:pPr>
              <w:spacing w:line="253" w:lineRule="auto"/>
              <w:rPr>
                <w:rFonts w:hint="eastAsia" w:ascii="宋体" w:hAnsi="宋体" w:eastAsia="宋体" w:cs="宋体"/>
                <w:sz w:val="21"/>
                <w:szCs w:val="21"/>
              </w:rPr>
            </w:pPr>
          </w:p>
          <w:p w14:paraId="1A25EC50">
            <w:pPr>
              <w:spacing w:line="253" w:lineRule="auto"/>
              <w:rPr>
                <w:rFonts w:hint="eastAsia" w:ascii="宋体" w:hAnsi="宋体" w:eastAsia="宋体" w:cs="宋体"/>
                <w:sz w:val="21"/>
                <w:szCs w:val="21"/>
              </w:rPr>
            </w:pPr>
          </w:p>
          <w:p w14:paraId="72491AB5">
            <w:pPr>
              <w:spacing w:line="253" w:lineRule="auto"/>
              <w:rPr>
                <w:rFonts w:hint="eastAsia" w:ascii="宋体" w:hAnsi="宋体" w:eastAsia="宋体" w:cs="宋体"/>
                <w:sz w:val="21"/>
                <w:szCs w:val="21"/>
              </w:rPr>
            </w:pPr>
          </w:p>
          <w:p w14:paraId="5FD2E23E">
            <w:pPr>
              <w:spacing w:line="253" w:lineRule="auto"/>
              <w:rPr>
                <w:rFonts w:hint="eastAsia" w:ascii="宋体" w:hAnsi="宋体" w:eastAsia="宋体" w:cs="宋体"/>
                <w:sz w:val="21"/>
                <w:szCs w:val="21"/>
              </w:rPr>
            </w:pPr>
          </w:p>
          <w:p w14:paraId="755F37FE">
            <w:pPr>
              <w:spacing w:line="253" w:lineRule="auto"/>
              <w:rPr>
                <w:rFonts w:hint="eastAsia" w:ascii="宋体" w:hAnsi="宋体" w:eastAsia="宋体" w:cs="宋体"/>
                <w:sz w:val="21"/>
                <w:szCs w:val="21"/>
              </w:rPr>
            </w:pPr>
          </w:p>
          <w:p w14:paraId="4D01FB75">
            <w:pPr>
              <w:spacing w:line="253" w:lineRule="auto"/>
              <w:rPr>
                <w:rFonts w:hint="eastAsia" w:ascii="宋体" w:hAnsi="宋体" w:eastAsia="宋体" w:cs="宋体"/>
                <w:sz w:val="21"/>
                <w:szCs w:val="21"/>
              </w:rPr>
            </w:pPr>
          </w:p>
          <w:p w14:paraId="79072269">
            <w:pPr>
              <w:spacing w:line="253" w:lineRule="auto"/>
              <w:rPr>
                <w:rFonts w:hint="eastAsia" w:ascii="宋体" w:hAnsi="宋体" w:eastAsia="宋体" w:cs="宋体"/>
                <w:sz w:val="21"/>
                <w:szCs w:val="21"/>
              </w:rPr>
            </w:pPr>
          </w:p>
          <w:p w14:paraId="1ADB2BD1">
            <w:pPr>
              <w:spacing w:before="78" w:line="184" w:lineRule="auto"/>
              <w:ind w:left="305"/>
              <w:rPr>
                <w:rFonts w:hint="eastAsia" w:ascii="宋体" w:hAnsi="宋体" w:eastAsia="宋体" w:cs="宋体"/>
                <w:sz w:val="21"/>
                <w:szCs w:val="21"/>
              </w:rPr>
            </w:pPr>
            <w:r>
              <w:rPr>
                <w:rFonts w:hint="eastAsia" w:ascii="宋体" w:hAnsi="宋体" w:eastAsia="宋体" w:cs="宋体"/>
                <w:spacing w:val="-7"/>
                <w:sz w:val="21"/>
                <w:szCs w:val="21"/>
              </w:rPr>
              <w:t>1</w:t>
            </w:r>
            <w:r>
              <w:rPr>
                <w:rFonts w:hint="eastAsia" w:ascii="宋体" w:hAnsi="宋体" w:eastAsia="宋体" w:cs="宋体"/>
                <w:spacing w:val="-7"/>
                <w:sz w:val="21"/>
                <w:szCs w:val="21"/>
                <w:lang w:val="en-US" w:eastAsia="zh-CN"/>
              </w:rPr>
              <w:t>8</w:t>
            </w:r>
          </w:p>
        </w:tc>
        <w:tc>
          <w:tcPr>
            <w:tcW w:w="2228" w:type="dxa"/>
            <w:noWrap w:val="0"/>
            <w:vAlign w:val="top"/>
          </w:tcPr>
          <w:p w14:paraId="272288D4">
            <w:pPr>
              <w:spacing w:line="241" w:lineRule="auto"/>
              <w:rPr>
                <w:rFonts w:hint="eastAsia" w:ascii="宋体" w:hAnsi="宋体" w:eastAsia="宋体" w:cs="宋体"/>
                <w:sz w:val="21"/>
                <w:szCs w:val="21"/>
              </w:rPr>
            </w:pPr>
          </w:p>
          <w:p w14:paraId="37AFB604">
            <w:pPr>
              <w:spacing w:line="241" w:lineRule="auto"/>
              <w:rPr>
                <w:rFonts w:hint="eastAsia" w:ascii="宋体" w:hAnsi="宋体" w:eastAsia="宋体" w:cs="宋体"/>
                <w:sz w:val="21"/>
                <w:szCs w:val="21"/>
              </w:rPr>
            </w:pPr>
          </w:p>
          <w:p w14:paraId="11695FF4">
            <w:pPr>
              <w:spacing w:line="241" w:lineRule="auto"/>
              <w:rPr>
                <w:rFonts w:hint="eastAsia" w:ascii="宋体" w:hAnsi="宋体" w:eastAsia="宋体" w:cs="宋体"/>
                <w:sz w:val="21"/>
                <w:szCs w:val="21"/>
              </w:rPr>
            </w:pPr>
          </w:p>
          <w:p w14:paraId="1F604659">
            <w:pPr>
              <w:spacing w:line="241" w:lineRule="auto"/>
              <w:rPr>
                <w:rFonts w:hint="eastAsia" w:ascii="宋体" w:hAnsi="宋体" w:eastAsia="宋体" w:cs="宋体"/>
                <w:sz w:val="21"/>
                <w:szCs w:val="21"/>
              </w:rPr>
            </w:pPr>
          </w:p>
          <w:p w14:paraId="5CC454A6">
            <w:pPr>
              <w:spacing w:line="242" w:lineRule="auto"/>
              <w:rPr>
                <w:rFonts w:hint="eastAsia" w:ascii="宋体" w:hAnsi="宋体" w:eastAsia="宋体" w:cs="宋体"/>
                <w:sz w:val="21"/>
                <w:szCs w:val="21"/>
              </w:rPr>
            </w:pPr>
          </w:p>
          <w:p w14:paraId="67770B32">
            <w:pPr>
              <w:spacing w:line="242" w:lineRule="auto"/>
              <w:rPr>
                <w:rFonts w:hint="eastAsia" w:ascii="宋体" w:hAnsi="宋体" w:eastAsia="宋体" w:cs="宋体"/>
                <w:sz w:val="21"/>
                <w:szCs w:val="21"/>
              </w:rPr>
            </w:pPr>
          </w:p>
          <w:p w14:paraId="29D7468F">
            <w:pPr>
              <w:spacing w:line="242" w:lineRule="auto"/>
              <w:rPr>
                <w:rFonts w:hint="eastAsia" w:ascii="宋体" w:hAnsi="宋体" w:eastAsia="宋体" w:cs="宋体"/>
                <w:sz w:val="21"/>
                <w:szCs w:val="21"/>
              </w:rPr>
            </w:pPr>
          </w:p>
          <w:p w14:paraId="09A34589">
            <w:pPr>
              <w:spacing w:line="242" w:lineRule="auto"/>
              <w:rPr>
                <w:rFonts w:hint="eastAsia" w:ascii="宋体" w:hAnsi="宋体" w:eastAsia="宋体" w:cs="宋体"/>
                <w:sz w:val="21"/>
                <w:szCs w:val="21"/>
              </w:rPr>
            </w:pPr>
          </w:p>
          <w:p w14:paraId="1C7D2050">
            <w:pPr>
              <w:spacing w:line="242" w:lineRule="auto"/>
              <w:rPr>
                <w:rFonts w:hint="eastAsia" w:ascii="宋体" w:hAnsi="宋体" w:eastAsia="宋体" w:cs="宋体"/>
                <w:sz w:val="21"/>
                <w:szCs w:val="21"/>
              </w:rPr>
            </w:pPr>
          </w:p>
          <w:p w14:paraId="5EFC7147">
            <w:pPr>
              <w:spacing w:line="242" w:lineRule="auto"/>
              <w:rPr>
                <w:rFonts w:hint="eastAsia" w:ascii="宋体" w:hAnsi="宋体" w:eastAsia="宋体" w:cs="宋体"/>
                <w:sz w:val="21"/>
                <w:szCs w:val="21"/>
              </w:rPr>
            </w:pPr>
          </w:p>
          <w:p w14:paraId="181DB746">
            <w:pPr>
              <w:spacing w:before="78"/>
              <w:ind w:left="110" w:right="37" w:firstLine="29"/>
              <w:jc w:val="both"/>
              <w:rPr>
                <w:rFonts w:hint="eastAsia" w:ascii="宋体" w:hAnsi="宋体" w:eastAsia="宋体" w:cs="宋体"/>
                <w:sz w:val="21"/>
                <w:szCs w:val="21"/>
              </w:rPr>
            </w:pPr>
            <w:r>
              <w:rPr>
                <w:rFonts w:hint="eastAsia" w:ascii="宋体" w:hAnsi="宋体" w:eastAsia="宋体" w:cs="宋体"/>
                <w:spacing w:val="1"/>
                <w:sz w:val="21"/>
                <w:szCs w:val="21"/>
              </w:rPr>
              <w:t>涉及重点监管危险</w:t>
            </w:r>
            <w:r>
              <w:rPr>
                <w:rFonts w:hint="eastAsia" w:ascii="宋体" w:hAnsi="宋体" w:eastAsia="宋体" w:cs="宋体"/>
                <w:spacing w:val="5"/>
                <w:sz w:val="21"/>
                <w:szCs w:val="21"/>
              </w:rPr>
              <w:t>化工工艺的装置未</w:t>
            </w:r>
            <w:r>
              <w:rPr>
                <w:rFonts w:hint="eastAsia" w:ascii="宋体" w:hAnsi="宋体" w:eastAsia="宋体" w:cs="宋体"/>
                <w:spacing w:val="18"/>
                <w:sz w:val="21"/>
                <w:szCs w:val="21"/>
              </w:rPr>
              <w:t>实现自动化控制，</w:t>
            </w:r>
            <w:r>
              <w:rPr>
                <w:rFonts w:hint="eastAsia" w:ascii="宋体" w:hAnsi="宋体" w:eastAsia="宋体" w:cs="宋体"/>
                <w:spacing w:val="5"/>
                <w:sz w:val="21"/>
                <w:szCs w:val="21"/>
              </w:rPr>
              <w:t>系统未实现紧急停</w:t>
            </w:r>
            <w:r>
              <w:rPr>
                <w:rFonts w:hint="eastAsia" w:ascii="宋体" w:hAnsi="宋体" w:eastAsia="宋体" w:cs="宋体"/>
                <w:spacing w:val="8"/>
                <w:sz w:val="21"/>
                <w:szCs w:val="21"/>
              </w:rPr>
              <w:t>车功能，装备的自</w:t>
            </w:r>
            <w:r>
              <w:rPr>
                <w:rFonts w:hint="eastAsia" w:ascii="宋体" w:hAnsi="宋体" w:eastAsia="宋体" w:cs="宋体"/>
                <w:spacing w:val="5"/>
                <w:sz w:val="21"/>
                <w:szCs w:val="21"/>
              </w:rPr>
              <w:t>动化控制系统、紧急停车系统未投入</w:t>
            </w:r>
            <w:r>
              <w:rPr>
                <w:rFonts w:hint="eastAsia" w:ascii="宋体" w:hAnsi="宋体" w:eastAsia="宋体" w:cs="宋体"/>
                <w:spacing w:val="-8"/>
                <w:sz w:val="21"/>
                <w:szCs w:val="21"/>
              </w:rPr>
              <w:t>使用。</w:t>
            </w:r>
          </w:p>
        </w:tc>
        <w:tc>
          <w:tcPr>
            <w:tcW w:w="3507" w:type="dxa"/>
            <w:noWrap w:val="0"/>
            <w:vAlign w:val="top"/>
          </w:tcPr>
          <w:p w14:paraId="3A25B94D">
            <w:pPr>
              <w:spacing w:before="100" w:line="254" w:lineRule="auto"/>
              <w:ind w:left="152" w:firstLine="448"/>
              <w:jc w:val="both"/>
              <w:rPr>
                <w:rFonts w:hint="eastAsia" w:ascii="宋体" w:hAnsi="宋体" w:eastAsia="宋体" w:cs="宋体"/>
                <w:sz w:val="21"/>
                <w:szCs w:val="21"/>
              </w:rPr>
            </w:pPr>
            <w:r>
              <w:rPr>
                <w:rFonts w:hint="eastAsia" w:ascii="宋体" w:hAnsi="宋体" w:eastAsia="宋体" w:cs="宋体"/>
                <w:spacing w:val="-2"/>
                <w:sz w:val="21"/>
                <w:szCs w:val="21"/>
              </w:rPr>
              <w:t>1.《中华人民共和国安全生</w:t>
            </w:r>
            <w:r>
              <w:rPr>
                <w:rFonts w:hint="eastAsia" w:ascii="宋体" w:hAnsi="宋体" w:eastAsia="宋体" w:cs="宋体"/>
                <w:spacing w:val="7"/>
                <w:sz w:val="21"/>
                <w:szCs w:val="21"/>
              </w:rPr>
              <w:t>产法》第四十一条第二款生产</w:t>
            </w:r>
            <w:r>
              <w:rPr>
                <w:rFonts w:hint="eastAsia" w:ascii="宋体" w:hAnsi="宋体" w:eastAsia="宋体" w:cs="宋体"/>
                <w:spacing w:val="22"/>
                <w:sz w:val="21"/>
                <w:szCs w:val="21"/>
              </w:rPr>
              <w:t>经营单位应当建立健全并落实</w:t>
            </w:r>
            <w:r>
              <w:rPr>
                <w:rFonts w:hint="eastAsia" w:ascii="宋体" w:hAnsi="宋体" w:eastAsia="宋体" w:cs="宋体"/>
                <w:spacing w:val="21"/>
                <w:sz w:val="21"/>
                <w:szCs w:val="21"/>
              </w:rPr>
              <w:t>生产安全事故隐患排查治理制</w:t>
            </w:r>
            <w:r>
              <w:rPr>
                <w:rFonts w:hint="eastAsia" w:ascii="宋体" w:hAnsi="宋体" w:eastAsia="宋体" w:cs="宋体"/>
                <w:spacing w:val="8"/>
                <w:sz w:val="21"/>
                <w:szCs w:val="21"/>
              </w:rPr>
              <w:t>度，采取技术、管理措施，及时发现并消除事故隐患。事故隐患排查治理情况应当如实记录，并</w:t>
            </w:r>
            <w:r>
              <w:rPr>
                <w:rFonts w:hint="eastAsia" w:ascii="宋体" w:hAnsi="宋体" w:eastAsia="宋体" w:cs="宋体"/>
                <w:spacing w:val="21"/>
                <w:sz w:val="21"/>
                <w:szCs w:val="21"/>
              </w:rPr>
              <w:t>通过职工大会或者职工代表大</w:t>
            </w:r>
            <w:r>
              <w:rPr>
                <w:rFonts w:hint="eastAsia" w:ascii="宋体" w:hAnsi="宋体" w:eastAsia="宋体" w:cs="宋体"/>
                <w:spacing w:val="8"/>
                <w:sz w:val="21"/>
                <w:szCs w:val="21"/>
              </w:rPr>
              <w:t>会、信息公示栏等方式向从业人员通报。其中，重大事故隐患排</w:t>
            </w:r>
            <w:r>
              <w:rPr>
                <w:rFonts w:hint="eastAsia" w:ascii="宋体" w:hAnsi="宋体" w:eastAsia="宋体" w:cs="宋体"/>
                <w:spacing w:val="19"/>
                <w:sz w:val="21"/>
                <w:szCs w:val="21"/>
              </w:rPr>
              <w:t>查治理情况应当及时向负有安</w:t>
            </w:r>
            <w:r>
              <w:rPr>
                <w:rFonts w:hint="eastAsia" w:ascii="宋体" w:hAnsi="宋体" w:eastAsia="宋体" w:cs="宋体"/>
                <w:spacing w:val="21"/>
                <w:sz w:val="21"/>
                <w:szCs w:val="21"/>
              </w:rPr>
              <w:t>全生产监督管理职责的部门和职工大会或者职工代表大会报</w:t>
            </w:r>
            <w:r>
              <w:rPr>
                <w:rFonts w:hint="eastAsia" w:ascii="宋体" w:hAnsi="宋体" w:eastAsia="宋体" w:cs="宋体"/>
                <w:spacing w:val="-3"/>
                <w:sz w:val="21"/>
                <w:szCs w:val="21"/>
              </w:rPr>
              <w:t>告。</w:t>
            </w:r>
          </w:p>
          <w:p w14:paraId="17FAA2C0">
            <w:pPr>
              <w:spacing w:before="58" w:line="251" w:lineRule="auto"/>
              <w:ind w:left="152" w:firstLine="415"/>
              <w:jc w:val="both"/>
              <w:rPr>
                <w:rFonts w:hint="eastAsia" w:ascii="宋体" w:hAnsi="宋体" w:eastAsia="宋体" w:cs="宋体"/>
                <w:sz w:val="21"/>
                <w:szCs w:val="21"/>
              </w:rPr>
            </w:pPr>
            <w:r>
              <w:rPr>
                <w:rFonts w:hint="eastAsia" w:ascii="宋体" w:hAnsi="宋体" w:eastAsia="宋体" w:cs="宋体"/>
                <w:spacing w:val="-9"/>
                <w:sz w:val="21"/>
                <w:szCs w:val="21"/>
              </w:rPr>
              <w:t>2.《危险化学品生产企业安</w:t>
            </w:r>
            <w:r>
              <w:rPr>
                <w:rFonts w:hint="eastAsia" w:ascii="宋体" w:hAnsi="宋体" w:eastAsia="宋体" w:cs="宋体"/>
                <w:spacing w:val="4"/>
                <w:sz w:val="21"/>
                <w:szCs w:val="21"/>
              </w:rPr>
              <w:t>全生产许可证实施办法》(国家</w:t>
            </w:r>
            <w:r>
              <w:rPr>
                <w:rFonts w:hint="eastAsia" w:ascii="宋体" w:hAnsi="宋体" w:eastAsia="宋体" w:cs="宋体"/>
                <w:spacing w:val="21"/>
                <w:sz w:val="21"/>
                <w:szCs w:val="21"/>
              </w:rPr>
              <w:t>安全监管总局令第41号)第九</w:t>
            </w:r>
            <w:r>
              <w:rPr>
                <w:rFonts w:hint="eastAsia" w:ascii="宋体" w:hAnsi="宋体" w:eastAsia="宋体" w:cs="宋体"/>
                <w:spacing w:val="6"/>
                <w:sz w:val="21"/>
                <w:szCs w:val="21"/>
              </w:rPr>
              <w:t>条第一款第三项企业的厂房、</w:t>
            </w:r>
            <w:r>
              <w:rPr>
                <w:rFonts w:hint="eastAsia" w:ascii="宋体" w:hAnsi="宋体" w:eastAsia="宋体" w:cs="宋体"/>
                <w:spacing w:val="14"/>
                <w:sz w:val="21"/>
                <w:szCs w:val="21"/>
              </w:rPr>
              <w:t>作业场所、储存设施和安全设</w:t>
            </w:r>
            <w:r>
              <w:rPr>
                <w:rFonts w:hint="eastAsia" w:ascii="宋体" w:hAnsi="宋体" w:eastAsia="宋体" w:cs="宋体"/>
                <w:spacing w:val="1"/>
                <w:sz w:val="21"/>
                <w:szCs w:val="21"/>
              </w:rPr>
              <w:t>施、设备、工艺应当符合下列要</w:t>
            </w:r>
            <w:r>
              <w:rPr>
                <w:rFonts w:hint="eastAsia" w:ascii="宋体" w:hAnsi="宋体" w:eastAsia="宋体" w:cs="宋体"/>
                <w:spacing w:val="-5"/>
                <w:sz w:val="21"/>
                <w:szCs w:val="21"/>
              </w:rPr>
              <w:t>求：</w:t>
            </w:r>
          </w:p>
          <w:p w14:paraId="44791AB7">
            <w:pPr>
              <w:spacing w:before="64" w:line="218" w:lineRule="auto"/>
              <w:ind w:left="152" w:right="34" w:firstLine="549"/>
              <w:jc w:val="both"/>
              <w:rPr>
                <w:rFonts w:hint="eastAsia" w:ascii="宋体" w:hAnsi="宋体" w:eastAsia="宋体" w:cs="宋体"/>
                <w:sz w:val="21"/>
                <w:szCs w:val="21"/>
              </w:rPr>
            </w:pPr>
            <w:r>
              <w:rPr>
                <w:rFonts w:hint="eastAsia" w:ascii="宋体" w:hAnsi="宋体" w:eastAsia="宋体" w:cs="宋体"/>
                <w:spacing w:val="18"/>
                <w:sz w:val="21"/>
                <w:szCs w:val="21"/>
              </w:rPr>
              <w:t>(三)涉及危险化工工艺、</w:t>
            </w:r>
            <w:r>
              <w:rPr>
                <w:rFonts w:hint="eastAsia" w:ascii="宋体" w:hAnsi="宋体" w:eastAsia="宋体" w:cs="宋体"/>
                <w:spacing w:val="20"/>
                <w:sz w:val="21"/>
                <w:szCs w:val="21"/>
              </w:rPr>
              <w:t>重点监管危险化学品的装置装</w:t>
            </w:r>
          </w:p>
        </w:tc>
        <w:tc>
          <w:tcPr>
            <w:tcW w:w="2868" w:type="dxa"/>
            <w:noWrap w:val="0"/>
            <w:vAlign w:val="top"/>
          </w:tcPr>
          <w:p w14:paraId="5D90088B">
            <w:pPr>
              <w:rPr>
                <w:rFonts w:hint="eastAsia" w:ascii="宋体" w:hAnsi="宋体" w:eastAsia="宋体" w:cs="宋体"/>
                <w:sz w:val="21"/>
                <w:szCs w:val="21"/>
              </w:rPr>
            </w:pPr>
          </w:p>
        </w:tc>
        <w:tc>
          <w:tcPr>
            <w:tcW w:w="2848" w:type="dxa"/>
            <w:noWrap w:val="0"/>
            <w:vAlign w:val="top"/>
          </w:tcPr>
          <w:p w14:paraId="0D4A8A1C">
            <w:pPr>
              <w:spacing w:line="241" w:lineRule="auto"/>
              <w:rPr>
                <w:rFonts w:hint="eastAsia" w:ascii="宋体" w:hAnsi="宋体" w:eastAsia="宋体" w:cs="宋体"/>
                <w:sz w:val="21"/>
                <w:szCs w:val="21"/>
              </w:rPr>
            </w:pPr>
          </w:p>
          <w:p w14:paraId="78F03702">
            <w:pPr>
              <w:spacing w:line="241" w:lineRule="auto"/>
              <w:rPr>
                <w:rFonts w:hint="eastAsia" w:ascii="宋体" w:hAnsi="宋体" w:eastAsia="宋体" w:cs="宋体"/>
                <w:sz w:val="21"/>
                <w:szCs w:val="21"/>
              </w:rPr>
            </w:pPr>
          </w:p>
          <w:p w14:paraId="0D17E3C6">
            <w:pPr>
              <w:spacing w:line="242" w:lineRule="auto"/>
              <w:rPr>
                <w:rFonts w:hint="eastAsia" w:ascii="宋体" w:hAnsi="宋体" w:eastAsia="宋体" w:cs="宋体"/>
                <w:sz w:val="21"/>
                <w:szCs w:val="21"/>
              </w:rPr>
            </w:pPr>
          </w:p>
          <w:p w14:paraId="69282733">
            <w:pPr>
              <w:spacing w:line="242" w:lineRule="auto"/>
              <w:rPr>
                <w:rFonts w:hint="eastAsia" w:ascii="宋体" w:hAnsi="宋体" w:eastAsia="宋体" w:cs="宋体"/>
                <w:sz w:val="21"/>
                <w:szCs w:val="21"/>
              </w:rPr>
            </w:pPr>
          </w:p>
          <w:p w14:paraId="6E27FA94">
            <w:pPr>
              <w:spacing w:line="242" w:lineRule="auto"/>
              <w:rPr>
                <w:rFonts w:hint="eastAsia" w:ascii="宋体" w:hAnsi="宋体" w:eastAsia="宋体" w:cs="宋体"/>
                <w:sz w:val="21"/>
                <w:szCs w:val="21"/>
              </w:rPr>
            </w:pPr>
          </w:p>
          <w:p w14:paraId="1BD80808">
            <w:pPr>
              <w:spacing w:line="242" w:lineRule="auto"/>
              <w:rPr>
                <w:rFonts w:hint="eastAsia" w:ascii="宋体" w:hAnsi="宋体" w:eastAsia="宋体" w:cs="宋体"/>
                <w:sz w:val="21"/>
                <w:szCs w:val="21"/>
              </w:rPr>
            </w:pPr>
          </w:p>
          <w:p w14:paraId="245CF4F3">
            <w:pPr>
              <w:spacing w:before="75" w:line="255" w:lineRule="auto"/>
              <w:ind w:left="148" w:firstLine="428"/>
              <w:jc w:val="both"/>
              <w:rPr>
                <w:rFonts w:hint="eastAsia" w:ascii="宋体" w:hAnsi="宋体" w:eastAsia="宋体" w:cs="宋体"/>
                <w:sz w:val="21"/>
                <w:szCs w:val="21"/>
              </w:rPr>
            </w:pPr>
            <w:r>
              <w:rPr>
                <w:rFonts w:hint="eastAsia" w:ascii="宋体" w:hAnsi="宋体" w:eastAsia="宋体" w:cs="宋体"/>
                <w:spacing w:val="33"/>
                <w:sz w:val="21"/>
                <w:szCs w:val="21"/>
              </w:rPr>
              <w:t>《中华人民共和国</w:t>
            </w:r>
            <w:r>
              <w:rPr>
                <w:rFonts w:hint="eastAsia" w:ascii="宋体" w:hAnsi="宋体" w:eastAsia="宋体" w:cs="宋体"/>
                <w:spacing w:val="5"/>
                <w:sz w:val="21"/>
                <w:szCs w:val="21"/>
              </w:rPr>
              <w:t>安全生产法》第一百零二</w:t>
            </w:r>
            <w:r>
              <w:rPr>
                <w:rFonts w:hint="eastAsia" w:ascii="宋体" w:hAnsi="宋体" w:eastAsia="宋体" w:cs="宋体"/>
                <w:spacing w:val="18"/>
                <w:sz w:val="21"/>
                <w:szCs w:val="21"/>
              </w:rPr>
              <w:t>条生产经营单位未采</w:t>
            </w:r>
            <w:r>
              <w:rPr>
                <w:rFonts w:hint="eastAsia" w:ascii="宋体" w:hAnsi="宋体" w:eastAsia="宋体" w:cs="宋体"/>
                <w:spacing w:val="14"/>
                <w:sz w:val="21"/>
                <w:szCs w:val="21"/>
              </w:rPr>
              <w:t>取措施消除事故隐患的，</w:t>
            </w:r>
            <w:r>
              <w:rPr>
                <w:rFonts w:hint="eastAsia" w:ascii="宋体" w:hAnsi="宋体" w:eastAsia="宋体" w:cs="宋体"/>
                <w:spacing w:val="24"/>
                <w:sz w:val="21"/>
                <w:szCs w:val="21"/>
              </w:rPr>
              <w:t>责令立即消除或者限期</w:t>
            </w:r>
            <w:r>
              <w:rPr>
                <w:rFonts w:hint="eastAsia" w:ascii="宋体" w:hAnsi="宋体" w:eastAsia="宋体" w:cs="宋体"/>
                <w:spacing w:val="6"/>
                <w:sz w:val="21"/>
                <w:szCs w:val="21"/>
              </w:rPr>
              <w:t>消除，处五万元以下的罚</w:t>
            </w:r>
            <w:r>
              <w:rPr>
                <w:rFonts w:hint="eastAsia" w:ascii="宋体" w:hAnsi="宋体" w:eastAsia="宋体" w:cs="宋体"/>
                <w:spacing w:val="4"/>
                <w:sz w:val="21"/>
                <w:szCs w:val="21"/>
              </w:rPr>
              <w:t>款；生产经营单位拒不执</w:t>
            </w:r>
            <w:r>
              <w:rPr>
                <w:rFonts w:hint="eastAsia" w:ascii="宋体" w:hAnsi="宋体" w:eastAsia="宋体" w:cs="宋体"/>
                <w:spacing w:val="26"/>
                <w:sz w:val="21"/>
                <w:szCs w:val="21"/>
              </w:rPr>
              <w:t>行的，责令停产停业整</w:t>
            </w:r>
            <w:r>
              <w:rPr>
                <w:rFonts w:hint="eastAsia" w:ascii="宋体" w:hAnsi="宋体" w:eastAsia="宋体" w:cs="宋体"/>
                <w:spacing w:val="5"/>
                <w:sz w:val="21"/>
                <w:szCs w:val="21"/>
              </w:rPr>
              <w:t>顿，对其直接负责的主管</w:t>
            </w:r>
            <w:r>
              <w:rPr>
                <w:rFonts w:hint="eastAsia" w:ascii="宋体" w:hAnsi="宋体" w:eastAsia="宋体" w:cs="宋体"/>
                <w:spacing w:val="24"/>
                <w:sz w:val="21"/>
                <w:szCs w:val="21"/>
              </w:rPr>
              <w:t>人员和其他直接责任人员处五万元以上十万元以下的罚款；构成犯罪</w:t>
            </w:r>
            <w:r>
              <w:rPr>
                <w:rFonts w:hint="eastAsia" w:ascii="宋体" w:hAnsi="宋体" w:eastAsia="宋体" w:cs="宋体"/>
                <w:spacing w:val="4"/>
                <w:sz w:val="21"/>
                <w:szCs w:val="21"/>
              </w:rPr>
              <w:t>的，依照刑法有关规定追</w:t>
            </w:r>
            <w:r>
              <w:rPr>
                <w:rFonts w:hint="eastAsia" w:ascii="宋体" w:hAnsi="宋体" w:eastAsia="宋体" w:cs="宋体"/>
                <w:spacing w:val="23"/>
                <w:sz w:val="21"/>
                <w:szCs w:val="21"/>
              </w:rPr>
              <w:t>究刑事责任。</w:t>
            </w:r>
          </w:p>
        </w:tc>
        <w:tc>
          <w:tcPr>
            <w:tcW w:w="1244" w:type="dxa"/>
            <w:noWrap w:val="0"/>
            <w:vAlign w:val="top"/>
          </w:tcPr>
          <w:p w14:paraId="3739F225">
            <w:pPr>
              <w:rPr>
                <w:rFonts w:hint="eastAsia" w:ascii="宋体" w:hAnsi="宋体" w:eastAsia="宋体" w:cs="宋体"/>
                <w:sz w:val="21"/>
                <w:szCs w:val="21"/>
              </w:rPr>
            </w:pPr>
          </w:p>
          <w:p w14:paraId="5805F3E8">
            <w:pPr>
              <w:rPr>
                <w:rFonts w:hint="eastAsia" w:ascii="宋体" w:hAnsi="宋体" w:eastAsia="宋体" w:cs="宋体"/>
                <w:sz w:val="21"/>
                <w:szCs w:val="21"/>
              </w:rPr>
            </w:pPr>
          </w:p>
          <w:p w14:paraId="23C64636">
            <w:pPr>
              <w:rPr>
                <w:rFonts w:hint="eastAsia" w:ascii="宋体" w:hAnsi="宋体" w:eastAsia="宋体" w:cs="宋体"/>
                <w:sz w:val="21"/>
                <w:szCs w:val="21"/>
              </w:rPr>
            </w:pPr>
          </w:p>
          <w:p w14:paraId="66ACFD3E">
            <w:pPr>
              <w:rPr>
                <w:rFonts w:hint="eastAsia" w:ascii="宋体" w:hAnsi="宋体" w:eastAsia="宋体" w:cs="宋体"/>
                <w:sz w:val="21"/>
                <w:szCs w:val="21"/>
              </w:rPr>
            </w:pPr>
          </w:p>
          <w:p w14:paraId="7250D7CE">
            <w:pPr>
              <w:rPr>
                <w:rFonts w:hint="eastAsia" w:ascii="宋体" w:hAnsi="宋体" w:eastAsia="宋体" w:cs="宋体"/>
                <w:sz w:val="21"/>
                <w:szCs w:val="21"/>
              </w:rPr>
            </w:pPr>
          </w:p>
          <w:p w14:paraId="61F585E5">
            <w:pPr>
              <w:rPr>
                <w:rFonts w:hint="eastAsia" w:ascii="宋体" w:hAnsi="宋体" w:eastAsia="宋体" w:cs="宋体"/>
                <w:sz w:val="21"/>
                <w:szCs w:val="21"/>
              </w:rPr>
            </w:pPr>
          </w:p>
          <w:p w14:paraId="1D09649C">
            <w:pPr>
              <w:rPr>
                <w:rFonts w:hint="eastAsia" w:ascii="宋体" w:hAnsi="宋体" w:eastAsia="宋体" w:cs="宋体"/>
                <w:sz w:val="21"/>
                <w:szCs w:val="21"/>
              </w:rPr>
            </w:pPr>
          </w:p>
          <w:p w14:paraId="43100FE0">
            <w:pPr>
              <w:rPr>
                <w:rFonts w:hint="eastAsia" w:ascii="宋体" w:hAnsi="宋体" w:eastAsia="宋体" w:cs="宋体"/>
                <w:sz w:val="21"/>
                <w:szCs w:val="21"/>
              </w:rPr>
            </w:pPr>
          </w:p>
          <w:p w14:paraId="66087481">
            <w:pPr>
              <w:rPr>
                <w:rFonts w:hint="eastAsia" w:ascii="宋体" w:hAnsi="宋体" w:eastAsia="宋体" w:cs="宋体"/>
                <w:sz w:val="21"/>
                <w:szCs w:val="21"/>
              </w:rPr>
            </w:pPr>
          </w:p>
          <w:p w14:paraId="00109B5D">
            <w:pPr>
              <w:rPr>
                <w:rFonts w:hint="eastAsia" w:ascii="宋体" w:hAnsi="宋体" w:eastAsia="宋体" w:cs="宋体"/>
                <w:sz w:val="21"/>
                <w:szCs w:val="21"/>
              </w:rPr>
            </w:pPr>
          </w:p>
          <w:p w14:paraId="4400CF69">
            <w:pPr>
              <w:rPr>
                <w:rFonts w:hint="eastAsia" w:ascii="宋体" w:hAnsi="宋体" w:eastAsia="宋体" w:cs="宋体"/>
                <w:sz w:val="21"/>
                <w:szCs w:val="21"/>
              </w:rPr>
            </w:pPr>
          </w:p>
          <w:p w14:paraId="475BE9BD">
            <w:pPr>
              <w:rPr>
                <w:rFonts w:hint="eastAsia" w:ascii="宋体" w:hAnsi="宋体" w:eastAsia="宋体" w:cs="宋体"/>
                <w:sz w:val="21"/>
                <w:szCs w:val="21"/>
              </w:rPr>
            </w:pPr>
          </w:p>
          <w:p w14:paraId="34ACB50C">
            <w:pPr>
              <w:rPr>
                <w:rFonts w:hint="eastAsia" w:ascii="宋体" w:hAnsi="宋体" w:eastAsia="宋体" w:cs="宋体"/>
                <w:sz w:val="21"/>
                <w:szCs w:val="21"/>
              </w:rPr>
            </w:pPr>
          </w:p>
          <w:p w14:paraId="419B15D2">
            <w:pPr>
              <w:spacing w:line="241" w:lineRule="auto"/>
              <w:rPr>
                <w:rFonts w:hint="eastAsia" w:ascii="宋体" w:hAnsi="宋体" w:eastAsia="宋体" w:cs="宋体"/>
                <w:sz w:val="21"/>
                <w:szCs w:val="21"/>
              </w:rPr>
            </w:pPr>
          </w:p>
          <w:p w14:paraId="42B5138B">
            <w:pPr>
              <w:spacing w:before="78" w:line="229" w:lineRule="auto"/>
              <w:ind w:left="129" w:right="119"/>
              <w:rPr>
                <w:rFonts w:hint="eastAsia" w:ascii="宋体" w:hAnsi="宋体" w:eastAsia="宋体" w:cs="宋体"/>
                <w:sz w:val="21"/>
                <w:szCs w:val="21"/>
              </w:rPr>
            </w:pPr>
            <w:r>
              <w:rPr>
                <w:rFonts w:hint="eastAsia" w:ascii="宋体" w:hAnsi="宋体" w:eastAsia="宋体" w:cs="宋体"/>
                <w:spacing w:val="6"/>
                <w:sz w:val="21"/>
                <w:szCs w:val="21"/>
              </w:rPr>
              <w:t>重大隐患</w:t>
            </w:r>
            <w:r>
              <w:rPr>
                <w:rFonts w:hint="eastAsia" w:ascii="宋体" w:hAnsi="宋体" w:eastAsia="宋体" w:cs="宋体"/>
                <w:spacing w:val="4"/>
                <w:sz w:val="21"/>
                <w:szCs w:val="21"/>
              </w:rPr>
              <w:t>管理</w:t>
            </w:r>
          </w:p>
        </w:tc>
      </w:tr>
    </w:tbl>
    <w:p w14:paraId="779437EE"/>
    <w:p w14:paraId="34FB061A"/>
    <w:p w14:paraId="692E33E1">
      <w:pPr>
        <w:spacing w:line="89" w:lineRule="exact"/>
      </w:pP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4"/>
        <w:gridCol w:w="2238"/>
        <w:gridCol w:w="3518"/>
        <w:gridCol w:w="2858"/>
        <w:gridCol w:w="2848"/>
        <w:gridCol w:w="1244"/>
      </w:tblGrid>
      <w:tr w14:paraId="5CDA56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jc w:val="center"/>
        </w:trPr>
        <w:tc>
          <w:tcPr>
            <w:tcW w:w="864" w:type="dxa"/>
            <w:noWrap w:val="0"/>
            <w:vAlign w:val="top"/>
          </w:tcPr>
          <w:p w14:paraId="71E2316B">
            <w:pPr>
              <w:spacing w:before="222" w:line="221" w:lineRule="auto"/>
              <w:ind w:left="188"/>
              <w:rPr>
                <w:rFonts w:ascii="宋体" w:hAnsi="宋体" w:eastAsia="宋体" w:cs="宋体"/>
                <w:b/>
                <w:bCs/>
                <w:sz w:val="24"/>
                <w:szCs w:val="24"/>
              </w:rPr>
            </w:pPr>
            <w:r>
              <w:rPr>
                <w:rFonts w:ascii="宋体" w:hAnsi="宋体" w:eastAsia="宋体" w:cs="宋体"/>
                <w:b/>
                <w:bCs/>
                <w:spacing w:val="-5"/>
                <w:sz w:val="24"/>
                <w:szCs w:val="24"/>
              </w:rPr>
              <w:t>序号</w:t>
            </w:r>
          </w:p>
        </w:tc>
        <w:tc>
          <w:tcPr>
            <w:tcW w:w="2238" w:type="dxa"/>
            <w:noWrap w:val="0"/>
            <w:vAlign w:val="top"/>
          </w:tcPr>
          <w:p w14:paraId="4EBC9E40">
            <w:pPr>
              <w:spacing w:before="71" w:line="219" w:lineRule="auto"/>
              <w:ind w:left="634"/>
              <w:rPr>
                <w:rFonts w:ascii="宋体" w:hAnsi="宋体" w:eastAsia="宋体" w:cs="宋体"/>
                <w:b/>
                <w:bCs/>
                <w:sz w:val="24"/>
                <w:szCs w:val="24"/>
              </w:rPr>
            </w:pPr>
            <w:r>
              <w:rPr>
                <w:rFonts w:ascii="宋体" w:hAnsi="宋体" w:eastAsia="宋体" w:cs="宋体"/>
                <w:b/>
                <w:bCs/>
                <w:spacing w:val="-5"/>
                <w:sz w:val="24"/>
                <w:szCs w:val="24"/>
              </w:rPr>
              <w:t>执法检查</w:t>
            </w:r>
          </w:p>
          <w:p w14:paraId="62BF60E2">
            <w:pPr>
              <w:spacing w:before="44" w:line="210" w:lineRule="auto"/>
              <w:ind w:left="394"/>
              <w:rPr>
                <w:rFonts w:ascii="宋体" w:hAnsi="宋体" w:eastAsia="宋体" w:cs="宋体"/>
                <w:b/>
                <w:bCs/>
                <w:sz w:val="24"/>
                <w:szCs w:val="24"/>
              </w:rPr>
            </w:pPr>
            <w:r>
              <w:rPr>
                <w:rFonts w:ascii="宋体" w:hAnsi="宋体" w:eastAsia="宋体" w:cs="宋体"/>
                <w:b/>
                <w:bCs/>
                <w:spacing w:val="-4"/>
                <w:sz w:val="24"/>
                <w:szCs w:val="24"/>
              </w:rPr>
              <w:t>重点事项内容</w:t>
            </w:r>
          </w:p>
        </w:tc>
        <w:tc>
          <w:tcPr>
            <w:tcW w:w="3518" w:type="dxa"/>
            <w:noWrap w:val="0"/>
            <w:vAlign w:val="top"/>
          </w:tcPr>
          <w:p w14:paraId="33010DA5">
            <w:pPr>
              <w:spacing w:before="223" w:line="219" w:lineRule="auto"/>
              <w:ind w:left="1033"/>
              <w:rPr>
                <w:rFonts w:ascii="宋体" w:hAnsi="宋体" w:eastAsia="宋体" w:cs="宋体"/>
                <w:b/>
                <w:bCs/>
                <w:sz w:val="24"/>
                <w:szCs w:val="24"/>
              </w:rPr>
            </w:pPr>
            <w:r>
              <w:rPr>
                <w:rFonts w:ascii="宋体" w:hAnsi="宋体" w:eastAsia="宋体" w:cs="宋体"/>
                <w:b/>
                <w:bCs/>
                <w:spacing w:val="9"/>
                <w:sz w:val="24"/>
                <w:szCs w:val="24"/>
              </w:rPr>
              <w:t>执法检查依据</w:t>
            </w:r>
          </w:p>
        </w:tc>
        <w:tc>
          <w:tcPr>
            <w:tcW w:w="2858" w:type="dxa"/>
            <w:noWrap w:val="0"/>
            <w:vAlign w:val="top"/>
          </w:tcPr>
          <w:p w14:paraId="5D6A89FD">
            <w:pPr>
              <w:spacing w:before="105" w:line="220" w:lineRule="auto"/>
              <w:ind w:left="835"/>
              <w:rPr>
                <w:rFonts w:ascii="宋体" w:hAnsi="宋体" w:eastAsia="宋体" w:cs="宋体"/>
                <w:b/>
                <w:bCs/>
                <w:sz w:val="24"/>
                <w:szCs w:val="24"/>
              </w:rPr>
            </w:pPr>
            <w:r>
              <w:rPr>
                <w:rFonts w:ascii="宋体" w:hAnsi="宋体" w:eastAsia="宋体" w:cs="宋体"/>
                <w:b/>
                <w:bCs/>
                <w:spacing w:val="-2"/>
                <w:sz w:val="24"/>
                <w:szCs w:val="24"/>
              </w:rPr>
              <w:t>有关规范性</w:t>
            </w:r>
          </w:p>
          <w:p w14:paraId="05DD40A5">
            <w:pPr>
              <w:spacing w:before="22" w:line="200" w:lineRule="auto"/>
              <w:ind w:left="595"/>
              <w:rPr>
                <w:rFonts w:ascii="宋体" w:hAnsi="宋体" w:eastAsia="宋体" w:cs="宋体"/>
                <w:b/>
                <w:bCs/>
                <w:sz w:val="24"/>
                <w:szCs w:val="24"/>
              </w:rPr>
            </w:pPr>
            <w:r>
              <w:rPr>
                <w:rFonts w:ascii="宋体" w:hAnsi="宋体" w:eastAsia="宋体" w:cs="宋体"/>
                <w:b/>
                <w:bCs/>
                <w:spacing w:val="1"/>
                <w:sz w:val="24"/>
                <w:szCs w:val="24"/>
              </w:rPr>
              <w:t>文件及标准要求</w:t>
            </w:r>
          </w:p>
        </w:tc>
        <w:tc>
          <w:tcPr>
            <w:tcW w:w="2848" w:type="dxa"/>
            <w:noWrap w:val="0"/>
            <w:vAlign w:val="top"/>
          </w:tcPr>
          <w:p w14:paraId="6BA675F4">
            <w:pPr>
              <w:spacing w:before="223" w:line="219" w:lineRule="auto"/>
              <w:ind w:left="957"/>
              <w:rPr>
                <w:rFonts w:ascii="宋体" w:hAnsi="宋体" w:eastAsia="宋体" w:cs="宋体"/>
                <w:b/>
                <w:bCs/>
                <w:sz w:val="24"/>
                <w:szCs w:val="24"/>
              </w:rPr>
            </w:pPr>
            <w:r>
              <w:rPr>
                <w:rFonts w:ascii="宋体" w:hAnsi="宋体" w:eastAsia="宋体" w:cs="宋体"/>
                <w:b/>
                <w:bCs/>
                <w:spacing w:val="13"/>
                <w:sz w:val="24"/>
                <w:szCs w:val="24"/>
              </w:rPr>
              <w:t>处罚依据</w:t>
            </w:r>
          </w:p>
        </w:tc>
        <w:tc>
          <w:tcPr>
            <w:tcW w:w="1244" w:type="dxa"/>
            <w:noWrap w:val="0"/>
            <w:vAlign w:val="top"/>
          </w:tcPr>
          <w:p w14:paraId="56E4C11B">
            <w:pPr>
              <w:spacing w:before="222" w:line="221" w:lineRule="auto"/>
              <w:ind w:left="392"/>
              <w:rPr>
                <w:rFonts w:ascii="宋体" w:hAnsi="宋体" w:eastAsia="宋体" w:cs="宋体"/>
                <w:b/>
                <w:bCs/>
                <w:sz w:val="24"/>
                <w:szCs w:val="24"/>
              </w:rPr>
            </w:pPr>
            <w:r>
              <w:rPr>
                <w:rFonts w:ascii="宋体" w:hAnsi="宋体" w:eastAsia="宋体" w:cs="宋体"/>
                <w:b/>
                <w:bCs/>
                <w:spacing w:val="-6"/>
                <w:sz w:val="24"/>
                <w:szCs w:val="24"/>
              </w:rPr>
              <w:t>备注</w:t>
            </w:r>
          </w:p>
        </w:tc>
      </w:tr>
      <w:tr w14:paraId="04279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14" w:hRule="atLeast"/>
          <w:jc w:val="center"/>
        </w:trPr>
        <w:tc>
          <w:tcPr>
            <w:tcW w:w="864" w:type="dxa"/>
            <w:noWrap w:val="0"/>
            <w:vAlign w:val="top"/>
          </w:tcPr>
          <w:p w14:paraId="1BE00032">
            <w:pPr>
              <w:rPr>
                <w:rFonts w:ascii="Arial"/>
                <w:sz w:val="21"/>
                <w:szCs w:val="21"/>
              </w:rPr>
            </w:pPr>
          </w:p>
        </w:tc>
        <w:tc>
          <w:tcPr>
            <w:tcW w:w="2238" w:type="dxa"/>
            <w:noWrap w:val="0"/>
            <w:vAlign w:val="top"/>
          </w:tcPr>
          <w:p w14:paraId="3E2887AE">
            <w:pPr>
              <w:rPr>
                <w:rFonts w:ascii="Arial"/>
                <w:sz w:val="21"/>
                <w:szCs w:val="21"/>
              </w:rPr>
            </w:pPr>
          </w:p>
        </w:tc>
        <w:tc>
          <w:tcPr>
            <w:tcW w:w="3518" w:type="dxa"/>
            <w:noWrap w:val="0"/>
            <w:vAlign w:val="top"/>
          </w:tcPr>
          <w:p w14:paraId="37E3AD2B">
            <w:pPr>
              <w:spacing w:before="98" w:line="242" w:lineRule="auto"/>
              <w:ind w:left="123" w:right="12"/>
              <w:rPr>
                <w:rFonts w:ascii="宋体" w:hAnsi="宋体" w:eastAsia="宋体" w:cs="宋体"/>
                <w:sz w:val="21"/>
                <w:szCs w:val="21"/>
              </w:rPr>
            </w:pPr>
            <w:r>
              <w:rPr>
                <w:rFonts w:ascii="宋体" w:hAnsi="宋体" w:eastAsia="宋体" w:cs="宋体"/>
                <w:sz w:val="21"/>
                <w:szCs w:val="21"/>
              </w:rPr>
              <w:t>设自动化控制系统；涉及危险化</w:t>
            </w:r>
            <w:r>
              <w:rPr>
                <w:rFonts w:ascii="宋体" w:hAnsi="宋体" w:eastAsia="宋体" w:cs="宋体"/>
                <w:spacing w:val="13"/>
                <w:sz w:val="21"/>
                <w:szCs w:val="21"/>
              </w:rPr>
              <w:t>工工艺的大型化工装置装设紧</w:t>
            </w:r>
            <w:r>
              <w:rPr>
                <w:rFonts w:ascii="宋体" w:hAnsi="宋体" w:eastAsia="宋体" w:cs="宋体"/>
                <w:sz w:val="21"/>
                <w:szCs w:val="21"/>
              </w:rPr>
              <w:t>急停车系统；涉及易燃易爆、有</w:t>
            </w:r>
            <w:r>
              <w:rPr>
                <w:rFonts w:ascii="宋体" w:hAnsi="宋体" w:eastAsia="宋体" w:cs="宋体"/>
                <w:spacing w:val="10"/>
                <w:sz w:val="21"/>
                <w:szCs w:val="21"/>
              </w:rPr>
              <w:t>毒有害气体化学品的场所装设</w:t>
            </w:r>
            <w:r>
              <w:rPr>
                <w:rFonts w:ascii="宋体" w:hAnsi="宋体" w:eastAsia="宋体" w:cs="宋体"/>
                <w:sz w:val="21"/>
                <w:szCs w:val="21"/>
              </w:rPr>
              <w:t>易燃易爆、有毒有害介质泄漏报</w:t>
            </w:r>
            <w:r>
              <w:rPr>
                <w:rFonts w:ascii="宋体" w:hAnsi="宋体" w:eastAsia="宋体" w:cs="宋体"/>
                <w:spacing w:val="17"/>
                <w:sz w:val="21"/>
                <w:szCs w:val="21"/>
              </w:rPr>
              <w:t>警等安全设施。</w:t>
            </w:r>
          </w:p>
          <w:p w14:paraId="09B58203">
            <w:pPr>
              <w:spacing w:before="31" w:line="239" w:lineRule="auto"/>
              <w:ind w:left="123" w:right="14" w:firstLine="470"/>
              <w:jc w:val="both"/>
              <w:rPr>
                <w:rFonts w:ascii="宋体" w:hAnsi="宋体" w:eastAsia="宋体" w:cs="宋体"/>
                <w:sz w:val="21"/>
                <w:szCs w:val="21"/>
              </w:rPr>
            </w:pPr>
            <w:r>
              <w:rPr>
                <w:rFonts w:ascii="宋体" w:hAnsi="宋体" w:eastAsia="宋体" w:cs="宋体"/>
                <w:spacing w:val="-11"/>
                <w:sz w:val="21"/>
                <w:szCs w:val="21"/>
              </w:rPr>
              <w:t>3.《化工和危险化学品生产</w:t>
            </w:r>
            <w:r>
              <w:rPr>
                <w:rFonts w:ascii="宋体" w:hAnsi="宋体" w:eastAsia="宋体" w:cs="宋体"/>
                <w:spacing w:val="10"/>
                <w:sz w:val="21"/>
                <w:szCs w:val="21"/>
              </w:rPr>
              <w:t>经营单位重大生产安全事故隐</w:t>
            </w:r>
            <w:r>
              <w:rPr>
                <w:rFonts w:ascii="宋体" w:hAnsi="宋体" w:eastAsia="宋体" w:cs="宋体"/>
                <w:spacing w:val="20"/>
                <w:sz w:val="21"/>
                <w:szCs w:val="21"/>
              </w:rPr>
              <w:t>患判定标准(试行)》(安监总</w:t>
            </w:r>
            <w:r>
              <w:rPr>
                <w:rFonts w:ascii="宋体" w:hAnsi="宋体" w:eastAsia="宋体" w:cs="宋体"/>
                <w:spacing w:val="-1"/>
                <w:sz w:val="21"/>
                <w:szCs w:val="21"/>
              </w:rPr>
              <w:t>管三〔2017〕121号)第四条涉</w:t>
            </w:r>
            <w:r>
              <w:rPr>
                <w:rFonts w:ascii="宋体" w:hAnsi="宋体" w:eastAsia="宋体" w:cs="宋体"/>
                <w:spacing w:val="11"/>
                <w:sz w:val="21"/>
                <w:szCs w:val="21"/>
              </w:rPr>
              <w:t>及重点监管危险化工工艺的装</w:t>
            </w:r>
            <w:r>
              <w:rPr>
                <w:rFonts w:ascii="宋体" w:hAnsi="宋体" w:eastAsia="宋体" w:cs="宋体"/>
                <w:spacing w:val="-1"/>
                <w:sz w:val="21"/>
                <w:szCs w:val="21"/>
              </w:rPr>
              <w:t>置未实现自动化控制，系统未实</w:t>
            </w:r>
            <w:r>
              <w:rPr>
                <w:rFonts w:ascii="宋体" w:hAnsi="宋体" w:eastAsia="宋体" w:cs="宋体"/>
                <w:sz w:val="21"/>
                <w:szCs w:val="21"/>
              </w:rPr>
              <w:t>现紧急停车功能，装备的自动化</w:t>
            </w:r>
            <w:r>
              <w:rPr>
                <w:rFonts w:ascii="宋体" w:hAnsi="宋体" w:eastAsia="宋体" w:cs="宋体"/>
                <w:spacing w:val="-1"/>
                <w:sz w:val="21"/>
                <w:szCs w:val="21"/>
              </w:rPr>
              <w:t>控制系统、紧急停车系统未投入</w:t>
            </w:r>
            <w:r>
              <w:rPr>
                <w:rFonts w:ascii="宋体" w:hAnsi="宋体" w:eastAsia="宋体" w:cs="宋体"/>
                <w:spacing w:val="-8"/>
                <w:sz w:val="21"/>
                <w:szCs w:val="21"/>
              </w:rPr>
              <w:t>使用。</w:t>
            </w:r>
          </w:p>
        </w:tc>
        <w:tc>
          <w:tcPr>
            <w:tcW w:w="2858" w:type="dxa"/>
            <w:noWrap w:val="0"/>
            <w:vAlign w:val="top"/>
          </w:tcPr>
          <w:p w14:paraId="146E548A">
            <w:pPr>
              <w:rPr>
                <w:rFonts w:ascii="Arial"/>
                <w:sz w:val="21"/>
                <w:szCs w:val="21"/>
              </w:rPr>
            </w:pPr>
          </w:p>
        </w:tc>
        <w:tc>
          <w:tcPr>
            <w:tcW w:w="2848" w:type="dxa"/>
            <w:noWrap w:val="0"/>
            <w:vAlign w:val="top"/>
          </w:tcPr>
          <w:p w14:paraId="7913C7B7">
            <w:pPr>
              <w:rPr>
                <w:rFonts w:ascii="Arial"/>
                <w:sz w:val="21"/>
                <w:szCs w:val="21"/>
              </w:rPr>
            </w:pPr>
          </w:p>
        </w:tc>
        <w:tc>
          <w:tcPr>
            <w:tcW w:w="1244" w:type="dxa"/>
            <w:noWrap w:val="0"/>
            <w:vAlign w:val="top"/>
          </w:tcPr>
          <w:p w14:paraId="4828AAB5">
            <w:pPr>
              <w:rPr>
                <w:rFonts w:ascii="Arial"/>
                <w:sz w:val="21"/>
                <w:szCs w:val="21"/>
              </w:rPr>
            </w:pPr>
          </w:p>
        </w:tc>
      </w:tr>
      <w:tr w14:paraId="56AA16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6" w:hRule="atLeast"/>
          <w:jc w:val="center"/>
        </w:trPr>
        <w:tc>
          <w:tcPr>
            <w:tcW w:w="864" w:type="dxa"/>
            <w:noWrap w:val="0"/>
            <w:vAlign w:val="top"/>
          </w:tcPr>
          <w:p w14:paraId="57DCB727">
            <w:pPr>
              <w:spacing w:line="288" w:lineRule="auto"/>
              <w:rPr>
                <w:rFonts w:ascii="Arial"/>
                <w:sz w:val="21"/>
                <w:szCs w:val="21"/>
              </w:rPr>
            </w:pPr>
          </w:p>
          <w:p w14:paraId="089FEA49">
            <w:pPr>
              <w:spacing w:line="288" w:lineRule="auto"/>
              <w:rPr>
                <w:rFonts w:ascii="Arial"/>
                <w:sz w:val="21"/>
                <w:szCs w:val="21"/>
              </w:rPr>
            </w:pPr>
          </w:p>
          <w:p w14:paraId="4C72B7D6">
            <w:pPr>
              <w:spacing w:line="288" w:lineRule="auto"/>
              <w:rPr>
                <w:rFonts w:ascii="Arial"/>
                <w:sz w:val="21"/>
                <w:szCs w:val="21"/>
              </w:rPr>
            </w:pPr>
          </w:p>
          <w:p w14:paraId="2EAB019E">
            <w:pPr>
              <w:spacing w:line="289" w:lineRule="auto"/>
              <w:rPr>
                <w:rFonts w:ascii="Arial"/>
                <w:sz w:val="21"/>
                <w:szCs w:val="21"/>
              </w:rPr>
            </w:pPr>
          </w:p>
          <w:p w14:paraId="220FC200">
            <w:pPr>
              <w:spacing w:before="78" w:line="183" w:lineRule="auto"/>
              <w:ind w:left="305"/>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19</w:t>
            </w:r>
          </w:p>
        </w:tc>
        <w:tc>
          <w:tcPr>
            <w:tcW w:w="2238" w:type="dxa"/>
            <w:noWrap w:val="0"/>
            <w:vAlign w:val="top"/>
          </w:tcPr>
          <w:p w14:paraId="0EC54065">
            <w:pPr>
              <w:spacing w:line="274" w:lineRule="auto"/>
              <w:rPr>
                <w:rFonts w:ascii="Arial"/>
                <w:sz w:val="21"/>
                <w:szCs w:val="21"/>
              </w:rPr>
            </w:pPr>
          </w:p>
          <w:p w14:paraId="6B54C971">
            <w:pPr>
              <w:spacing w:line="274" w:lineRule="auto"/>
              <w:rPr>
                <w:rFonts w:ascii="Arial"/>
                <w:sz w:val="21"/>
                <w:szCs w:val="21"/>
              </w:rPr>
            </w:pPr>
          </w:p>
          <w:p w14:paraId="78CA5B1F">
            <w:pPr>
              <w:spacing w:line="274" w:lineRule="auto"/>
              <w:rPr>
                <w:rFonts w:ascii="Arial"/>
                <w:sz w:val="21"/>
                <w:szCs w:val="21"/>
              </w:rPr>
            </w:pPr>
          </w:p>
          <w:p w14:paraId="0ABB9B42">
            <w:pPr>
              <w:spacing w:before="78" w:line="234" w:lineRule="auto"/>
              <w:ind w:left="121" w:right="127" w:firstLine="29"/>
              <w:jc w:val="both"/>
              <w:rPr>
                <w:rFonts w:ascii="宋体" w:hAnsi="宋体" w:eastAsia="宋体" w:cs="宋体"/>
                <w:sz w:val="21"/>
                <w:szCs w:val="21"/>
              </w:rPr>
            </w:pPr>
            <w:r>
              <w:rPr>
                <w:rFonts w:ascii="宋体" w:hAnsi="宋体" w:eastAsia="宋体" w:cs="宋体"/>
                <w:spacing w:val="1"/>
                <w:sz w:val="21"/>
                <w:szCs w:val="21"/>
              </w:rPr>
              <w:t>爆炸危险场所未按</w:t>
            </w:r>
            <w:r>
              <w:rPr>
                <w:rFonts w:ascii="宋体" w:hAnsi="宋体" w:eastAsia="宋体" w:cs="宋体"/>
                <w:spacing w:val="7"/>
                <w:sz w:val="21"/>
                <w:szCs w:val="21"/>
              </w:rPr>
              <w:t>国家标准安装使用</w:t>
            </w:r>
            <w:r>
              <w:rPr>
                <w:rFonts w:ascii="宋体" w:hAnsi="宋体" w:eastAsia="宋体" w:cs="宋体"/>
                <w:spacing w:val="17"/>
                <w:sz w:val="21"/>
                <w:szCs w:val="21"/>
              </w:rPr>
              <w:t>防爆电气设备。</w:t>
            </w:r>
          </w:p>
        </w:tc>
        <w:tc>
          <w:tcPr>
            <w:tcW w:w="3518" w:type="dxa"/>
            <w:noWrap w:val="0"/>
            <w:vAlign w:val="top"/>
          </w:tcPr>
          <w:p w14:paraId="229113B8">
            <w:pPr>
              <w:spacing w:before="94" w:line="250" w:lineRule="auto"/>
              <w:ind w:left="123" w:firstLine="490"/>
              <w:jc w:val="both"/>
              <w:rPr>
                <w:rFonts w:ascii="宋体" w:hAnsi="宋体" w:eastAsia="宋体" w:cs="宋体"/>
                <w:sz w:val="21"/>
                <w:szCs w:val="21"/>
              </w:rPr>
            </w:pPr>
            <w:r>
              <w:rPr>
                <w:rFonts w:ascii="宋体" w:hAnsi="宋体" w:eastAsia="宋体" w:cs="宋体"/>
                <w:spacing w:val="-2"/>
                <w:sz w:val="21"/>
                <w:szCs w:val="21"/>
              </w:rPr>
              <w:t>1.《中华人民共和国安全生</w:t>
            </w:r>
            <w:r>
              <w:rPr>
                <w:rFonts w:ascii="宋体" w:hAnsi="宋体" w:eastAsia="宋体" w:cs="宋体"/>
                <w:spacing w:val="9"/>
                <w:sz w:val="21"/>
                <w:szCs w:val="21"/>
              </w:rPr>
              <w:t>产法》第四十一条第二款生产</w:t>
            </w:r>
            <w:r>
              <w:rPr>
                <w:rFonts w:ascii="宋体" w:hAnsi="宋体" w:eastAsia="宋体" w:cs="宋体"/>
                <w:spacing w:val="23"/>
                <w:sz w:val="21"/>
                <w:szCs w:val="21"/>
              </w:rPr>
              <w:t>经营单位应当建立健全并落实</w:t>
            </w:r>
            <w:r>
              <w:rPr>
                <w:rFonts w:ascii="宋体" w:hAnsi="宋体" w:eastAsia="宋体" w:cs="宋体"/>
                <w:spacing w:val="22"/>
                <w:sz w:val="21"/>
                <w:szCs w:val="21"/>
              </w:rPr>
              <w:t>生产安全事故隐患排查治理制</w:t>
            </w:r>
            <w:r>
              <w:rPr>
                <w:rFonts w:ascii="宋体" w:hAnsi="宋体" w:eastAsia="宋体" w:cs="宋体"/>
                <w:spacing w:val="10"/>
                <w:sz w:val="21"/>
                <w:szCs w:val="21"/>
              </w:rPr>
              <w:t>度，采取技术、管理措施，及时</w:t>
            </w:r>
            <w:r>
              <w:rPr>
                <w:rFonts w:ascii="宋体" w:hAnsi="宋体" w:eastAsia="宋体" w:cs="宋体"/>
                <w:spacing w:val="11"/>
                <w:sz w:val="21"/>
                <w:szCs w:val="21"/>
              </w:rPr>
              <w:t>发现并消除事故隐患。事故隐患</w:t>
            </w:r>
            <w:r>
              <w:rPr>
                <w:rFonts w:ascii="宋体" w:hAnsi="宋体" w:eastAsia="宋体" w:cs="宋体"/>
                <w:spacing w:val="9"/>
                <w:sz w:val="21"/>
                <w:szCs w:val="21"/>
              </w:rPr>
              <w:t>排查治理情况应当如实记录，并</w:t>
            </w:r>
            <w:r>
              <w:rPr>
                <w:rFonts w:ascii="宋体" w:hAnsi="宋体" w:eastAsia="宋体" w:cs="宋体"/>
                <w:spacing w:val="23"/>
                <w:sz w:val="21"/>
                <w:szCs w:val="21"/>
              </w:rPr>
              <w:t>通过职工大会或者职工代表大</w:t>
            </w:r>
          </w:p>
        </w:tc>
        <w:tc>
          <w:tcPr>
            <w:tcW w:w="2858" w:type="dxa"/>
            <w:noWrap w:val="0"/>
            <w:vAlign w:val="top"/>
          </w:tcPr>
          <w:p w14:paraId="37345DEF">
            <w:pPr>
              <w:spacing w:before="94" w:line="250" w:lineRule="auto"/>
              <w:ind w:left="135" w:right="2" w:firstLine="459"/>
              <w:jc w:val="both"/>
              <w:rPr>
                <w:rFonts w:ascii="宋体" w:hAnsi="宋体" w:eastAsia="宋体" w:cs="宋体"/>
                <w:sz w:val="21"/>
                <w:szCs w:val="21"/>
              </w:rPr>
            </w:pPr>
            <w:r>
              <w:rPr>
                <w:rFonts w:ascii="宋体" w:hAnsi="宋体" w:eastAsia="宋体" w:cs="宋体"/>
                <w:spacing w:val="20"/>
                <w:sz w:val="21"/>
                <w:szCs w:val="21"/>
              </w:rPr>
              <w:t>《爆炸危险环境电力</w:t>
            </w:r>
            <w:r>
              <w:rPr>
                <w:rFonts w:ascii="宋体" w:hAnsi="宋体" w:eastAsia="宋体" w:cs="宋体"/>
                <w:spacing w:val="21"/>
                <w:sz w:val="21"/>
                <w:szCs w:val="21"/>
              </w:rPr>
              <w:t>装置设计规范》(</w:t>
            </w:r>
            <w:r>
              <w:rPr>
                <w:rFonts w:ascii="宋体" w:hAnsi="宋体" w:eastAsia="宋体" w:cs="宋体"/>
                <w:sz w:val="21"/>
                <w:szCs w:val="21"/>
              </w:rPr>
              <w:t xml:space="preserve">GB </w:t>
            </w:r>
            <w:r>
              <w:rPr>
                <w:rFonts w:ascii="宋体" w:hAnsi="宋体" w:eastAsia="宋体" w:cs="宋体"/>
                <w:spacing w:val="4"/>
                <w:sz w:val="21"/>
                <w:szCs w:val="21"/>
              </w:rPr>
              <w:t>50058-2014)5.2.3防爆</w:t>
            </w:r>
            <w:r>
              <w:rPr>
                <w:rFonts w:ascii="宋体" w:hAnsi="宋体" w:eastAsia="宋体" w:cs="宋体"/>
                <w:spacing w:val="11"/>
                <w:sz w:val="21"/>
                <w:szCs w:val="21"/>
              </w:rPr>
              <w:t>电气设备的级别和组别不</w:t>
            </w:r>
            <w:r>
              <w:rPr>
                <w:rFonts w:ascii="宋体" w:hAnsi="宋体" w:eastAsia="宋体" w:cs="宋体"/>
                <w:spacing w:val="9"/>
                <w:sz w:val="21"/>
                <w:szCs w:val="21"/>
              </w:rPr>
              <w:t>应低于该爆炸性气体环境</w:t>
            </w:r>
            <w:r>
              <w:rPr>
                <w:rFonts w:ascii="宋体" w:hAnsi="宋体" w:eastAsia="宋体" w:cs="宋体"/>
                <w:spacing w:val="11"/>
                <w:sz w:val="21"/>
                <w:szCs w:val="21"/>
              </w:rPr>
              <w:t>内爆炸性气体混合物的级别和组别，并应符合下列</w:t>
            </w:r>
            <w:r>
              <w:rPr>
                <w:rFonts w:ascii="宋体" w:hAnsi="宋体" w:eastAsia="宋体" w:cs="宋体"/>
                <w:spacing w:val="21"/>
                <w:sz w:val="21"/>
                <w:szCs w:val="21"/>
              </w:rPr>
              <w:t>规定：1气体、蒸气或粉</w:t>
            </w:r>
          </w:p>
        </w:tc>
        <w:tc>
          <w:tcPr>
            <w:tcW w:w="2848" w:type="dxa"/>
            <w:noWrap w:val="0"/>
            <w:vAlign w:val="top"/>
          </w:tcPr>
          <w:p w14:paraId="65AA0699">
            <w:pPr>
              <w:spacing w:before="94" w:line="250" w:lineRule="auto"/>
              <w:ind w:left="147" w:firstLine="428"/>
              <w:jc w:val="both"/>
              <w:rPr>
                <w:rFonts w:ascii="宋体" w:hAnsi="宋体" w:eastAsia="宋体" w:cs="宋体"/>
                <w:sz w:val="21"/>
                <w:szCs w:val="21"/>
              </w:rPr>
            </w:pPr>
            <w:r>
              <w:rPr>
                <w:rFonts w:ascii="宋体" w:hAnsi="宋体" w:eastAsia="宋体" w:cs="宋体"/>
                <w:spacing w:val="30"/>
                <w:sz w:val="21"/>
                <w:szCs w:val="21"/>
              </w:rPr>
              <w:t>《中华人民共和国</w:t>
            </w:r>
            <w:r>
              <w:rPr>
                <w:rFonts w:ascii="宋体" w:hAnsi="宋体" w:eastAsia="宋体" w:cs="宋体"/>
                <w:spacing w:val="5"/>
                <w:sz w:val="21"/>
                <w:szCs w:val="21"/>
              </w:rPr>
              <w:t>安全生产法》第一百零二</w:t>
            </w:r>
            <w:r>
              <w:rPr>
                <w:rFonts w:ascii="宋体" w:hAnsi="宋体" w:eastAsia="宋体" w:cs="宋体"/>
                <w:spacing w:val="18"/>
                <w:sz w:val="21"/>
                <w:szCs w:val="21"/>
              </w:rPr>
              <w:t>条生产经营单位未采</w:t>
            </w:r>
            <w:r>
              <w:rPr>
                <w:rFonts w:ascii="宋体" w:hAnsi="宋体" w:eastAsia="宋体" w:cs="宋体"/>
                <w:spacing w:val="14"/>
                <w:sz w:val="21"/>
                <w:szCs w:val="21"/>
              </w:rPr>
              <w:t>取措施消除事故隐患的，</w:t>
            </w:r>
            <w:r>
              <w:rPr>
                <w:rFonts w:ascii="宋体" w:hAnsi="宋体" w:eastAsia="宋体" w:cs="宋体"/>
                <w:spacing w:val="25"/>
                <w:sz w:val="21"/>
                <w:szCs w:val="21"/>
              </w:rPr>
              <w:t>责令立即消除或者限期</w:t>
            </w:r>
            <w:r>
              <w:rPr>
                <w:rFonts w:ascii="宋体" w:hAnsi="宋体" w:eastAsia="宋体" w:cs="宋体"/>
                <w:spacing w:val="6"/>
                <w:sz w:val="21"/>
                <w:szCs w:val="21"/>
              </w:rPr>
              <w:t>消除，处五万元以下的罚</w:t>
            </w:r>
            <w:r>
              <w:rPr>
                <w:rFonts w:ascii="宋体" w:hAnsi="宋体" w:eastAsia="宋体" w:cs="宋体"/>
                <w:spacing w:val="4"/>
                <w:sz w:val="21"/>
                <w:szCs w:val="21"/>
              </w:rPr>
              <w:t>款；生产经营单位拒不执</w:t>
            </w:r>
            <w:r>
              <w:rPr>
                <w:rFonts w:ascii="宋体" w:hAnsi="宋体" w:eastAsia="宋体" w:cs="宋体"/>
                <w:spacing w:val="24"/>
                <w:sz w:val="21"/>
                <w:szCs w:val="21"/>
              </w:rPr>
              <w:t>行的，责令停产停业整</w:t>
            </w:r>
          </w:p>
        </w:tc>
        <w:tc>
          <w:tcPr>
            <w:tcW w:w="1244" w:type="dxa"/>
            <w:noWrap w:val="0"/>
            <w:vAlign w:val="top"/>
          </w:tcPr>
          <w:p w14:paraId="6EF3B87A">
            <w:pPr>
              <w:spacing w:line="243" w:lineRule="auto"/>
              <w:rPr>
                <w:rFonts w:ascii="Arial"/>
                <w:sz w:val="21"/>
                <w:szCs w:val="21"/>
              </w:rPr>
            </w:pPr>
          </w:p>
          <w:p w14:paraId="73DC762A">
            <w:pPr>
              <w:spacing w:line="243" w:lineRule="auto"/>
              <w:rPr>
                <w:rFonts w:ascii="Arial"/>
                <w:sz w:val="21"/>
                <w:szCs w:val="21"/>
              </w:rPr>
            </w:pPr>
          </w:p>
          <w:p w14:paraId="7C9A993B">
            <w:pPr>
              <w:spacing w:line="243" w:lineRule="auto"/>
              <w:rPr>
                <w:rFonts w:ascii="Arial"/>
                <w:sz w:val="21"/>
                <w:szCs w:val="21"/>
              </w:rPr>
            </w:pPr>
          </w:p>
          <w:p w14:paraId="2D1E95E5">
            <w:pPr>
              <w:spacing w:line="243" w:lineRule="auto"/>
              <w:rPr>
                <w:rFonts w:ascii="Arial"/>
                <w:sz w:val="21"/>
                <w:szCs w:val="21"/>
              </w:rPr>
            </w:pPr>
          </w:p>
          <w:p w14:paraId="7F24152B">
            <w:pPr>
              <w:spacing w:before="78" w:line="229" w:lineRule="auto"/>
              <w:ind w:left="109" w:right="140"/>
              <w:rPr>
                <w:rFonts w:ascii="宋体" w:hAnsi="宋体" w:eastAsia="宋体" w:cs="宋体"/>
                <w:sz w:val="21"/>
                <w:szCs w:val="21"/>
              </w:rPr>
            </w:pPr>
            <w:r>
              <w:rPr>
                <w:rFonts w:ascii="宋体" w:hAnsi="宋体" w:eastAsia="宋体" w:cs="宋体"/>
                <w:spacing w:val="6"/>
                <w:sz w:val="21"/>
                <w:szCs w:val="21"/>
              </w:rPr>
              <w:t>重大隐患</w:t>
            </w:r>
            <w:r>
              <w:rPr>
                <w:rFonts w:ascii="宋体" w:hAnsi="宋体" w:eastAsia="宋体" w:cs="宋体"/>
                <w:spacing w:val="4"/>
                <w:sz w:val="21"/>
                <w:szCs w:val="21"/>
              </w:rPr>
              <w:t>管理</w:t>
            </w:r>
          </w:p>
        </w:tc>
      </w:tr>
    </w:tbl>
    <w:p w14:paraId="493C0358">
      <w:pPr>
        <w:rPr>
          <w:rFonts w:ascii="Arial"/>
          <w:sz w:val="21"/>
        </w:rPr>
      </w:pPr>
    </w:p>
    <w:p w14:paraId="589A79BF">
      <w:pPr>
        <w:sectPr>
          <w:pgSz w:w="16840" w:h="11900"/>
          <w:pgMar w:top="1440" w:right="1080" w:bottom="1440" w:left="1080" w:header="0" w:footer="0" w:gutter="0"/>
          <w:pgNumType w:fmt="decimal"/>
          <w:cols w:space="720" w:num="1"/>
        </w:sectPr>
      </w:pPr>
    </w:p>
    <w:p w14:paraId="57AC2127"/>
    <w:p w14:paraId="5D84CEAC"/>
    <w:p w14:paraId="0EC00836">
      <w:pPr>
        <w:spacing w:line="230" w:lineRule="exact"/>
      </w:pP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4"/>
        <w:gridCol w:w="2228"/>
        <w:gridCol w:w="3507"/>
        <w:gridCol w:w="2868"/>
        <w:gridCol w:w="2838"/>
        <w:gridCol w:w="1254"/>
      </w:tblGrid>
      <w:tr w14:paraId="3C2D6F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jc w:val="center"/>
        </w:trPr>
        <w:tc>
          <w:tcPr>
            <w:tcW w:w="864" w:type="dxa"/>
            <w:noWrap w:val="0"/>
            <w:vAlign w:val="top"/>
          </w:tcPr>
          <w:p w14:paraId="509BEF1D">
            <w:pPr>
              <w:spacing w:before="226" w:line="221" w:lineRule="auto"/>
              <w:ind w:left="184"/>
              <w:rPr>
                <w:rFonts w:ascii="宋体" w:hAnsi="宋体" w:eastAsia="宋体" w:cs="宋体"/>
                <w:b/>
                <w:bCs/>
                <w:sz w:val="24"/>
                <w:szCs w:val="24"/>
              </w:rPr>
            </w:pPr>
            <w:r>
              <w:rPr>
                <w:rFonts w:ascii="宋体" w:hAnsi="宋体" w:eastAsia="宋体" w:cs="宋体"/>
                <w:b/>
                <w:bCs/>
                <w:spacing w:val="7"/>
                <w:sz w:val="24"/>
                <w:szCs w:val="24"/>
              </w:rPr>
              <w:t>序号</w:t>
            </w:r>
          </w:p>
        </w:tc>
        <w:tc>
          <w:tcPr>
            <w:tcW w:w="2228" w:type="dxa"/>
            <w:noWrap w:val="0"/>
            <w:vAlign w:val="top"/>
          </w:tcPr>
          <w:p w14:paraId="64182A47">
            <w:pPr>
              <w:spacing w:before="85" w:line="219" w:lineRule="auto"/>
              <w:ind w:left="620"/>
              <w:rPr>
                <w:rFonts w:ascii="宋体" w:hAnsi="宋体" w:eastAsia="宋体" w:cs="宋体"/>
                <w:b/>
                <w:bCs/>
                <w:sz w:val="24"/>
                <w:szCs w:val="24"/>
              </w:rPr>
            </w:pPr>
            <w:r>
              <w:rPr>
                <w:rFonts w:ascii="宋体" w:hAnsi="宋体" w:eastAsia="宋体" w:cs="宋体"/>
                <w:b/>
                <w:bCs/>
                <w:spacing w:val="3"/>
                <w:sz w:val="24"/>
                <w:szCs w:val="24"/>
              </w:rPr>
              <w:t>执法检查</w:t>
            </w:r>
          </w:p>
          <w:p w14:paraId="7584453C">
            <w:pPr>
              <w:spacing w:before="54" w:line="192" w:lineRule="auto"/>
              <w:ind w:left="380"/>
              <w:rPr>
                <w:rFonts w:ascii="宋体" w:hAnsi="宋体" w:eastAsia="宋体" w:cs="宋体"/>
                <w:b/>
                <w:bCs/>
                <w:sz w:val="24"/>
                <w:szCs w:val="24"/>
              </w:rPr>
            </w:pPr>
            <w:r>
              <w:rPr>
                <w:rFonts w:ascii="宋体" w:hAnsi="宋体" w:eastAsia="宋体" w:cs="宋体"/>
                <w:b/>
                <w:bCs/>
                <w:spacing w:val="2"/>
                <w:sz w:val="24"/>
                <w:szCs w:val="24"/>
              </w:rPr>
              <w:t>重点事项内容</w:t>
            </w:r>
          </w:p>
        </w:tc>
        <w:tc>
          <w:tcPr>
            <w:tcW w:w="3507" w:type="dxa"/>
            <w:noWrap w:val="0"/>
            <w:vAlign w:val="top"/>
          </w:tcPr>
          <w:p w14:paraId="1894C99C">
            <w:pPr>
              <w:spacing w:before="219" w:line="219" w:lineRule="auto"/>
              <w:ind w:left="1056"/>
              <w:rPr>
                <w:rFonts w:ascii="宋体" w:hAnsi="宋体" w:eastAsia="宋体" w:cs="宋体"/>
                <w:b/>
                <w:bCs/>
                <w:sz w:val="24"/>
                <w:szCs w:val="24"/>
              </w:rPr>
            </w:pPr>
            <w:r>
              <w:rPr>
                <w:rFonts w:ascii="宋体" w:hAnsi="宋体" w:eastAsia="宋体" w:cs="宋体"/>
                <w:b/>
                <w:bCs/>
                <w:spacing w:val="-4"/>
                <w:sz w:val="24"/>
                <w:szCs w:val="24"/>
              </w:rPr>
              <w:t>执法检查依据</w:t>
            </w:r>
          </w:p>
        </w:tc>
        <w:tc>
          <w:tcPr>
            <w:tcW w:w="2868" w:type="dxa"/>
            <w:noWrap w:val="0"/>
            <w:vAlign w:val="top"/>
          </w:tcPr>
          <w:p w14:paraId="35A0B07F">
            <w:pPr>
              <w:spacing w:before="75" w:line="220" w:lineRule="auto"/>
              <w:ind w:left="855"/>
              <w:rPr>
                <w:rFonts w:ascii="宋体" w:hAnsi="宋体" w:eastAsia="宋体" w:cs="宋体"/>
                <w:b/>
                <w:bCs/>
                <w:sz w:val="24"/>
                <w:szCs w:val="24"/>
              </w:rPr>
            </w:pPr>
            <w:r>
              <w:rPr>
                <w:rFonts w:ascii="宋体" w:hAnsi="宋体" w:eastAsia="宋体" w:cs="宋体"/>
                <w:b/>
                <w:bCs/>
                <w:spacing w:val="-2"/>
                <w:sz w:val="24"/>
                <w:szCs w:val="24"/>
              </w:rPr>
              <w:t>有关规范性</w:t>
            </w:r>
          </w:p>
          <w:p w14:paraId="7725FB64">
            <w:pPr>
              <w:spacing w:before="58" w:line="195" w:lineRule="auto"/>
              <w:ind w:left="609"/>
              <w:rPr>
                <w:rFonts w:ascii="宋体" w:hAnsi="宋体" w:eastAsia="宋体" w:cs="宋体"/>
                <w:b/>
                <w:bCs/>
                <w:sz w:val="24"/>
                <w:szCs w:val="24"/>
              </w:rPr>
            </w:pPr>
            <w:r>
              <w:rPr>
                <w:rFonts w:ascii="宋体" w:hAnsi="宋体" w:eastAsia="宋体" w:cs="宋体"/>
                <w:b/>
                <w:bCs/>
                <w:spacing w:val="-4"/>
                <w:sz w:val="24"/>
                <w:szCs w:val="24"/>
              </w:rPr>
              <w:t>文件及标准要求</w:t>
            </w:r>
          </w:p>
        </w:tc>
        <w:tc>
          <w:tcPr>
            <w:tcW w:w="2838" w:type="dxa"/>
            <w:noWrap w:val="0"/>
            <w:vAlign w:val="top"/>
          </w:tcPr>
          <w:p w14:paraId="4EF93909">
            <w:pPr>
              <w:spacing w:before="219" w:line="219" w:lineRule="auto"/>
              <w:ind w:left="961"/>
              <w:rPr>
                <w:rFonts w:ascii="宋体" w:hAnsi="宋体" w:eastAsia="宋体" w:cs="宋体"/>
                <w:b/>
                <w:bCs/>
                <w:sz w:val="24"/>
                <w:szCs w:val="24"/>
              </w:rPr>
            </w:pPr>
            <w:r>
              <w:rPr>
                <w:rFonts w:ascii="宋体" w:hAnsi="宋体" w:eastAsia="宋体" w:cs="宋体"/>
                <w:b/>
                <w:bCs/>
                <w:spacing w:val="-1"/>
                <w:sz w:val="24"/>
                <w:szCs w:val="24"/>
              </w:rPr>
              <w:t>处罚依据</w:t>
            </w:r>
          </w:p>
        </w:tc>
        <w:tc>
          <w:tcPr>
            <w:tcW w:w="1254" w:type="dxa"/>
            <w:noWrap w:val="0"/>
            <w:vAlign w:val="top"/>
          </w:tcPr>
          <w:p w14:paraId="0150DFE7">
            <w:pPr>
              <w:spacing w:before="222" w:line="221" w:lineRule="auto"/>
              <w:ind w:left="383"/>
              <w:rPr>
                <w:rFonts w:ascii="宋体" w:hAnsi="宋体" w:eastAsia="宋体" w:cs="宋体"/>
                <w:b/>
                <w:bCs/>
                <w:sz w:val="24"/>
                <w:szCs w:val="24"/>
              </w:rPr>
            </w:pPr>
            <w:r>
              <w:rPr>
                <w:rFonts w:ascii="宋体" w:hAnsi="宋体" w:eastAsia="宋体" w:cs="宋体"/>
                <w:b/>
                <w:bCs/>
                <w:spacing w:val="-6"/>
                <w:sz w:val="24"/>
                <w:szCs w:val="24"/>
              </w:rPr>
              <w:t>备注</w:t>
            </w:r>
          </w:p>
        </w:tc>
      </w:tr>
      <w:tr w14:paraId="53DB80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9" w:hRule="atLeast"/>
          <w:jc w:val="center"/>
        </w:trPr>
        <w:tc>
          <w:tcPr>
            <w:tcW w:w="864" w:type="dxa"/>
            <w:noWrap w:val="0"/>
            <w:vAlign w:val="top"/>
          </w:tcPr>
          <w:p w14:paraId="39739EB2">
            <w:pPr>
              <w:rPr>
                <w:rFonts w:ascii="Arial"/>
                <w:sz w:val="21"/>
                <w:szCs w:val="21"/>
              </w:rPr>
            </w:pPr>
          </w:p>
        </w:tc>
        <w:tc>
          <w:tcPr>
            <w:tcW w:w="2228" w:type="dxa"/>
            <w:noWrap w:val="0"/>
            <w:vAlign w:val="top"/>
          </w:tcPr>
          <w:p w14:paraId="4D2C9BE7">
            <w:pPr>
              <w:rPr>
                <w:rFonts w:ascii="Arial"/>
                <w:sz w:val="21"/>
                <w:szCs w:val="21"/>
              </w:rPr>
            </w:pPr>
          </w:p>
        </w:tc>
        <w:tc>
          <w:tcPr>
            <w:tcW w:w="3507" w:type="dxa"/>
            <w:noWrap w:val="0"/>
            <w:vAlign w:val="top"/>
          </w:tcPr>
          <w:p w14:paraId="3DEE300C">
            <w:pPr>
              <w:spacing w:before="121" w:line="246" w:lineRule="auto"/>
              <w:ind w:left="152"/>
              <w:jc w:val="both"/>
              <w:rPr>
                <w:rFonts w:ascii="宋体" w:hAnsi="宋体" w:eastAsia="宋体" w:cs="宋体"/>
                <w:sz w:val="21"/>
                <w:szCs w:val="21"/>
              </w:rPr>
            </w:pPr>
            <w:r>
              <w:rPr>
                <w:rFonts w:ascii="宋体" w:hAnsi="宋体" w:eastAsia="宋体" w:cs="宋体"/>
                <w:spacing w:val="8"/>
                <w:sz w:val="21"/>
                <w:szCs w:val="21"/>
              </w:rPr>
              <w:t>会、信息公示栏等方式向从业人员通报。其中，重大事故隐患排</w:t>
            </w:r>
            <w:r>
              <w:rPr>
                <w:rFonts w:ascii="宋体" w:hAnsi="宋体" w:eastAsia="宋体" w:cs="宋体"/>
                <w:spacing w:val="21"/>
                <w:sz w:val="21"/>
                <w:szCs w:val="21"/>
              </w:rPr>
              <w:t>查治理情况应当及时向负有安</w:t>
            </w:r>
            <w:r>
              <w:rPr>
                <w:rFonts w:ascii="宋体" w:hAnsi="宋体" w:eastAsia="宋体" w:cs="宋体"/>
                <w:spacing w:val="23"/>
                <w:sz w:val="21"/>
                <w:szCs w:val="21"/>
              </w:rPr>
              <w:t>全生产监督管理职责的部门和</w:t>
            </w:r>
            <w:r>
              <w:rPr>
                <w:rFonts w:ascii="宋体" w:hAnsi="宋体" w:eastAsia="宋体" w:cs="宋体"/>
                <w:spacing w:val="21"/>
                <w:sz w:val="21"/>
                <w:szCs w:val="21"/>
              </w:rPr>
              <w:t>职工大会或者职工代表大会报</w:t>
            </w:r>
            <w:r>
              <w:rPr>
                <w:rFonts w:ascii="宋体" w:hAnsi="宋体" w:eastAsia="宋体" w:cs="宋体"/>
                <w:spacing w:val="-3"/>
                <w:sz w:val="21"/>
                <w:szCs w:val="21"/>
              </w:rPr>
              <w:t>告。</w:t>
            </w:r>
          </w:p>
          <w:p w14:paraId="6A62BA48">
            <w:pPr>
              <w:spacing w:before="68" w:line="256" w:lineRule="auto"/>
              <w:ind w:left="152" w:firstLine="415"/>
              <w:jc w:val="both"/>
              <w:rPr>
                <w:rFonts w:ascii="宋体" w:hAnsi="宋体" w:eastAsia="宋体" w:cs="宋体"/>
                <w:sz w:val="21"/>
                <w:szCs w:val="21"/>
              </w:rPr>
            </w:pPr>
            <w:r>
              <w:rPr>
                <w:rFonts w:ascii="宋体" w:hAnsi="宋体" w:eastAsia="宋体" w:cs="宋体"/>
                <w:spacing w:val="-9"/>
                <w:sz w:val="21"/>
                <w:szCs w:val="21"/>
              </w:rPr>
              <w:t>2.《化工和危险化学品生产</w:t>
            </w:r>
            <w:r>
              <w:rPr>
                <w:rFonts w:ascii="宋体" w:hAnsi="宋体" w:eastAsia="宋体" w:cs="宋体"/>
                <w:spacing w:val="13"/>
                <w:sz w:val="21"/>
                <w:szCs w:val="21"/>
              </w:rPr>
              <w:t>经营单位重大生产安全事故隐</w:t>
            </w:r>
            <w:r>
              <w:rPr>
                <w:rFonts w:ascii="宋体" w:hAnsi="宋体" w:eastAsia="宋体" w:cs="宋体"/>
                <w:spacing w:val="21"/>
                <w:sz w:val="21"/>
                <w:szCs w:val="21"/>
              </w:rPr>
              <w:t>患判定标准(试行)》(安监总</w:t>
            </w:r>
            <w:r>
              <w:rPr>
                <w:rFonts w:ascii="宋体" w:hAnsi="宋体" w:eastAsia="宋体" w:cs="宋体"/>
                <w:spacing w:val="10"/>
                <w:sz w:val="21"/>
                <w:szCs w:val="21"/>
              </w:rPr>
              <w:t>管三〔2017〕121号)第十二条</w:t>
            </w:r>
            <w:r>
              <w:rPr>
                <w:rFonts w:ascii="宋体" w:hAnsi="宋体" w:eastAsia="宋体" w:cs="宋体"/>
                <w:spacing w:val="13"/>
                <w:sz w:val="21"/>
                <w:szCs w:val="21"/>
              </w:rPr>
              <w:t>涉及可燃和有毒有害气体泄漏</w:t>
            </w:r>
            <w:r>
              <w:rPr>
                <w:rFonts w:ascii="宋体" w:hAnsi="宋体" w:eastAsia="宋体" w:cs="宋体"/>
                <w:spacing w:val="15"/>
                <w:sz w:val="21"/>
                <w:szCs w:val="21"/>
              </w:rPr>
              <w:t>的场所未按国家标准设置检测</w:t>
            </w:r>
            <w:r>
              <w:rPr>
                <w:rFonts w:ascii="宋体" w:hAnsi="宋体" w:eastAsia="宋体" w:cs="宋体"/>
                <w:spacing w:val="1"/>
                <w:sz w:val="21"/>
                <w:szCs w:val="21"/>
              </w:rPr>
              <w:t>报警装置，爆炸危险场所未按国</w:t>
            </w:r>
            <w:r>
              <w:rPr>
                <w:rFonts w:ascii="宋体" w:hAnsi="宋体" w:eastAsia="宋体" w:cs="宋体"/>
                <w:spacing w:val="8"/>
                <w:sz w:val="21"/>
                <w:szCs w:val="21"/>
              </w:rPr>
              <w:t>家标准安装使用防爆电气设备。</w:t>
            </w:r>
          </w:p>
        </w:tc>
        <w:tc>
          <w:tcPr>
            <w:tcW w:w="2868" w:type="dxa"/>
            <w:noWrap w:val="0"/>
            <w:vAlign w:val="top"/>
          </w:tcPr>
          <w:p w14:paraId="6BF2057E">
            <w:pPr>
              <w:spacing w:before="124" w:line="243" w:lineRule="auto"/>
              <w:ind w:left="145" w:right="52"/>
              <w:jc w:val="both"/>
              <w:rPr>
                <w:rFonts w:ascii="宋体" w:hAnsi="宋体" w:eastAsia="宋体" w:cs="宋体"/>
                <w:sz w:val="21"/>
                <w:szCs w:val="21"/>
              </w:rPr>
            </w:pPr>
            <w:r>
              <w:rPr>
                <w:rFonts w:ascii="宋体" w:hAnsi="宋体" w:eastAsia="宋体" w:cs="宋体"/>
                <w:spacing w:val="1"/>
                <w:sz w:val="21"/>
                <w:szCs w:val="21"/>
              </w:rPr>
              <w:t>尘分级与电气设备类别的</w:t>
            </w:r>
            <w:r>
              <w:rPr>
                <w:rFonts w:ascii="宋体" w:hAnsi="宋体" w:eastAsia="宋体" w:cs="宋体"/>
                <w:spacing w:val="8"/>
                <w:sz w:val="21"/>
                <w:szCs w:val="21"/>
              </w:rPr>
              <w:t>关系应符合表5.2.3-1的</w:t>
            </w:r>
            <w:r>
              <w:rPr>
                <w:rFonts w:ascii="宋体" w:hAnsi="宋体" w:eastAsia="宋体" w:cs="宋体"/>
                <w:sz w:val="21"/>
                <w:szCs w:val="21"/>
              </w:rPr>
              <w:t>规定。当存在有两种以上可燃性物质形成的爆炸性</w:t>
            </w:r>
            <w:r>
              <w:rPr>
                <w:rFonts w:ascii="宋体" w:hAnsi="宋体" w:eastAsia="宋体" w:cs="宋体"/>
                <w:spacing w:val="1"/>
                <w:sz w:val="21"/>
                <w:szCs w:val="21"/>
              </w:rPr>
              <w:t>混合物时，应按照混合后的爆炸性混合物的级别和组别选用防爆设备，无据</w:t>
            </w:r>
            <w:r>
              <w:rPr>
                <w:rFonts w:ascii="宋体" w:hAnsi="宋体" w:eastAsia="宋体" w:cs="宋体"/>
                <w:spacing w:val="23"/>
                <w:sz w:val="21"/>
                <w:szCs w:val="21"/>
              </w:rPr>
              <w:t>可查又不可能进行试验</w:t>
            </w:r>
            <w:r>
              <w:rPr>
                <w:rFonts w:ascii="宋体" w:hAnsi="宋体" w:eastAsia="宋体" w:cs="宋体"/>
                <w:spacing w:val="1"/>
                <w:sz w:val="21"/>
                <w:szCs w:val="21"/>
              </w:rPr>
              <w:t>时，可按危险程度较高的级别和组别选用防爆电气</w:t>
            </w:r>
            <w:r>
              <w:rPr>
                <w:rFonts w:ascii="宋体" w:hAnsi="宋体" w:eastAsia="宋体" w:cs="宋体"/>
                <w:spacing w:val="-9"/>
                <w:sz w:val="21"/>
                <w:szCs w:val="21"/>
              </w:rPr>
              <w:t>设备。</w:t>
            </w:r>
          </w:p>
          <w:p w14:paraId="45EF296B">
            <w:pPr>
              <w:spacing w:before="31" w:line="246" w:lineRule="auto"/>
              <w:ind w:left="145" w:firstLine="451"/>
              <w:jc w:val="both"/>
              <w:rPr>
                <w:rFonts w:ascii="宋体" w:hAnsi="宋体" w:eastAsia="宋体" w:cs="宋体"/>
                <w:sz w:val="21"/>
                <w:szCs w:val="21"/>
              </w:rPr>
            </w:pPr>
            <w:r>
              <w:rPr>
                <w:rFonts w:ascii="宋体" w:hAnsi="宋体" w:eastAsia="宋体" w:cs="宋体"/>
                <w:spacing w:val="7"/>
                <w:sz w:val="21"/>
                <w:szCs w:val="21"/>
              </w:rPr>
              <w:t>对于标有适用于特定的气体、蒸气的环境的防</w:t>
            </w:r>
            <w:r>
              <w:rPr>
                <w:rFonts w:ascii="宋体" w:hAnsi="宋体" w:eastAsia="宋体" w:cs="宋体"/>
                <w:spacing w:val="16"/>
                <w:sz w:val="21"/>
                <w:szCs w:val="21"/>
              </w:rPr>
              <w:t>爆设备，没有经过鉴定，</w:t>
            </w:r>
            <w:r>
              <w:rPr>
                <w:rFonts w:ascii="宋体" w:hAnsi="宋体" w:eastAsia="宋体" w:cs="宋体"/>
                <w:spacing w:val="6"/>
                <w:sz w:val="21"/>
                <w:szCs w:val="21"/>
              </w:rPr>
              <w:t>不得使用于其他的气体环</w:t>
            </w:r>
            <w:r>
              <w:rPr>
                <w:rFonts w:ascii="宋体" w:hAnsi="宋体" w:eastAsia="宋体" w:cs="宋体"/>
                <w:spacing w:val="-13"/>
                <w:sz w:val="21"/>
                <w:szCs w:val="21"/>
              </w:rPr>
              <w:t>境内。</w:t>
            </w:r>
          </w:p>
          <w:p w14:paraId="1F6D5407">
            <w:pPr>
              <w:spacing w:before="59" w:line="236" w:lineRule="auto"/>
              <w:ind w:left="145" w:right="48" w:firstLine="429"/>
              <w:jc w:val="both"/>
              <w:rPr>
                <w:rFonts w:ascii="宋体" w:hAnsi="宋体" w:eastAsia="宋体" w:cs="宋体"/>
                <w:sz w:val="21"/>
                <w:szCs w:val="21"/>
              </w:rPr>
            </w:pPr>
            <w:r>
              <w:rPr>
                <w:rFonts w:ascii="宋体" w:hAnsi="宋体" w:eastAsia="宋体" w:cs="宋体"/>
                <w:spacing w:val="-2"/>
                <w:sz w:val="21"/>
                <w:szCs w:val="21"/>
              </w:rPr>
              <w:t>2Ⅱ类电气设备的温</w:t>
            </w:r>
            <w:r>
              <w:rPr>
                <w:rFonts w:ascii="宋体" w:hAnsi="宋体" w:eastAsia="宋体" w:cs="宋体"/>
                <w:spacing w:val="1"/>
                <w:sz w:val="21"/>
                <w:szCs w:val="21"/>
              </w:rPr>
              <w:t>度组别、最高表面温度和</w:t>
            </w:r>
            <w:r>
              <w:rPr>
                <w:rFonts w:ascii="宋体" w:hAnsi="宋体" w:eastAsia="宋体" w:cs="宋体"/>
                <w:spacing w:val="2"/>
                <w:sz w:val="21"/>
                <w:szCs w:val="21"/>
              </w:rPr>
              <w:t>气体、蒸气引燃温度之间</w:t>
            </w:r>
            <w:r>
              <w:rPr>
                <w:rFonts w:ascii="宋体" w:hAnsi="宋体" w:eastAsia="宋体" w:cs="宋体"/>
                <w:spacing w:val="9"/>
                <w:sz w:val="21"/>
                <w:szCs w:val="21"/>
              </w:rPr>
              <w:t>的关系符合表5.2.3-2的</w:t>
            </w:r>
            <w:r>
              <w:rPr>
                <w:rFonts w:ascii="宋体" w:hAnsi="宋体" w:eastAsia="宋体" w:cs="宋体"/>
                <w:spacing w:val="-9"/>
                <w:sz w:val="21"/>
                <w:szCs w:val="21"/>
              </w:rPr>
              <w:t>规定。</w:t>
            </w:r>
          </w:p>
          <w:p w14:paraId="3DEFF1C4">
            <w:pPr>
              <w:spacing w:before="71" w:line="229" w:lineRule="auto"/>
              <w:ind w:left="145" w:right="60" w:firstLine="449"/>
              <w:jc w:val="both"/>
              <w:rPr>
                <w:rFonts w:ascii="宋体" w:hAnsi="宋体" w:eastAsia="宋体" w:cs="宋体"/>
                <w:sz w:val="21"/>
                <w:szCs w:val="21"/>
              </w:rPr>
            </w:pPr>
            <w:r>
              <w:rPr>
                <w:rFonts w:ascii="宋体" w:hAnsi="宋体" w:eastAsia="宋体" w:cs="宋体"/>
                <w:spacing w:val="23"/>
                <w:sz w:val="21"/>
                <w:szCs w:val="21"/>
              </w:rPr>
              <w:t>3安装在爆炸性粉尘</w:t>
            </w:r>
            <w:r>
              <w:rPr>
                <w:rFonts w:ascii="宋体" w:hAnsi="宋体" w:eastAsia="宋体" w:cs="宋体"/>
                <w:spacing w:val="11"/>
                <w:sz w:val="21"/>
                <w:szCs w:val="21"/>
              </w:rPr>
              <w:t>环境中的电气设备应采取</w:t>
            </w:r>
          </w:p>
        </w:tc>
        <w:tc>
          <w:tcPr>
            <w:tcW w:w="2838" w:type="dxa"/>
            <w:noWrap w:val="0"/>
            <w:vAlign w:val="top"/>
          </w:tcPr>
          <w:p w14:paraId="58987FAC">
            <w:pPr>
              <w:spacing w:before="119" w:line="239" w:lineRule="auto"/>
              <w:ind w:left="147" w:right="27"/>
              <w:jc w:val="both"/>
              <w:rPr>
                <w:rFonts w:ascii="宋体" w:hAnsi="宋体" w:eastAsia="宋体" w:cs="宋体"/>
                <w:sz w:val="21"/>
                <w:szCs w:val="21"/>
              </w:rPr>
            </w:pPr>
            <w:r>
              <w:rPr>
                <w:rFonts w:ascii="宋体" w:hAnsi="宋体" w:eastAsia="宋体" w:cs="宋体"/>
                <w:spacing w:val="1"/>
                <w:sz w:val="21"/>
                <w:szCs w:val="21"/>
              </w:rPr>
              <w:t>顿，对其直接负责的主管</w:t>
            </w:r>
            <w:r>
              <w:rPr>
                <w:rFonts w:ascii="宋体" w:hAnsi="宋体" w:eastAsia="宋体" w:cs="宋体"/>
                <w:spacing w:val="21"/>
                <w:sz w:val="21"/>
                <w:szCs w:val="21"/>
              </w:rPr>
              <w:t>人员和其他直接责任人员处五万元以上十万元以下的罚款；构成犯罪</w:t>
            </w:r>
            <w:r>
              <w:rPr>
                <w:rFonts w:ascii="宋体" w:hAnsi="宋体" w:eastAsia="宋体" w:cs="宋体"/>
                <w:spacing w:val="1"/>
                <w:sz w:val="21"/>
                <w:szCs w:val="21"/>
              </w:rPr>
              <w:t>的，依照刑法有关规定追</w:t>
            </w:r>
            <w:r>
              <w:rPr>
                <w:rFonts w:ascii="宋体" w:hAnsi="宋体" w:eastAsia="宋体" w:cs="宋体"/>
                <w:spacing w:val="19"/>
                <w:sz w:val="21"/>
                <w:szCs w:val="21"/>
              </w:rPr>
              <w:t>究刑事责任。</w:t>
            </w:r>
          </w:p>
        </w:tc>
        <w:tc>
          <w:tcPr>
            <w:tcW w:w="1254" w:type="dxa"/>
            <w:noWrap w:val="0"/>
            <w:vAlign w:val="top"/>
          </w:tcPr>
          <w:p w14:paraId="2417FE2A">
            <w:pPr>
              <w:rPr>
                <w:rFonts w:ascii="Arial"/>
                <w:sz w:val="21"/>
                <w:szCs w:val="21"/>
              </w:rPr>
            </w:pPr>
          </w:p>
        </w:tc>
      </w:tr>
    </w:tbl>
    <w:p w14:paraId="773AA18F"/>
    <w:p w14:paraId="13809593"/>
    <w:p w14:paraId="509C701B">
      <w:pPr>
        <w:spacing w:line="109" w:lineRule="exact"/>
      </w:pP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4"/>
        <w:gridCol w:w="2229"/>
        <w:gridCol w:w="3507"/>
        <w:gridCol w:w="2858"/>
        <w:gridCol w:w="2848"/>
        <w:gridCol w:w="1244"/>
      </w:tblGrid>
      <w:tr w14:paraId="5E1555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jc w:val="center"/>
        </w:trPr>
        <w:tc>
          <w:tcPr>
            <w:tcW w:w="874" w:type="dxa"/>
            <w:noWrap w:val="0"/>
            <w:vAlign w:val="top"/>
          </w:tcPr>
          <w:p w14:paraId="411ADD54">
            <w:pPr>
              <w:spacing w:before="212" w:line="221" w:lineRule="auto"/>
              <w:ind w:left="198"/>
              <w:rPr>
                <w:rFonts w:ascii="宋体" w:hAnsi="宋体" w:eastAsia="宋体" w:cs="宋体"/>
                <w:b/>
                <w:bCs/>
                <w:sz w:val="23"/>
                <w:szCs w:val="23"/>
              </w:rPr>
            </w:pPr>
            <w:r>
              <w:rPr>
                <w:rFonts w:ascii="宋体" w:hAnsi="宋体" w:eastAsia="宋体" w:cs="宋体"/>
                <w:b/>
                <w:bCs/>
                <w:spacing w:val="-5"/>
                <w:sz w:val="23"/>
                <w:szCs w:val="23"/>
              </w:rPr>
              <w:t>序号</w:t>
            </w:r>
          </w:p>
        </w:tc>
        <w:tc>
          <w:tcPr>
            <w:tcW w:w="2229" w:type="dxa"/>
            <w:noWrap w:val="0"/>
            <w:vAlign w:val="top"/>
          </w:tcPr>
          <w:p w14:paraId="08CD14E5">
            <w:pPr>
              <w:spacing w:before="94" w:line="219" w:lineRule="auto"/>
              <w:ind w:left="640"/>
              <w:rPr>
                <w:rFonts w:ascii="宋体" w:hAnsi="宋体" w:eastAsia="宋体" w:cs="宋体"/>
                <w:b/>
                <w:bCs/>
                <w:sz w:val="23"/>
                <w:szCs w:val="23"/>
              </w:rPr>
            </w:pPr>
            <w:r>
              <w:rPr>
                <w:rFonts w:ascii="宋体" w:hAnsi="宋体" w:eastAsia="宋体" w:cs="宋体"/>
                <w:b/>
                <w:bCs/>
                <w:spacing w:val="2"/>
                <w:sz w:val="23"/>
                <w:szCs w:val="23"/>
              </w:rPr>
              <w:t>执法检查</w:t>
            </w:r>
          </w:p>
          <w:p w14:paraId="55F8E343">
            <w:pPr>
              <w:spacing w:before="43" w:line="195" w:lineRule="auto"/>
              <w:ind w:left="414"/>
              <w:rPr>
                <w:rFonts w:ascii="宋体" w:hAnsi="宋体" w:eastAsia="宋体" w:cs="宋体"/>
                <w:b/>
                <w:bCs/>
                <w:sz w:val="23"/>
                <w:szCs w:val="23"/>
              </w:rPr>
            </w:pPr>
            <w:r>
              <w:rPr>
                <w:rFonts w:ascii="宋体" w:hAnsi="宋体" w:eastAsia="宋体" w:cs="宋体"/>
                <w:b/>
                <w:bCs/>
                <w:spacing w:val="-4"/>
                <w:sz w:val="23"/>
                <w:szCs w:val="23"/>
              </w:rPr>
              <w:t>重点事项内容</w:t>
            </w:r>
          </w:p>
        </w:tc>
        <w:tc>
          <w:tcPr>
            <w:tcW w:w="3507" w:type="dxa"/>
            <w:noWrap w:val="0"/>
            <w:vAlign w:val="top"/>
          </w:tcPr>
          <w:p w14:paraId="526D4496">
            <w:pPr>
              <w:spacing w:before="213" w:line="219" w:lineRule="auto"/>
              <w:ind w:left="1022"/>
              <w:rPr>
                <w:rFonts w:ascii="宋体" w:hAnsi="宋体" w:eastAsia="宋体" w:cs="宋体"/>
                <w:b/>
                <w:bCs/>
                <w:sz w:val="23"/>
                <w:szCs w:val="23"/>
              </w:rPr>
            </w:pPr>
            <w:r>
              <w:rPr>
                <w:rFonts w:ascii="宋体" w:hAnsi="宋体" w:eastAsia="宋体" w:cs="宋体"/>
                <w:b/>
                <w:bCs/>
                <w:spacing w:val="18"/>
                <w:sz w:val="23"/>
                <w:szCs w:val="23"/>
              </w:rPr>
              <w:t>执法检查依据</w:t>
            </w:r>
          </w:p>
        </w:tc>
        <w:tc>
          <w:tcPr>
            <w:tcW w:w="2858" w:type="dxa"/>
            <w:noWrap w:val="0"/>
            <w:vAlign w:val="top"/>
          </w:tcPr>
          <w:p w14:paraId="7152FC72">
            <w:pPr>
              <w:spacing w:before="85" w:line="220" w:lineRule="auto"/>
              <w:ind w:left="855"/>
              <w:rPr>
                <w:rFonts w:ascii="宋体" w:hAnsi="宋体" w:eastAsia="宋体" w:cs="宋体"/>
                <w:b/>
                <w:bCs/>
                <w:sz w:val="23"/>
                <w:szCs w:val="23"/>
              </w:rPr>
            </w:pPr>
            <w:r>
              <w:rPr>
                <w:rFonts w:ascii="宋体" w:hAnsi="宋体" w:eastAsia="宋体" w:cs="宋体"/>
                <w:b/>
                <w:bCs/>
                <w:spacing w:val="7"/>
                <w:sz w:val="23"/>
                <w:szCs w:val="23"/>
              </w:rPr>
              <w:t>有关规范性</w:t>
            </w:r>
          </w:p>
          <w:p w14:paraId="3E8658C3">
            <w:pPr>
              <w:spacing w:before="44" w:line="201" w:lineRule="auto"/>
              <w:ind w:left="615"/>
              <w:rPr>
                <w:rFonts w:ascii="宋体" w:hAnsi="宋体" w:eastAsia="宋体" w:cs="宋体"/>
                <w:b/>
                <w:bCs/>
                <w:sz w:val="23"/>
                <w:szCs w:val="23"/>
              </w:rPr>
            </w:pPr>
            <w:r>
              <w:rPr>
                <w:rFonts w:ascii="宋体" w:hAnsi="宋体" w:eastAsia="宋体" w:cs="宋体"/>
                <w:b/>
                <w:bCs/>
                <w:spacing w:val="8"/>
                <w:sz w:val="23"/>
                <w:szCs w:val="23"/>
              </w:rPr>
              <w:t>文件及标准要求</w:t>
            </w:r>
          </w:p>
        </w:tc>
        <w:tc>
          <w:tcPr>
            <w:tcW w:w="2848" w:type="dxa"/>
            <w:noWrap w:val="0"/>
            <w:vAlign w:val="top"/>
          </w:tcPr>
          <w:p w14:paraId="3B6F6479">
            <w:pPr>
              <w:spacing w:before="213" w:line="219" w:lineRule="auto"/>
              <w:ind w:left="966"/>
              <w:rPr>
                <w:rFonts w:ascii="宋体" w:hAnsi="宋体" w:eastAsia="宋体" w:cs="宋体"/>
                <w:b/>
                <w:bCs/>
                <w:sz w:val="23"/>
                <w:szCs w:val="23"/>
              </w:rPr>
            </w:pPr>
            <w:r>
              <w:rPr>
                <w:rFonts w:ascii="宋体" w:hAnsi="宋体" w:eastAsia="宋体" w:cs="宋体"/>
                <w:b/>
                <w:bCs/>
                <w:spacing w:val="18"/>
                <w:sz w:val="23"/>
                <w:szCs w:val="23"/>
              </w:rPr>
              <w:t>处罚依据</w:t>
            </w:r>
          </w:p>
        </w:tc>
        <w:tc>
          <w:tcPr>
            <w:tcW w:w="1244" w:type="dxa"/>
            <w:noWrap w:val="0"/>
            <w:vAlign w:val="top"/>
          </w:tcPr>
          <w:p w14:paraId="5E11A865">
            <w:pPr>
              <w:spacing w:before="212" w:line="221" w:lineRule="auto"/>
              <w:ind w:left="392"/>
              <w:rPr>
                <w:rFonts w:ascii="宋体" w:hAnsi="宋体" w:eastAsia="宋体" w:cs="宋体"/>
                <w:b/>
                <w:bCs/>
                <w:sz w:val="23"/>
                <w:szCs w:val="23"/>
              </w:rPr>
            </w:pPr>
            <w:r>
              <w:rPr>
                <w:rFonts w:ascii="宋体" w:hAnsi="宋体" w:eastAsia="宋体" w:cs="宋体"/>
                <w:b/>
                <w:bCs/>
                <w:spacing w:val="-6"/>
                <w:sz w:val="23"/>
                <w:szCs w:val="23"/>
              </w:rPr>
              <w:t>备注</w:t>
            </w:r>
          </w:p>
        </w:tc>
      </w:tr>
      <w:tr w14:paraId="494DCE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46" w:hRule="atLeast"/>
          <w:jc w:val="center"/>
        </w:trPr>
        <w:tc>
          <w:tcPr>
            <w:tcW w:w="874" w:type="dxa"/>
            <w:noWrap w:val="0"/>
            <w:vAlign w:val="top"/>
          </w:tcPr>
          <w:p w14:paraId="6AE37225">
            <w:pPr>
              <w:rPr>
                <w:rFonts w:ascii="Arial"/>
                <w:sz w:val="21"/>
                <w:szCs w:val="21"/>
              </w:rPr>
            </w:pPr>
          </w:p>
        </w:tc>
        <w:tc>
          <w:tcPr>
            <w:tcW w:w="2229" w:type="dxa"/>
            <w:noWrap w:val="0"/>
            <w:vAlign w:val="top"/>
          </w:tcPr>
          <w:p w14:paraId="6D740EF4">
            <w:pPr>
              <w:rPr>
                <w:rFonts w:ascii="Arial"/>
                <w:sz w:val="21"/>
                <w:szCs w:val="21"/>
              </w:rPr>
            </w:pPr>
          </w:p>
        </w:tc>
        <w:tc>
          <w:tcPr>
            <w:tcW w:w="3507" w:type="dxa"/>
            <w:noWrap w:val="0"/>
            <w:vAlign w:val="top"/>
          </w:tcPr>
          <w:p w14:paraId="0101A41C">
            <w:pPr>
              <w:rPr>
                <w:rFonts w:ascii="Arial"/>
                <w:sz w:val="21"/>
                <w:szCs w:val="21"/>
              </w:rPr>
            </w:pPr>
          </w:p>
        </w:tc>
        <w:tc>
          <w:tcPr>
            <w:tcW w:w="2858" w:type="dxa"/>
            <w:noWrap w:val="0"/>
            <w:vAlign w:val="top"/>
          </w:tcPr>
          <w:p w14:paraId="40D59F26">
            <w:pPr>
              <w:spacing w:before="114" w:line="249" w:lineRule="auto"/>
              <w:ind w:left="134" w:right="68"/>
              <w:jc w:val="both"/>
              <w:rPr>
                <w:rFonts w:ascii="宋体" w:hAnsi="宋体" w:eastAsia="宋体" w:cs="宋体"/>
                <w:sz w:val="21"/>
                <w:szCs w:val="21"/>
              </w:rPr>
            </w:pPr>
            <w:r>
              <w:rPr>
                <w:rFonts w:ascii="宋体" w:hAnsi="宋体" w:eastAsia="宋体" w:cs="宋体"/>
                <w:spacing w:val="5"/>
                <w:sz w:val="21"/>
                <w:szCs w:val="21"/>
              </w:rPr>
              <w:t>措施防止热表面点可燃性</w:t>
            </w:r>
            <w:r>
              <w:rPr>
                <w:rFonts w:ascii="宋体" w:hAnsi="宋体" w:eastAsia="宋体" w:cs="宋体"/>
                <w:spacing w:val="10"/>
                <w:sz w:val="21"/>
                <w:szCs w:val="21"/>
              </w:rPr>
              <w:t>粉尘层引起的火灾危险。</w:t>
            </w:r>
            <w:r>
              <w:rPr>
                <w:rFonts w:ascii="宋体" w:hAnsi="宋体" w:eastAsia="宋体" w:cs="宋体"/>
                <w:spacing w:val="5"/>
                <w:sz w:val="21"/>
                <w:szCs w:val="21"/>
              </w:rPr>
              <w:t>Ⅲ类电气设备的最高表面</w:t>
            </w:r>
            <w:r>
              <w:rPr>
                <w:rFonts w:ascii="宋体" w:hAnsi="宋体" w:eastAsia="宋体" w:cs="宋体"/>
                <w:spacing w:val="7"/>
                <w:sz w:val="21"/>
                <w:szCs w:val="21"/>
              </w:rPr>
              <w:t>温度应按国家现行有关标准的规定进行选择。电气</w:t>
            </w:r>
            <w:r>
              <w:rPr>
                <w:rFonts w:ascii="宋体" w:hAnsi="宋体" w:eastAsia="宋体" w:cs="宋体"/>
                <w:spacing w:val="9"/>
                <w:sz w:val="21"/>
                <w:szCs w:val="21"/>
              </w:rPr>
              <w:t>设备结构应满足电气设备在规定的运行条件下不降</w:t>
            </w:r>
            <w:r>
              <w:rPr>
                <w:rFonts w:ascii="宋体" w:hAnsi="宋体" w:eastAsia="宋体" w:cs="宋体"/>
                <w:spacing w:val="12"/>
                <w:sz w:val="21"/>
                <w:szCs w:val="21"/>
              </w:rPr>
              <w:t>低防爆性能的要求。</w:t>
            </w:r>
          </w:p>
        </w:tc>
        <w:tc>
          <w:tcPr>
            <w:tcW w:w="2848" w:type="dxa"/>
            <w:noWrap w:val="0"/>
            <w:vAlign w:val="top"/>
          </w:tcPr>
          <w:p w14:paraId="3CC85405">
            <w:pPr>
              <w:rPr>
                <w:rFonts w:ascii="Arial"/>
                <w:sz w:val="21"/>
                <w:szCs w:val="21"/>
              </w:rPr>
            </w:pPr>
          </w:p>
        </w:tc>
        <w:tc>
          <w:tcPr>
            <w:tcW w:w="1244" w:type="dxa"/>
            <w:noWrap w:val="0"/>
            <w:vAlign w:val="top"/>
          </w:tcPr>
          <w:p w14:paraId="1864AD1E">
            <w:pPr>
              <w:rPr>
                <w:rFonts w:ascii="Arial"/>
                <w:sz w:val="21"/>
                <w:szCs w:val="21"/>
              </w:rPr>
            </w:pPr>
          </w:p>
        </w:tc>
      </w:tr>
      <w:tr w14:paraId="2584A9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3" w:hRule="atLeast"/>
          <w:jc w:val="center"/>
        </w:trPr>
        <w:tc>
          <w:tcPr>
            <w:tcW w:w="874" w:type="dxa"/>
            <w:noWrap w:val="0"/>
            <w:vAlign w:val="top"/>
          </w:tcPr>
          <w:p w14:paraId="6F2FF85E">
            <w:pPr>
              <w:spacing w:line="252" w:lineRule="auto"/>
              <w:rPr>
                <w:rFonts w:ascii="Arial"/>
                <w:sz w:val="21"/>
                <w:szCs w:val="21"/>
              </w:rPr>
            </w:pPr>
          </w:p>
          <w:p w14:paraId="0282BE59">
            <w:pPr>
              <w:spacing w:line="252" w:lineRule="auto"/>
              <w:rPr>
                <w:rFonts w:ascii="Arial"/>
                <w:sz w:val="21"/>
                <w:szCs w:val="21"/>
              </w:rPr>
            </w:pPr>
          </w:p>
          <w:p w14:paraId="1F65292D">
            <w:pPr>
              <w:spacing w:line="252" w:lineRule="auto"/>
              <w:rPr>
                <w:rFonts w:ascii="Arial"/>
                <w:sz w:val="21"/>
                <w:szCs w:val="21"/>
              </w:rPr>
            </w:pPr>
          </w:p>
          <w:p w14:paraId="64DE0007">
            <w:pPr>
              <w:spacing w:line="252" w:lineRule="auto"/>
              <w:rPr>
                <w:rFonts w:ascii="Arial"/>
                <w:sz w:val="21"/>
                <w:szCs w:val="21"/>
              </w:rPr>
            </w:pPr>
          </w:p>
          <w:p w14:paraId="3A5BAC4A">
            <w:pPr>
              <w:spacing w:line="253" w:lineRule="auto"/>
              <w:rPr>
                <w:rFonts w:ascii="Arial"/>
                <w:sz w:val="21"/>
                <w:szCs w:val="21"/>
              </w:rPr>
            </w:pPr>
          </w:p>
          <w:p w14:paraId="33F61F1F">
            <w:pPr>
              <w:spacing w:line="253" w:lineRule="auto"/>
              <w:rPr>
                <w:rFonts w:ascii="Arial"/>
                <w:sz w:val="21"/>
                <w:szCs w:val="21"/>
              </w:rPr>
            </w:pPr>
          </w:p>
          <w:p w14:paraId="3B90E700">
            <w:pPr>
              <w:spacing w:line="253" w:lineRule="auto"/>
              <w:rPr>
                <w:rFonts w:ascii="Arial"/>
                <w:sz w:val="21"/>
                <w:szCs w:val="21"/>
              </w:rPr>
            </w:pPr>
          </w:p>
          <w:p w14:paraId="63712D98">
            <w:pPr>
              <w:spacing w:line="253" w:lineRule="auto"/>
              <w:rPr>
                <w:rFonts w:ascii="Arial"/>
                <w:sz w:val="21"/>
                <w:szCs w:val="21"/>
              </w:rPr>
            </w:pPr>
          </w:p>
          <w:p w14:paraId="60C1F701">
            <w:pPr>
              <w:spacing w:line="253" w:lineRule="auto"/>
              <w:rPr>
                <w:rFonts w:ascii="Arial"/>
                <w:sz w:val="21"/>
                <w:szCs w:val="21"/>
              </w:rPr>
            </w:pPr>
          </w:p>
          <w:p w14:paraId="65DA9ABD">
            <w:pPr>
              <w:spacing w:before="75" w:line="184" w:lineRule="auto"/>
              <w:ind w:left="314"/>
              <w:rPr>
                <w:rFonts w:ascii="宋体" w:hAnsi="宋体" w:eastAsia="宋体" w:cs="宋体"/>
                <w:sz w:val="21"/>
                <w:szCs w:val="21"/>
              </w:rPr>
            </w:pPr>
            <w:r>
              <w:rPr>
                <w:rFonts w:ascii="宋体" w:hAnsi="宋体" w:eastAsia="宋体" w:cs="宋体"/>
                <w:spacing w:val="-3"/>
                <w:sz w:val="21"/>
                <w:szCs w:val="21"/>
              </w:rPr>
              <w:t>2</w:t>
            </w:r>
            <w:r>
              <w:rPr>
                <w:rFonts w:hint="eastAsia" w:ascii="宋体" w:hAnsi="宋体" w:eastAsia="宋体" w:cs="宋体"/>
                <w:spacing w:val="-3"/>
                <w:sz w:val="21"/>
                <w:szCs w:val="21"/>
                <w:lang w:val="en-US" w:eastAsia="zh-CN"/>
              </w:rPr>
              <w:t>0</w:t>
            </w:r>
          </w:p>
        </w:tc>
        <w:tc>
          <w:tcPr>
            <w:tcW w:w="2229" w:type="dxa"/>
            <w:noWrap w:val="0"/>
            <w:vAlign w:val="top"/>
          </w:tcPr>
          <w:p w14:paraId="4CDD1918">
            <w:pPr>
              <w:spacing w:line="317" w:lineRule="auto"/>
              <w:rPr>
                <w:rFonts w:ascii="Arial"/>
                <w:sz w:val="21"/>
                <w:szCs w:val="21"/>
              </w:rPr>
            </w:pPr>
          </w:p>
          <w:p w14:paraId="293DB10B">
            <w:pPr>
              <w:spacing w:line="317" w:lineRule="auto"/>
              <w:rPr>
                <w:rFonts w:ascii="Arial"/>
                <w:sz w:val="21"/>
                <w:szCs w:val="21"/>
              </w:rPr>
            </w:pPr>
          </w:p>
          <w:p w14:paraId="5240BE65">
            <w:pPr>
              <w:spacing w:line="317" w:lineRule="auto"/>
              <w:rPr>
                <w:rFonts w:ascii="Arial"/>
                <w:sz w:val="21"/>
                <w:szCs w:val="21"/>
              </w:rPr>
            </w:pPr>
          </w:p>
          <w:p w14:paraId="7CC131B1">
            <w:pPr>
              <w:spacing w:before="74" w:line="256" w:lineRule="auto"/>
              <w:ind w:left="131" w:right="186" w:firstLine="50"/>
              <w:rPr>
                <w:rFonts w:ascii="宋体" w:hAnsi="宋体" w:eastAsia="宋体" w:cs="宋体"/>
                <w:sz w:val="21"/>
                <w:szCs w:val="21"/>
              </w:rPr>
            </w:pPr>
            <w:r>
              <w:rPr>
                <w:rFonts w:ascii="宋体" w:hAnsi="宋体" w:eastAsia="宋体" w:cs="宋体"/>
                <w:spacing w:val="1"/>
                <w:sz w:val="21"/>
                <w:szCs w:val="21"/>
              </w:rPr>
              <w:t>涉及可燃和有毒有</w:t>
            </w:r>
            <w:r>
              <w:rPr>
                <w:rFonts w:ascii="宋体" w:hAnsi="宋体" w:eastAsia="宋体" w:cs="宋体"/>
                <w:spacing w:val="7"/>
                <w:sz w:val="21"/>
                <w:szCs w:val="21"/>
              </w:rPr>
              <w:t>害气体泄漏的场所未按国家标准要求</w:t>
            </w:r>
            <w:r>
              <w:rPr>
                <w:rFonts w:ascii="宋体" w:hAnsi="宋体" w:eastAsia="宋体" w:cs="宋体"/>
                <w:spacing w:val="1"/>
                <w:sz w:val="21"/>
                <w:szCs w:val="21"/>
              </w:rPr>
              <w:t>设置检测报警装</w:t>
            </w:r>
          </w:p>
          <w:p w14:paraId="13270D2D">
            <w:pPr>
              <w:spacing w:before="45" w:line="245" w:lineRule="auto"/>
              <w:ind w:left="101" w:right="182" w:firstLine="79"/>
              <w:rPr>
                <w:rFonts w:ascii="宋体" w:hAnsi="宋体" w:eastAsia="宋体" w:cs="宋体"/>
                <w:sz w:val="21"/>
                <w:szCs w:val="21"/>
              </w:rPr>
            </w:pPr>
            <w:r>
              <w:rPr>
                <w:rFonts w:ascii="宋体" w:hAnsi="宋体" w:eastAsia="宋体" w:cs="宋体"/>
                <w:spacing w:val="1"/>
                <w:sz w:val="21"/>
                <w:szCs w:val="21"/>
              </w:rPr>
              <w:t>置；可燃和有毒气</w:t>
            </w:r>
            <w:r>
              <w:rPr>
                <w:rFonts w:ascii="宋体" w:hAnsi="宋体" w:eastAsia="宋体" w:cs="宋体"/>
                <w:spacing w:val="11"/>
                <w:sz w:val="21"/>
                <w:szCs w:val="21"/>
              </w:rPr>
              <w:t>体检测报警系统未投用或处于非正常</w:t>
            </w:r>
            <w:r>
              <w:rPr>
                <w:rFonts w:ascii="宋体" w:hAnsi="宋体" w:eastAsia="宋体" w:cs="宋体"/>
                <w:spacing w:val="8"/>
                <w:sz w:val="21"/>
                <w:szCs w:val="21"/>
              </w:rPr>
              <w:t>状态，长时间报警</w:t>
            </w:r>
            <w:r>
              <w:rPr>
                <w:rFonts w:ascii="宋体" w:hAnsi="宋体" w:eastAsia="宋体" w:cs="宋体"/>
                <w:spacing w:val="23"/>
                <w:sz w:val="21"/>
                <w:szCs w:val="21"/>
              </w:rPr>
              <w:t>未处置。</w:t>
            </w:r>
          </w:p>
        </w:tc>
        <w:tc>
          <w:tcPr>
            <w:tcW w:w="3507" w:type="dxa"/>
            <w:noWrap w:val="0"/>
            <w:vAlign w:val="top"/>
          </w:tcPr>
          <w:p w14:paraId="67778E07">
            <w:pPr>
              <w:spacing w:before="114" w:line="262" w:lineRule="auto"/>
              <w:ind w:left="132" w:firstLine="474"/>
              <w:rPr>
                <w:rFonts w:ascii="宋体" w:hAnsi="宋体" w:eastAsia="宋体" w:cs="宋体"/>
                <w:sz w:val="21"/>
                <w:szCs w:val="21"/>
              </w:rPr>
            </w:pPr>
            <w:r>
              <w:rPr>
                <w:rFonts w:ascii="宋体" w:hAnsi="宋体" w:eastAsia="宋体" w:cs="宋体"/>
                <w:spacing w:val="-8"/>
                <w:sz w:val="21"/>
                <w:szCs w:val="21"/>
              </w:rPr>
              <w:t>1.《中华人民共和国安全生</w:t>
            </w:r>
            <w:r>
              <w:rPr>
                <w:rFonts w:ascii="宋体" w:hAnsi="宋体" w:eastAsia="宋体" w:cs="宋体"/>
                <w:spacing w:val="4"/>
                <w:sz w:val="21"/>
                <w:szCs w:val="21"/>
              </w:rPr>
              <w:t>产法》第三十六条第一款、第二</w:t>
            </w:r>
            <w:r>
              <w:rPr>
                <w:rFonts w:ascii="宋体" w:hAnsi="宋体" w:eastAsia="宋体" w:cs="宋体"/>
                <w:spacing w:val="7"/>
                <w:sz w:val="21"/>
                <w:szCs w:val="21"/>
              </w:rPr>
              <w:t>款、第三款安全设备的设计、</w:t>
            </w:r>
            <w:r>
              <w:rPr>
                <w:rFonts w:ascii="宋体" w:hAnsi="宋体" w:eastAsia="宋体" w:cs="宋体"/>
                <w:spacing w:val="4"/>
                <w:sz w:val="21"/>
                <w:szCs w:val="21"/>
              </w:rPr>
              <w:t>制造、安装、使用、检测、维修、</w:t>
            </w:r>
            <w:r>
              <w:rPr>
                <w:rFonts w:ascii="宋体" w:hAnsi="宋体" w:eastAsia="宋体" w:cs="宋体"/>
                <w:spacing w:val="3"/>
                <w:sz w:val="21"/>
                <w:szCs w:val="21"/>
              </w:rPr>
              <w:t>改造和报废，应当符合国家标准</w:t>
            </w:r>
            <w:r>
              <w:rPr>
                <w:rFonts w:ascii="宋体" w:hAnsi="宋体" w:eastAsia="宋体" w:cs="宋体"/>
                <w:spacing w:val="18"/>
                <w:sz w:val="21"/>
                <w:szCs w:val="21"/>
              </w:rPr>
              <w:t>或者行业标准。</w:t>
            </w:r>
          </w:p>
          <w:p w14:paraId="42917B51">
            <w:pPr>
              <w:spacing w:before="27" w:line="262" w:lineRule="auto"/>
              <w:ind w:left="132" w:firstLine="474"/>
              <w:rPr>
                <w:rFonts w:ascii="宋体" w:hAnsi="宋体" w:eastAsia="宋体" w:cs="宋体"/>
                <w:sz w:val="21"/>
                <w:szCs w:val="21"/>
              </w:rPr>
            </w:pPr>
            <w:r>
              <w:rPr>
                <w:rFonts w:ascii="宋体" w:hAnsi="宋体" w:eastAsia="宋体" w:cs="宋体"/>
                <w:spacing w:val="23"/>
                <w:sz w:val="21"/>
                <w:szCs w:val="21"/>
              </w:rPr>
              <w:t>生产经营单位必须对安全</w:t>
            </w:r>
            <w:r>
              <w:rPr>
                <w:rFonts w:ascii="宋体" w:hAnsi="宋体" w:eastAsia="宋体" w:cs="宋体"/>
                <w:spacing w:val="4"/>
                <w:sz w:val="21"/>
                <w:szCs w:val="21"/>
              </w:rPr>
              <w:t>设备进行经常性维护、保养，并定期检测，保证正常运转。维护、</w:t>
            </w:r>
            <w:r>
              <w:rPr>
                <w:rFonts w:ascii="宋体" w:hAnsi="宋体" w:eastAsia="宋体" w:cs="宋体"/>
                <w:spacing w:val="5"/>
                <w:sz w:val="21"/>
                <w:szCs w:val="21"/>
              </w:rPr>
              <w:t>保养、检测应当作好记录，并由</w:t>
            </w:r>
            <w:r>
              <w:rPr>
                <w:rFonts w:ascii="宋体" w:hAnsi="宋体" w:eastAsia="宋体" w:cs="宋体"/>
                <w:spacing w:val="18"/>
                <w:sz w:val="21"/>
                <w:szCs w:val="21"/>
              </w:rPr>
              <w:t>有关人员签字。</w:t>
            </w:r>
          </w:p>
          <w:p w14:paraId="34C531D5">
            <w:pPr>
              <w:spacing w:before="70" w:line="247" w:lineRule="auto"/>
              <w:ind w:left="132" w:firstLine="474"/>
              <w:rPr>
                <w:rFonts w:ascii="宋体" w:hAnsi="宋体" w:eastAsia="宋体" w:cs="宋体"/>
                <w:sz w:val="21"/>
                <w:szCs w:val="21"/>
              </w:rPr>
            </w:pPr>
            <w:r>
              <w:rPr>
                <w:rFonts w:ascii="宋体" w:hAnsi="宋体" w:eastAsia="宋体" w:cs="宋体"/>
                <w:spacing w:val="3"/>
                <w:sz w:val="21"/>
                <w:szCs w:val="21"/>
              </w:rPr>
              <w:t>生产经营单位不得关闭、破</w:t>
            </w:r>
            <w:r>
              <w:rPr>
                <w:rFonts w:ascii="宋体" w:hAnsi="宋体" w:eastAsia="宋体" w:cs="宋体"/>
                <w:spacing w:val="4"/>
                <w:sz w:val="21"/>
                <w:szCs w:val="21"/>
              </w:rPr>
              <w:t>坏直接关系生产安全的监控、报警、防护、救生设备、设施，或者篡改、隐瞒、销毁其相关数据、</w:t>
            </w:r>
          </w:p>
        </w:tc>
        <w:tc>
          <w:tcPr>
            <w:tcW w:w="2858" w:type="dxa"/>
            <w:noWrap w:val="0"/>
            <w:vAlign w:val="top"/>
          </w:tcPr>
          <w:p w14:paraId="7A5BA3CA">
            <w:pPr>
              <w:spacing w:before="121" w:line="263" w:lineRule="auto"/>
              <w:ind w:left="134" w:right="22" w:firstLine="464"/>
              <w:jc w:val="both"/>
              <w:rPr>
                <w:rFonts w:ascii="宋体" w:hAnsi="宋体" w:eastAsia="宋体" w:cs="宋体"/>
                <w:sz w:val="21"/>
                <w:szCs w:val="21"/>
              </w:rPr>
            </w:pPr>
            <w:r>
              <w:rPr>
                <w:rFonts w:ascii="宋体" w:hAnsi="宋体" w:eastAsia="宋体" w:cs="宋体"/>
                <w:spacing w:val="22"/>
                <w:sz w:val="21"/>
                <w:szCs w:val="21"/>
              </w:rPr>
              <w:t>《石油化工可燃气体</w:t>
            </w:r>
            <w:r>
              <w:rPr>
                <w:rFonts w:ascii="宋体" w:hAnsi="宋体" w:eastAsia="宋体" w:cs="宋体"/>
                <w:spacing w:val="17"/>
                <w:sz w:val="21"/>
                <w:szCs w:val="21"/>
              </w:rPr>
              <w:t>和有毒气体检测报警设计</w:t>
            </w:r>
            <w:r>
              <w:rPr>
                <w:rFonts w:ascii="宋体" w:hAnsi="宋体" w:eastAsia="宋体" w:cs="宋体"/>
                <w:spacing w:val="7"/>
                <w:sz w:val="21"/>
                <w:szCs w:val="21"/>
              </w:rPr>
              <w:t>标准》(</w:t>
            </w:r>
            <w:r>
              <w:rPr>
                <w:rFonts w:ascii="宋体" w:hAnsi="宋体" w:eastAsia="宋体" w:cs="宋体"/>
                <w:sz w:val="21"/>
                <w:szCs w:val="21"/>
              </w:rPr>
              <w:t>GB</w:t>
            </w:r>
            <w:r>
              <w:rPr>
                <w:rFonts w:ascii="宋体" w:hAnsi="宋体" w:eastAsia="宋体" w:cs="宋体"/>
                <w:spacing w:val="7"/>
                <w:sz w:val="21"/>
                <w:szCs w:val="21"/>
              </w:rPr>
              <w:t>/T</w:t>
            </w:r>
            <w:r>
              <w:rPr>
                <w:rFonts w:ascii="宋体" w:hAnsi="宋体" w:eastAsia="宋体" w:cs="宋体"/>
                <w:spacing w:val="40"/>
                <w:sz w:val="21"/>
                <w:szCs w:val="21"/>
              </w:rPr>
              <w:t xml:space="preserve"> </w:t>
            </w:r>
            <w:r>
              <w:rPr>
                <w:rFonts w:ascii="宋体" w:hAnsi="宋体" w:eastAsia="宋体" w:cs="宋体"/>
                <w:spacing w:val="7"/>
                <w:sz w:val="21"/>
                <w:szCs w:val="21"/>
              </w:rPr>
              <w:t>50493-2019)</w:t>
            </w:r>
            <w:r>
              <w:rPr>
                <w:rFonts w:ascii="宋体" w:hAnsi="宋体" w:eastAsia="宋体" w:cs="宋体"/>
                <w:spacing w:val="20"/>
                <w:sz w:val="21"/>
                <w:szCs w:val="21"/>
              </w:rPr>
              <w:t>3.0.1在生产或使用可</w:t>
            </w:r>
            <w:r>
              <w:rPr>
                <w:rFonts w:ascii="宋体" w:hAnsi="宋体" w:eastAsia="宋体" w:cs="宋体"/>
                <w:spacing w:val="17"/>
                <w:sz w:val="21"/>
                <w:szCs w:val="21"/>
              </w:rPr>
              <w:t>燃气体及有毒气体的生产</w:t>
            </w:r>
            <w:r>
              <w:rPr>
                <w:rFonts w:ascii="宋体" w:hAnsi="宋体" w:eastAsia="宋体" w:cs="宋体"/>
                <w:spacing w:val="40"/>
                <w:sz w:val="21"/>
                <w:szCs w:val="21"/>
              </w:rPr>
              <w:t>设施及储运设施的区域</w:t>
            </w:r>
            <w:r>
              <w:rPr>
                <w:rFonts w:ascii="宋体" w:hAnsi="宋体" w:eastAsia="宋体" w:cs="宋体"/>
                <w:spacing w:val="15"/>
                <w:sz w:val="21"/>
                <w:szCs w:val="21"/>
              </w:rPr>
              <w:t>内，泄漏气体中可燃气体</w:t>
            </w:r>
            <w:r>
              <w:rPr>
                <w:rFonts w:ascii="宋体" w:hAnsi="宋体" w:eastAsia="宋体" w:cs="宋体"/>
                <w:spacing w:val="17"/>
                <w:sz w:val="21"/>
                <w:szCs w:val="21"/>
              </w:rPr>
              <w:t>浓度可能达到报警设定值</w:t>
            </w:r>
            <w:r>
              <w:rPr>
                <w:rFonts w:ascii="宋体" w:hAnsi="宋体" w:eastAsia="宋体" w:cs="宋体"/>
                <w:spacing w:val="18"/>
                <w:sz w:val="21"/>
                <w:szCs w:val="21"/>
              </w:rPr>
              <w:t>时，应设置可燃气体探测</w:t>
            </w:r>
            <w:r>
              <w:rPr>
                <w:rFonts w:ascii="宋体" w:hAnsi="宋体" w:eastAsia="宋体" w:cs="宋体"/>
                <w:spacing w:val="17"/>
                <w:sz w:val="21"/>
                <w:szCs w:val="21"/>
              </w:rPr>
              <w:t>器；泄漏气体中有毒气体浓度可能达到报警设定值</w:t>
            </w:r>
            <w:r>
              <w:rPr>
                <w:rFonts w:ascii="宋体" w:hAnsi="宋体" w:eastAsia="宋体" w:cs="宋体"/>
                <w:spacing w:val="18"/>
                <w:sz w:val="21"/>
                <w:szCs w:val="21"/>
              </w:rPr>
              <w:t>时，应设置有毒气体探测器；既属于可燃气体又属</w:t>
            </w:r>
            <w:r>
              <w:rPr>
                <w:rFonts w:ascii="宋体" w:hAnsi="宋体" w:eastAsia="宋体" w:cs="宋体"/>
                <w:spacing w:val="17"/>
                <w:sz w:val="21"/>
                <w:szCs w:val="21"/>
              </w:rPr>
              <w:t>于有毒气体的单组分气体</w:t>
            </w:r>
            <w:r>
              <w:rPr>
                <w:rFonts w:ascii="宋体" w:hAnsi="宋体" w:eastAsia="宋体" w:cs="宋体"/>
                <w:spacing w:val="18"/>
                <w:sz w:val="21"/>
                <w:szCs w:val="21"/>
              </w:rPr>
              <w:t>介质，应设有毒气体探测</w:t>
            </w:r>
          </w:p>
        </w:tc>
        <w:tc>
          <w:tcPr>
            <w:tcW w:w="2848" w:type="dxa"/>
            <w:noWrap w:val="0"/>
            <w:vAlign w:val="top"/>
          </w:tcPr>
          <w:p w14:paraId="2AB12490">
            <w:pPr>
              <w:spacing w:before="121" w:line="263" w:lineRule="auto"/>
              <w:ind w:left="137" w:right="88" w:firstLine="474"/>
              <w:jc w:val="both"/>
              <w:rPr>
                <w:rFonts w:ascii="宋体" w:hAnsi="宋体" w:eastAsia="宋体" w:cs="宋体"/>
                <w:sz w:val="21"/>
                <w:szCs w:val="21"/>
              </w:rPr>
            </w:pPr>
            <w:r>
              <w:rPr>
                <w:rFonts w:ascii="宋体" w:hAnsi="宋体" w:eastAsia="宋体" w:cs="宋体"/>
                <w:spacing w:val="44"/>
                <w:sz w:val="21"/>
                <w:szCs w:val="21"/>
              </w:rPr>
              <w:t>《中华人民共和国</w:t>
            </w:r>
            <w:r>
              <w:rPr>
                <w:rFonts w:ascii="宋体" w:hAnsi="宋体" w:eastAsia="宋体" w:cs="宋体"/>
                <w:spacing w:val="15"/>
                <w:sz w:val="21"/>
                <w:szCs w:val="21"/>
              </w:rPr>
              <w:t>安全生产法》第九十九条第二项、第三项、第四项</w:t>
            </w:r>
            <w:r>
              <w:rPr>
                <w:rFonts w:ascii="宋体" w:hAnsi="宋体" w:eastAsia="宋体" w:cs="宋体"/>
                <w:spacing w:val="39"/>
                <w:sz w:val="21"/>
                <w:szCs w:val="21"/>
              </w:rPr>
              <w:t>生产经营单位有下列行</w:t>
            </w:r>
            <w:r>
              <w:rPr>
                <w:rFonts w:ascii="宋体" w:hAnsi="宋体" w:eastAsia="宋体" w:cs="宋体"/>
                <w:spacing w:val="31"/>
                <w:sz w:val="21"/>
                <w:szCs w:val="21"/>
              </w:rPr>
              <w:t>为之一的，责令限期改</w:t>
            </w:r>
            <w:r>
              <w:rPr>
                <w:rFonts w:ascii="宋体" w:hAnsi="宋体" w:eastAsia="宋体" w:cs="宋体"/>
                <w:spacing w:val="38"/>
                <w:sz w:val="21"/>
                <w:szCs w:val="21"/>
              </w:rPr>
              <w:t>正，处五万元以下的罚</w:t>
            </w:r>
            <w:r>
              <w:rPr>
                <w:rFonts w:ascii="宋体" w:hAnsi="宋体" w:eastAsia="宋体" w:cs="宋体"/>
                <w:spacing w:val="15"/>
                <w:sz w:val="21"/>
                <w:szCs w:val="21"/>
              </w:rPr>
              <w:t>款；逾期未改正的，处五</w:t>
            </w:r>
            <w:r>
              <w:rPr>
                <w:rFonts w:ascii="宋体" w:hAnsi="宋体" w:eastAsia="宋体" w:cs="宋体"/>
                <w:spacing w:val="37"/>
                <w:sz w:val="21"/>
                <w:szCs w:val="21"/>
              </w:rPr>
              <w:t>万元以上二十万元以下</w:t>
            </w:r>
            <w:r>
              <w:rPr>
                <w:rFonts w:ascii="宋体" w:hAnsi="宋体" w:eastAsia="宋体" w:cs="宋体"/>
                <w:spacing w:val="14"/>
                <w:sz w:val="21"/>
                <w:szCs w:val="21"/>
              </w:rPr>
              <w:t>的罚款，对其直接负责的</w:t>
            </w:r>
            <w:r>
              <w:rPr>
                <w:rFonts w:ascii="宋体" w:hAnsi="宋体" w:eastAsia="宋体" w:cs="宋体"/>
                <w:spacing w:val="37"/>
                <w:sz w:val="21"/>
                <w:szCs w:val="21"/>
              </w:rPr>
              <w:t>主管人员和其他直接责</w:t>
            </w:r>
            <w:r>
              <w:rPr>
                <w:rFonts w:ascii="宋体" w:hAnsi="宋体" w:eastAsia="宋体" w:cs="宋体"/>
                <w:spacing w:val="31"/>
                <w:sz w:val="21"/>
                <w:szCs w:val="21"/>
              </w:rPr>
              <w:t>任人员处一万元以上二</w:t>
            </w:r>
            <w:r>
              <w:rPr>
                <w:rFonts w:ascii="宋体" w:hAnsi="宋体" w:eastAsia="宋体" w:cs="宋体"/>
                <w:spacing w:val="15"/>
                <w:sz w:val="21"/>
                <w:szCs w:val="21"/>
              </w:rPr>
              <w:t>万元以下的罚款；情节严</w:t>
            </w:r>
            <w:r>
              <w:rPr>
                <w:rFonts w:ascii="宋体" w:hAnsi="宋体" w:eastAsia="宋体" w:cs="宋体"/>
                <w:spacing w:val="37"/>
                <w:sz w:val="21"/>
                <w:szCs w:val="21"/>
              </w:rPr>
              <w:t>重的，责令停产停业整</w:t>
            </w:r>
            <w:r>
              <w:rPr>
                <w:rFonts w:ascii="宋体" w:hAnsi="宋体" w:eastAsia="宋体" w:cs="宋体"/>
                <w:spacing w:val="14"/>
                <w:sz w:val="21"/>
                <w:szCs w:val="21"/>
              </w:rPr>
              <w:t>顿；构成犯罪的，依照刑</w:t>
            </w:r>
            <w:r>
              <w:rPr>
                <w:rFonts w:ascii="宋体" w:hAnsi="宋体" w:eastAsia="宋体" w:cs="宋体"/>
                <w:spacing w:val="37"/>
                <w:sz w:val="21"/>
                <w:szCs w:val="21"/>
              </w:rPr>
              <w:t>法有关规定追究刑事责</w:t>
            </w:r>
          </w:p>
        </w:tc>
        <w:tc>
          <w:tcPr>
            <w:tcW w:w="1244" w:type="dxa"/>
            <w:noWrap w:val="0"/>
            <w:vAlign w:val="top"/>
          </w:tcPr>
          <w:p w14:paraId="466A9A0A">
            <w:pPr>
              <w:spacing w:line="259" w:lineRule="auto"/>
              <w:rPr>
                <w:rFonts w:ascii="Arial"/>
                <w:sz w:val="21"/>
                <w:szCs w:val="21"/>
              </w:rPr>
            </w:pPr>
          </w:p>
          <w:p w14:paraId="142D2D4A">
            <w:pPr>
              <w:spacing w:line="259" w:lineRule="auto"/>
              <w:rPr>
                <w:rFonts w:ascii="Arial"/>
                <w:sz w:val="21"/>
                <w:szCs w:val="21"/>
              </w:rPr>
            </w:pPr>
          </w:p>
          <w:p w14:paraId="754D9230">
            <w:pPr>
              <w:spacing w:line="259" w:lineRule="auto"/>
              <w:rPr>
                <w:rFonts w:ascii="Arial"/>
                <w:sz w:val="21"/>
                <w:szCs w:val="21"/>
              </w:rPr>
            </w:pPr>
          </w:p>
          <w:p w14:paraId="55B50CB8">
            <w:pPr>
              <w:spacing w:line="259" w:lineRule="auto"/>
              <w:rPr>
                <w:rFonts w:ascii="Arial"/>
                <w:sz w:val="21"/>
                <w:szCs w:val="21"/>
              </w:rPr>
            </w:pPr>
          </w:p>
          <w:p w14:paraId="39B9AC94">
            <w:pPr>
              <w:spacing w:line="260" w:lineRule="auto"/>
              <w:rPr>
                <w:rFonts w:ascii="Arial"/>
                <w:sz w:val="21"/>
                <w:szCs w:val="21"/>
              </w:rPr>
            </w:pPr>
          </w:p>
          <w:p w14:paraId="5D3C0924">
            <w:pPr>
              <w:spacing w:line="260" w:lineRule="auto"/>
              <w:rPr>
                <w:rFonts w:ascii="Arial"/>
                <w:sz w:val="21"/>
                <w:szCs w:val="21"/>
              </w:rPr>
            </w:pPr>
          </w:p>
          <w:p w14:paraId="185947E9">
            <w:pPr>
              <w:spacing w:line="260" w:lineRule="auto"/>
              <w:rPr>
                <w:rFonts w:ascii="Arial"/>
                <w:sz w:val="21"/>
                <w:szCs w:val="21"/>
              </w:rPr>
            </w:pPr>
          </w:p>
          <w:p w14:paraId="65A9B315">
            <w:pPr>
              <w:spacing w:line="260" w:lineRule="auto"/>
              <w:rPr>
                <w:rFonts w:ascii="Arial"/>
                <w:sz w:val="21"/>
                <w:szCs w:val="21"/>
              </w:rPr>
            </w:pPr>
          </w:p>
          <w:p w14:paraId="6BA66AF4">
            <w:pPr>
              <w:spacing w:before="75" w:line="238" w:lineRule="auto"/>
              <w:ind w:left="99" w:right="191"/>
              <w:rPr>
                <w:rFonts w:ascii="宋体" w:hAnsi="宋体" w:eastAsia="宋体" w:cs="宋体"/>
                <w:sz w:val="21"/>
                <w:szCs w:val="21"/>
              </w:rPr>
            </w:pPr>
            <w:r>
              <w:rPr>
                <w:rFonts w:ascii="宋体" w:hAnsi="宋体" w:eastAsia="宋体" w:cs="宋体"/>
                <w:spacing w:val="5"/>
                <w:sz w:val="21"/>
                <w:szCs w:val="21"/>
              </w:rPr>
              <w:t>重大隐患</w:t>
            </w:r>
            <w:r>
              <w:rPr>
                <w:rFonts w:ascii="宋体" w:hAnsi="宋体" w:eastAsia="宋体" w:cs="宋体"/>
                <w:spacing w:val="4"/>
                <w:sz w:val="21"/>
                <w:szCs w:val="21"/>
              </w:rPr>
              <w:t>管理</w:t>
            </w:r>
          </w:p>
        </w:tc>
      </w:tr>
    </w:tbl>
    <w:p w14:paraId="334868A7">
      <w:pPr>
        <w:tabs>
          <w:tab w:val="left" w:pos="446"/>
        </w:tabs>
        <w:rPr>
          <w:rFonts w:hint="eastAsia" w:eastAsia="宋体"/>
          <w:lang w:eastAsia="zh-CN"/>
        </w:rPr>
        <w:sectPr>
          <w:pgSz w:w="16840" w:h="11900"/>
          <w:pgMar w:top="1440" w:right="1080" w:bottom="1440" w:left="1080" w:header="0" w:footer="0" w:gutter="0"/>
          <w:pgNumType w:fmt="decimal"/>
          <w:cols w:space="720" w:num="1"/>
        </w:sectPr>
      </w:pPr>
    </w:p>
    <w:p w14:paraId="3AF73938"/>
    <w:p w14:paraId="76550D7D"/>
    <w:p w14:paraId="29F2E9FA">
      <w:pPr>
        <w:spacing w:line="230" w:lineRule="exact"/>
      </w:pP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4"/>
        <w:gridCol w:w="2228"/>
        <w:gridCol w:w="3681"/>
        <w:gridCol w:w="2891"/>
        <w:gridCol w:w="2907"/>
        <w:gridCol w:w="989"/>
      </w:tblGrid>
      <w:tr w14:paraId="63896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jc w:val="center"/>
        </w:trPr>
        <w:tc>
          <w:tcPr>
            <w:tcW w:w="864" w:type="dxa"/>
            <w:noWrap w:val="0"/>
            <w:vAlign w:val="top"/>
          </w:tcPr>
          <w:p w14:paraId="23E770A6">
            <w:pPr>
              <w:spacing w:before="226" w:line="221" w:lineRule="auto"/>
              <w:ind w:left="185"/>
              <w:rPr>
                <w:rFonts w:ascii="宋体" w:hAnsi="宋体" w:eastAsia="宋体" w:cs="宋体"/>
                <w:b/>
                <w:bCs/>
                <w:sz w:val="24"/>
                <w:szCs w:val="24"/>
              </w:rPr>
            </w:pPr>
            <w:r>
              <w:rPr>
                <w:rFonts w:ascii="宋体" w:hAnsi="宋体" w:eastAsia="宋体" w:cs="宋体"/>
                <w:b/>
                <w:bCs/>
                <w:spacing w:val="7"/>
                <w:sz w:val="24"/>
                <w:szCs w:val="24"/>
              </w:rPr>
              <w:t>序号</w:t>
            </w:r>
          </w:p>
        </w:tc>
        <w:tc>
          <w:tcPr>
            <w:tcW w:w="2228" w:type="dxa"/>
            <w:noWrap w:val="0"/>
            <w:vAlign w:val="top"/>
          </w:tcPr>
          <w:p w14:paraId="0BCB1A3D">
            <w:pPr>
              <w:spacing w:before="95" w:line="219" w:lineRule="auto"/>
              <w:ind w:left="621"/>
              <w:rPr>
                <w:rFonts w:ascii="宋体" w:hAnsi="宋体" w:eastAsia="宋体" w:cs="宋体"/>
                <w:b/>
                <w:bCs/>
                <w:sz w:val="24"/>
                <w:szCs w:val="24"/>
              </w:rPr>
            </w:pPr>
            <w:r>
              <w:rPr>
                <w:rFonts w:ascii="宋体" w:hAnsi="宋体" w:eastAsia="宋体" w:cs="宋体"/>
                <w:b/>
                <w:bCs/>
                <w:spacing w:val="3"/>
                <w:sz w:val="24"/>
                <w:szCs w:val="24"/>
              </w:rPr>
              <w:t>执法检查</w:t>
            </w:r>
          </w:p>
          <w:p w14:paraId="72B42DFE">
            <w:pPr>
              <w:spacing w:before="34" w:line="200" w:lineRule="auto"/>
              <w:ind w:left="381"/>
              <w:rPr>
                <w:rFonts w:ascii="宋体" w:hAnsi="宋体" w:eastAsia="宋体" w:cs="宋体"/>
                <w:b/>
                <w:bCs/>
                <w:sz w:val="24"/>
                <w:szCs w:val="24"/>
              </w:rPr>
            </w:pPr>
            <w:r>
              <w:rPr>
                <w:rFonts w:ascii="宋体" w:hAnsi="宋体" w:eastAsia="宋体" w:cs="宋体"/>
                <w:b/>
                <w:bCs/>
                <w:spacing w:val="2"/>
                <w:sz w:val="24"/>
                <w:szCs w:val="24"/>
              </w:rPr>
              <w:t>重点事项内容</w:t>
            </w:r>
          </w:p>
        </w:tc>
        <w:tc>
          <w:tcPr>
            <w:tcW w:w="3681" w:type="dxa"/>
            <w:noWrap w:val="0"/>
            <w:vAlign w:val="top"/>
          </w:tcPr>
          <w:p w14:paraId="16B593EC">
            <w:pPr>
              <w:spacing w:before="219" w:line="219" w:lineRule="auto"/>
              <w:ind w:left="1036"/>
              <w:rPr>
                <w:rFonts w:ascii="宋体" w:hAnsi="宋体" w:eastAsia="宋体" w:cs="宋体"/>
                <w:b/>
                <w:bCs/>
                <w:sz w:val="24"/>
                <w:szCs w:val="24"/>
              </w:rPr>
            </w:pPr>
            <w:r>
              <w:rPr>
                <w:rFonts w:ascii="宋体" w:hAnsi="宋体" w:eastAsia="宋体" w:cs="宋体"/>
                <w:b/>
                <w:bCs/>
                <w:spacing w:val="-4"/>
                <w:sz w:val="24"/>
                <w:szCs w:val="24"/>
              </w:rPr>
              <w:t>执法检查依据</w:t>
            </w:r>
          </w:p>
        </w:tc>
        <w:tc>
          <w:tcPr>
            <w:tcW w:w="2891" w:type="dxa"/>
            <w:noWrap w:val="0"/>
            <w:vAlign w:val="top"/>
          </w:tcPr>
          <w:p w14:paraId="51D32ADA">
            <w:pPr>
              <w:spacing w:before="85" w:line="220" w:lineRule="auto"/>
              <w:ind w:left="845"/>
              <w:rPr>
                <w:rFonts w:ascii="宋体" w:hAnsi="宋体" w:eastAsia="宋体" w:cs="宋体"/>
                <w:b/>
                <w:bCs/>
                <w:sz w:val="24"/>
                <w:szCs w:val="24"/>
              </w:rPr>
            </w:pPr>
            <w:r>
              <w:rPr>
                <w:rFonts w:ascii="宋体" w:hAnsi="宋体" w:eastAsia="宋体" w:cs="宋体"/>
                <w:b/>
                <w:bCs/>
                <w:spacing w:val="-2"/>
                <w:sz w:val="24"/>
                <w:szCs w:val="24"/>
              </w:rPr>
              <w:t>有关规范性</w:t>
            </w:r>
          </w:p>
          <w:p w14:paraId="41AB7FEB">
            <w:pPr>
              <w:spacing w:before="39" w:line="202" w:lineRule="auto"/>
              <w:ind w:left="608"/>
              <w:rPr>
                <w:rFonts w:ascii="宋体" w:hAnsi="宋体" w:eastAsia="宋体" w:cs="宋体"/>
                <w:b/>
                <w:bCs/>
                <w:sz w:val="24"/>
                <w:szCs w:val="24"/>
              </w:rPr>
            </w:pPr>
            <w:r>
              <w:rPr>
                <w:rFonts w:ascii="宋体" w:hAnsi="宋体" w:eastAsia="宋体" w:cs="宋体"/>
                <w:b/>
                <w:bCs/>
                <w:spacing w:val="-4"/>
                <w:sz w:val="24"/>
                <w:szCs w:val="24"/>
              </w:rPr>
              <w:t>文件及标准要求</w:t>
            </w:r>
          </w:p>
        </w:tc>
        <w:tc>
          <w:tcPr>
            <w:tcW w:w="2907" w:type="dxa"/>
            <w:noWrap w:val="0"/>
            <w:vAlign w:val="top"/>
          </w:tcPr>
          <w:p w14:paraId="3ADE5E45">
            <w:pPr>
              <w:spacing w:before="223" w:line="219" w:lineRule="auto"/>
              <w:ind w:left="967"/>
              <w:rPr>
                <w:rFonts w:ascii="宋体" w:hAnsi="宋体" w:eastAsia="宋体" w:cs="宋体"/>
                <w:b/>
                <w:bCs/>
                <w:sz w:val="24"/>
                <w:szCs w:val="24"/>
              </w:rPr>
            </w:pPr>
            <w:r>
              <w:rPr>
                <w:rFonts w:ascii="宋体" w:hAnsi="宋体" w:eastAsia="宋体" w:cs="宋体"/>
                <w:b/>
                <w:bCs/>
                <w:spacing w:val="8"/>
                <w:sz w:val="24"/>
                <w:szCs w:val="24"/>
              </w:rPr>
              <w:t>处罚依据</w:t>
            </w:r>
          </w:p>
        </w:tc>
        <w:tc>
          <w:tcPr>
            <w:tcW w:w="989" w:type="dxa"/>
            <w:noWrap w:val="0"/>
            <w:vAlign w:val="top"/>
          </w:tcPr>
          <w:p w14:paraId="7D521B98">
            <w:pPr>
              <w:spacing w:before="226" w:line="221" w:lineRule="auto"/>
              <w:ind w:left="379"/>
              <w:rPr>
                <w:rFonts w:ascii="宋体" w:hAnsi="宋体" w:eastAsia="宋体" w:cs="宋体"/>
                <w:b/>
                <w:bCs/>
                <w:sz w:val="24"/>
                <w:szCs w:val="24"/>
              </w:rPr>
            </w:pPr>
            <w:r>
              <w:rPr>
                <w:rFonts w:ascii="宋体" w:hAnsi="宋体" w:eastAsia="宋体" w:cs="宋体"/>
                <w:b/>
                <w:bCs/>
                <w:spacing w:val="6"/>
                <w:sz w:val="24"/>
                <w:szCs w:val="24"/>
              </w:rPr>
              <w:t>备注</w:t>
            </w:r>
          </w:p>
        </w:tc>
      </w:tr>
      <w:tr w14:paraId="14B305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06" w:hRule="atLeast"/>
          <w:jc w:val="center"/>
        </w:trPr>
        <w:tc>
          <w:tcPr>
            <w:tcW w:w="864" w:type="dxa"/>
            <w:noWrap w:val="0"/>
            <w:vAlign w:val="top"/>
          </w:tcPr>
          <w:p w14:paraId="315FAD8C">
            <w:pPr>
              <w:rPr>
                <w:rFonts w:ascii="Arial"/>
                <w:sz w:val="21"/>
              </w:rPr>
            </w:pPr>
          </w:p>
        </w:tc>
        <w:tc>
          <w:tcPr>
            <w:tcW w:w="2228" w:type="dxa"/>
            <w:noWrap w:val="0"/>
            <w:vAlign w:val="top"/>
          </w:tcPr>
          <w:p w14:paraId="69694852">
            <w:pPr>
              <w:rPr>
                <w:rFonts w:ascii="Arial"/>
                <w:sz w:val="21"/>
                <w:szCs w:val="21"/>
              </w:rPr>
            </w:pPr>
          </w:p>
        </w:tc>
        <w:tc>
          <w:tcPr>
            <w:tcW w:w="3681" w:type="dxa"/>
            <w:noWrap w:val="0"/>
            <w:vAlign w:val="top"/>
          </w:tcPr>
          <w:p w14:paraId="50227A66">
            <w:pPr>
              <w:spacing w:before="99" w:line="210" w:lineRule="auto"/>
              <w:ind w:left="133"/>
              <w:rPr>
                <w:rFonts w:ascii="宋体" w:hAnsi="宋体" w:eastAsia="宋体" w:cs="宋体"/>
                <w:spacing w:val="-10"/>
                <w:sz w:val="21"/>
                <w:szCs w:val="21"/>
              </w:rPr>
            </w:pPr>
            <w:r>
              <w:rPr>
                <w:rFonts w:ascii="宋体" w:hAnsi="宋体" w:eastAsia="宋体" w:cs="宋体"/>
                <w:spacing w:val="-10"/>
                <w:sz w:val="21"/>
                <w:szCs w:val="21"/>
              </w:rPr>
              <w:t>信息。</w:t>
            </w:r>
          </w:p>
          <w:p w14:paraId="600F633A">
            <w:pPr>
              <w:spacing w:before="57" w:line="204" w:lineRule="auto"/>
              <w:ind w:left="583"/>
              <w:rPr>
                <w:rFonts w:ascii="宋体" w:hAnsi="宋体" w:eastAsia="宋体" w:cs="宋体"/>
                <w:sz w:val="21"/>
                <w:szCs w:val="21"/>
              </w:rPr>
            </w:pPr>
            <w:r>
              <w:rPr>
                <w:rFonts w:ascii="宋体" w:hAnsi="宋体" w:eastAsia="宋体" w:cs="宋体"/>
                <w:spacing w:val="-10"/>
                <w:sz w:val="21"/>
                <w:szCs w:val="21"/>
              </w:rPr>
              <w:t>2.《危险化学品生产企业安</w:t>
            </w:r>
          </w:p>
          <w:p w14:paraId="3BD13FD7">
            <w:pPr>
              <w:spacing w:before="34" w:line="219" w:lineRule="auto"/>
              <w:ind w:left="133"/>
              <w:rPr>
                <w:rFonts w:ascii="宋体" w:hAnsi="宋体" w:eastAsia="宋体" w:cs="宋体"/>
                <w:sz w:val="21"/>
                <w:szCs w:val="21"/>
              </w:rPr>
            </w:pPr>
            <w:r>
              <w:rPr>
                <w:rFonts w:ascii="宋体" w:hAnsi="宋体" w:eastAsia="宋体" w:cs="宋体"/>
                <w:spacing w:val="3"/>
                <w:sz w:val="21"/>
                <w:szCs w:val="21"/>
              </w:rPr>
              <w:t>全生产许可证实施办法》(国家</w:t>
            </w:r>
          </w:p>
          <w:p w14:paraId="7E6ED48E">
            <w:pPr>
              <w:spacing w:before="44" w:line="207" w:lineRule="auto"/>
              <w:ind w:left="133"/>
              <w:rPr>
                <w:rFonts w:ascii="宋体" w:hAnsi="宋体" w:eastAsia="宋体" w:cs="宋体"/>
                <w:sz w:val="21"/>
                <w:szCs w:val="21"/>
              </w:rPr>
            </w:pPr>
            <w:r>
              <w:rPr>
                <w:rFonts w:ascii="宋体" w:hAnsi="宋体" w:eastAsia="宋体" w:cs="宋体"/>
                <w:spacing w:val="20"/>
                <w:sz w:val="21"/>
                <w:szCs w:val="21"/>
              </w:rPr>
              <w:t>安全监管总局令第41号)第九</w:t>
            </w:r>
          </w:p>
          <w:p w14:paraId="121842E2">
            <w:pPr>
              <w:spacing w:before="42" w:line="227" w:lineRule="auto"/>
              <w:ind w:left="133"/>
              <w:rPr>
                <w:rFonts w:ascii="宋体" w:hAnsi="宋体" w:eastAsia="宋体" w:cs="宋体"/>
                <w:sz w:val="21"/>
                <w:szCs w:val="21"/>
              </w:rPr>
            </w:pPr>
            <w:r>
              <w:rPr>
                <w:rFonts w:ascii="宋体" w:hAnsi="宋体" w:eastAsia="宋体" w:cs="宋体"/>
                <w:spacing w:val="6"/>
                <w:sz w:val="21"/>
                <w:szCs w:val="21"/>
              </w:rPr>
              <w:t>条第一款第三项企业的厂房、</w:t>
            </w:r>
          </w:p>
          <w:p w14:paraId="664023D8">
            <w:pPr>
              <w:spacing w:before="41" w:line="203" w:lineRule="auto"/>
              <w:ind w:left="133"/>
              <w:rPr>
                <w:rFonts w:ascii="宋体" w:hAnsi="宋体" w:eastAsia="宋体" w:cs="宋体"/>
                <w:sz w:val="21"/>
                <w:szCs w:val="21"/>
              </w:rPr>
            </w:pPr>
            <w:r>
              <w:rPr>
                <w:rFonts w:ascii="宋体" w:hAnsi="宋体" w:eastAsia="宋体" w:cs="宋体"/>
                <w:spacing w:val="11"/>
                <w:sz w:val="21"/>
                <w:szCs w:val="21"/>
              </w:rPr>
              <w:t>作业场所、储存设施和安全设</w:t>
            </w:r>
          </w:p>
          <w:p w14:paraId="5014206A">
            <w:pPr>
              <w:spacing w:before="76" w:line="203" w:lineRule="auto"/>
              <w:ind w:left="133"/>
              <w:rPr>
                <w:rFonts w:ascii="宋体" w:hAnsi="宋体" w:eastAsia="宋体" w:cs="宋体"/>
                <w:sz w:val="21"/>
                <w:szCs w:val="21"/>
              </w:rPr>
            </w:pPr>
            <w:r>
              <w:rPr>
                <w:rFonts w:ascii="宋体" w:hAnsi="宋体" w:eastAsia="宋体" w:cs="宋体"/>
                <w:spacing w:val="9"/>
                <w:sz w:val="21"/>
                <w:szCs w:val="21"/>
              </w:rPr>
              <w:t>施、设备、工艺应当符合下列要</w:t>
            </w:r>
          </w:p>
          <w:p w14:paraId="375B60DB">
            <w:pPr>
              <w:spacing w:before="39" w:line="209" w:lineRule="auto"/>
              <w:ind w:left="133"/>
              <w:rPr>
                <w:rFonts w:ascii="宋体" w:hAnsi="宋体" w:eastAsia="宋体" w:cs="宋体"/>
                <w:sz w:val="21"/>
                <w:szCs w:val="21"/>
              </w:rPr>
            </w:pPr>
            <w:r>
              <w:rPr>
                <w:rFonts w:ascii="宋体" w:hAnsi="宋体" w:eastAsia="宋体" w:cs="宋体"/>
                <w:spacing w:val="-6"/>
                <w:sz w:val="21"/>
                <w:szCs w:val="21"/>
              </w:rPr>
              <w:t>求：</w:t>
            </w:r>
          </w:p>
          <w:p w14:paraId="35569A62">
            <w:pPr>
              <w:spacing w:before="48" w:line="216" w:lineRule="auto"/>
              <w:ind w:left="693"/>
              <w:rPr>
                <w:rFonts w:ascii="宋体" w:hAnsi="宋体" w:eastAsia="宋体" w:cs="宋体"/>
                <w:sz w:val="21"/>
                <w:szCs w:val="21"/>
              </w:rPr>
            </w:pPr>
            <w:r>
              <w:rPr>
                <w:rFonts w:ascii="宋体" w:hAnsi="宋体" w:eastAsia="宋体" w:cs="宋体"/>
                <w:spacing w:val="9"/>
                <w:sz w:val="21"/>
                <w:szCs w:val="21"/>
              </w:rPr>
              <w:t>(三)涉及危险化工工艺、</w:t>
            </w:r>
          </w:p>
          <w:p w14:paraId="3B3952A5">
            <w:pPr>
              <w:spacing w:before="48" w:line="213" w:lineRule="auto"/>
              <w:ind w:left="133"/>
              <w:rPr>
                <w:rFonts w:ascii="宋体" w:hAnsi="宋体" w:eastAsia="宋体" w:cs="宋体"/>
                <w:sz w:val="21"/>
                <w:szCs w:val="21"/>
              </w:rPr>
            </w:pPr>
            <w:r>
              <w:rPr>
                <w:rFonts w:ascii="宋体" w:hAnsi="宋体" w:eastAsia="宋体" w:cs="宋体"/>
                <w:spacing w:val="10"/>
                <w:sz w:val="21"/>
                <w:szCs w:val="21"/>
              </w:rPr>
              <w:t>重点监管危险化学品的装置装</w:t>
            </w:r>
          </w:p>
          <w:p w14:paraId="11919136">
            <w:pPr>
              <w:spacing w:before="63" w:line="218" w:lineRule="auto"/>
              <w:ind w:left="133"/>
              <w:rPr>
                <w:rFonts w:ascii="宋体" w:hAnsi="宋体" w:eastAsia="宋体" w:cs="宋体"/>
                <w:sz w:val="21"/>
                <w:szCs w:val="21"/>
              </w:rPr>
            </w:pPr>
            <w:r>
              <w:rPr>
                <w:rFonts w:ascii="宋体" w:hAnsi="宋体" w:eastAsia="宋体" w:cs="宋体"/>
                <w:spacing w:val="9"/>
                <w:sz w:val="21"/>
                <w:szCs w:val="21"/>
              </w:rPr>
              <w:t>设自动化控制系统；涉及危险化</w:t>
            </w:r>
          </w:p>
          <w:p w14:paraId="67A03D36">
            <w:pPr>
              <w:spacing w:before="47" w:line="209" w:lineRule="auto"/>
              <w:ind w:left="133"/>
              <w:rPr>
                <w:rFonts w:ascii="宋体" w:hAnsi="宋体" w:eastAsia="宋体" w:cs="宋体"/>
                <w:sz w:val="21"/>
                <w:szCs w:val="21"/>
              </w:rPr>
            </w:pPr>
            <w:r>
              <w:rPr>
                <w:rFonts w:ascii="宋体" w:hAnsi="宋体" w:eastAsia="宋体" w:cs="宋体"/>
                <w:spacing w:val="13"/>
                <w:sz w:val="21"/>
                <w:szCs w:val="21"/>
              </w:rPr>
              <w:t>工工艺的大型化工装置装设紧</w:t>
            </w:r>
          </w:p>
          <w:p w14:paraId="57F68BC8">
            <w:pPr>
              <w:spacing w:before="47" w:line="211" w:lineRule="auto"/>
              <w:ind w:left="133"/>
              <w:rPr>
                <w:rFonts w:ascii="宋体" w:hAnsi="宋体" w:eastAsia="宋体" w:cs="宋体"/>
                <w:sz w:val="21"/>
                <w:szCs w:val="21"/>
              </w:rPr>
            </w:pPr>
            <w:r>
              <w:rPr>
                <w:rFonts w:ascii="宋体" w:hAnsi="宋体" w:eastAsia="宋体" w:cs="宋体"/>
                <w:spacing w:val="9"/>
                <w:sz w:val="21"/>
                <w:szCs w:val="21"/>
              </w:rPr>
              <w:t>急停车系统；涉及易燃易爆、有</w:t>
            </w:r>
          </w:p>
          <w:p w14:paraId="2893B255">
            <w:pPr>
              <w:spacing w:before="38" w:line="207" w:lineRule="auto"/>
              <w:ind w:left="133"/>
              <w:rPr>
                <w:rFonts w:ascii="宋体" w:hAnsi="宋体" w:eastAsia="宋体" w:cs="宋体"/>
                <w:sz w:val="21"/>
                <w:szCs w:val="21"/>
              </w:rPr>
            </w:pPr>
            <w:r>
              <w:rPr>
                <w:rFonts w:ascii="宋体" w:hAnsi="宋体" w:eastAsia="宋体" w:cs="宋体"/>
                <w:spacing w:val="10"/>
                <w:sz w:val="21"/>
                <w:szCs w:val="21"/>
              </w:rPr>
              <w:t>毒有害气体化学品的场所装设</w:t>
            </w:r>
          </w:p>
          <w:p w14:paraId="0763A167">
            <w:pPr>
              <w:spacing w:before="49" w:line="222" w:lineRule="auto"/>
              <w:ind w:left="133"/>
              <w:rPr>
                <w:rFonts w:ascii="宋体" w:hAnsi="宋体" w:eastAsia="宋体" w:cs="宋体"/>
                <w:sz w:val="21"/>
                <w:szCs w:val="21"/>
              </w:rPr>
            </w:pPr>
            <w:r>
              <w:rPr>
                <w:rFonts w:ascii="宋体" w:hAnsi="宋体" w:eastAsia="宋体" w:cs="宋体"/>
                <w:spacing w:val="9"/>
                <w:sz w:val="21"/>
                <w:szCs w:val="21"/>
              </w:rPr>
              <w:t>易燃易爆、有毒有害介质泄漏报</w:t>
            </w:r>
          </w:p>
          <w:p w14:paraId="4BDB8F51">
            <w:pPr>
              <w:spacing w:before="54" w:line="204" w:lineRule="auto"/>
              <w:ind w:left="133"/>
              <w:rPr>
                <w:rFonts w:ascii="宋体" w:hAnsi="宋体" w:eastAsia="宋体" w:cs="宋体"/>
                <w:sz w:val="21"/>
                <w:szCs w:val="21"/>
              </w:rPr>
            </w:pPr>
            <w:r>
              <w:rPr>
                <w:rFonts w:ascii="宋体" w:hAnsi="宋体" w:eastAsia="宋体" w:cs="宋体"/>
                <w:spacing w:val="17"/>
                <w:sz w:val="21"/>
                <w:szCs w:val="21"/>
              </w:rPr>
              <w:t>警等安全设施。</w:t>
            </w:r>
          </w:p>
          <w:p w14:paraId="164C87FE">
            <w:pPr>
              <w:spacing w:before="44" w:line="207" w:lineRule="auto"/>
              <w:ind w:left="583"/>
              <w:rPr>
                <w:rFonts w:ascii="宋体" w:hAnsi="宋体" w:eastAsia="宋体" w:cs="宋体"/>
                <w:sz w:val="21"/>
                <w:szCs w:val="21"/>
              </w:rPr>
            </w:pPr>
            <w:r>
              <w:rPr>
                <w:rFonts w:ascii="宋体" w:hAnsi="宋体" w:eastAsia="宋体" w:cs="宋体"/>
                <w:spacing w:val="-10"/>
                <w:sz w:val="21"/>
                <w:szCs w:val="21"/>
              </w:rPr>
              <w:t>3.《化工和危险化学品生产</w:t>
            </w:r>
          </w:p>
          <w:p w14:paraId="40AD54CB">
            <w:pPr>
              <w:spacing w:before="50" w:line="207" w:lineRule="auto"/>
              <w:ind w:left="133"/>
              <w:rPr>
                <w:rFonts w:ascii="宋体" w:hAnsi="宋体" w:eastAsia="宋体" w:cs="宋体"/>
                <w:sz w:val="21"/>
                <w:szCs w:val="21"/>
              </w:rPr>
            </w:pPr>
            <w:r>
              <w:rPr>
                <w:rFonts w:ascii="宋体" w:hAnsi="宋体" w:eastAsia="宋体" w:cs="宋体"/>
                <w:spacing w:val="10"/>
                <w:sz w:val="21"/>
                <w:szCs w:val="21"/>
              </w:rPr>
              <w:t>经营单位重大生产安全事故隐</w:t>
            </w:r>
          </w:p>
          <w:p w14:paraId="3520C751">
            <w:pPr>
              <w:spacing w:before="50" w:line="210" w:lineRule="auto"/>
              <w:ind w:left="133"/>
              <w:rPr>
                <w:rFonts w:ascii="宋体" w:hAnsi="宋体" w:eastAsia="宋体" w:cs="宋体"/>
                <w:sz w:val="21"/>
                <w:szCs w:val="21"/>
              </w:rPr>
            </w:pPr>
            <w:r>
              <w:rPr>
                <w:rFonts w:ascii="宋体" w:hAnsi="宋体" w:eastAsia="宋体" w:cs="宋体"/>
                <w:spacing w:val="18"/>
                <w:sz w:val="21"/>
                <w:szCs w:val="21"/>
              </w:rPr>
              <w:t>患判定标准(试行)》(安监总</w:t>
            </w:r>
          </w:p>
          <w:p w14:paraId="2ED40EC1">
            <w:pPr>
              <w:spacing w:before="57" w:line="203" w:lineRule="auto"/>
              <w:ind w:left="133"/>
              <w:rPr>
                <w:rFonts w:ascii="宋体" w:hAnsi="宋体" w:eastAsia="宋体" w:cs="宋体"/>
                <w:sz w:val="21"/>
                <w:szCs w:val="21"/>
              </w:rPr>
            </w:pPr>
            <w:r>
              <w:rPr>
                <w:rFonts w:ascii="宋体" w:hAnsi="宋体" w:eastAsia="宋体" w:cs="宋体"/>
                <w:spacing w:val="10"/>
                <w:sz w:val="21"/>
                <w:szCs w:val="21"/>
              </w:rPr>
              <w:t>管三〔2017〕121号)第十二条</w:t>
            </w:r>
          </w:p>
          <w:p w14:paraId="50097D4B">
            <w:pPr>
              <w:spacing w:before="45" w:line="214" w:lineRule="auto"/>
              <w:ind w:left="133"/>
              <w:rPr>
                <w:rFonts w:ascii="宋体" w:hAnsi="宋体" w:eastAsia="宋体" w:cs="宋体"/>
                <w:sz w:val="21"/>
                <w:szCs w:val="21"/>
              </w:rPr>
            </w:pPr>
            <w:r>
              <w:rPr>
                <w:rFonts w:ascii="宋体" w:hAnsi="宋体" w:eastAsia="宋体" w:cs="宋体"/>
                <w:spacing w:val="10"/>
                <w:sz w:val="21"/>
                <w:szCs w:val="21"/>
              </w:rPr>
              <w:t>涉及可燃和有毒有害气体泄漏</w:t>
            </w:r>
          </w:p>
          <w:p w14:paraId="58BFE400">
            <w:pPr>
              <w:spacing w:before="61" w:line="198" w:lineRule="auto"/>
              <w:ind w:left="133"/>
              <w:rPr>
                <w:rFonts w:ascii="宋体" w:hAnsi="宋体" w:eastAsia="宋体" w:cs="宋体"/>
                <w:spacing w:val="12"/>
                <w:sz w:val="21"/>
                <w:szCs w:val="21"/>
              </w:rPr>
            </w:pPr>
            <w:r>
              <w:rPr>
                <w:rFonts w:ascii="宋体" w:hAnsi="宋体" w:eastAsia="宋体" w:cs="宋体"/>
                <w:spacing w:val="12"/>
                <w:sz w:val="21"/>
                <w:szCs w:val="21"/>
              </w:rPr>
              <w:t>的场所未按国家标准设置检测</w:t>
            </w:r>
          </w:p>
          <w:p w14:paraId="3AD581C6">
            <w:pPr>
              <w:spacing w:before="40" w:line="206" w:lineRule="auto"/>
              <w:ind w:left="133"/>
              <w:rPr>
                <w:rFonts w:ascii="宋体" w:hAnsi="宋体" w:eastAsia="宋体" w:cs="宋体"/>
                <w:sz w:val="21"/>
                <w:szCs w:val="21"/>
              </w:rPr>
            </w:pPr>
            <w:r>
              <w:rPr>
                <w:rFonts w:ascii="宋体" w:hAnsi="宋体" w:eastAsia="宋体" w:cs="宋体"/>
                <w:spacing w:val="9"/>
                <w:sz w:val="21"/>
                <w:szCs w:val="21"/>
              </w:rPr>
              <w:t>报警装置，爆炸危险场所未按国</w:t>
            </w:r>
            <w:r>
              <w:rPr>
                <w:rFonts w:ascii="宋体" w:hAnsi="宋体" w:eastAsia="宋体" w:cs="宋体"/>
                <w:spacing w:val="10"/>
                <w:sz w:val="21"/>
                <w:szCs w:val="21"/>
              </w:rPr>
              <w:t>家标准安装使用防爆电气设备。</w:t>
            </w:r>
          </w:p>
        </w:tc>
        <w:tc>
          <w:tcPr>
            <w:tcW w:w="2891" w:type="dxa"/>
            <w:noWrap w:val="0"/>
            <w:vAlign w:val="top"/>
          </w:tcPr>
          <w:p w14:paraId="1B1A079B">
            <w:pPr>
              <w:spacing w:before="110" w:line="202" w:lineRule="auto"/>
              <w:ind w:left="135"/>
              <w:rPr>
                <w:rFonts w:ascii="宋体" w:hAnsi="宋体" w:eastAsia="宋体" w:cs="宋体"/>
                <w:spacing w:val="-1"/>
                <w:sz w:val="21"/>
                <w:szCs w:val="21"/>
              </w:rPr>
            </w:pPr>
            <w:r>
              <w:rPr>
                <w:rFonts w:ascii="宋体" w:hAnsi="宋体" w:eastAsia="宋体" w:cs="宋体"/>
                <w:spacing w:val="-1"/>
                <w:sz w:val="21"/>
                <w:szCs w:val="21"/>
              </w:rPr>
              <w:t>器；可燃气体与有毒气体</w:t>
            </w:r>
          </w:p>
          <w:p w14:paraId="5BC20582">
            <w:pPr>
              <w:spacing w:before="47" w:line="212" w:lineRule="auto"/>
              <w:ind w:left="135"/>
              <w:rPr>
                <w:rFonts w:ascii="宋体" w:hAnsi="宋体" w:eastAsia="宋体" w:cs="宋体"/>
                <w:sz w:val="21"/>
                <w:szCs w:val="21"/>
              </w:rPr>
            </w:pPr>
            <w:r>
              <w:rPr>
                <w:rFonts w:ascii="宋体" w:hAnsi="宋体" w:eastAsia="宋体" w:cs="宋体"/>
                <w:spacing w:val="1"/>
                <w:sz w:val="21"/>
                <w:szCs w:val="21"/>
              </w:rPr>
              <w:t>同时存在的多组分混合气</w:t>
            </w:r>
          </w:p>
          <w:p w14:paraId="5798E5B7">
            <w:pPr>
              <w:spacing w:before="46" w:line="210" w:lineRule="auto"/>
              <w:ind w:left="135"/>
              <w:rPr>
                <w:rFonts w:ascii="宋体" w:hAnsi="宋体" w:eastAsia="宋体" w:cs="宋体"/>
                <w:sz w:val="21"/>
                <w:szCs w:val="21"/>
              </w:rPr>
            </w:pPr>
            <w:r>
              <w:rPr>
                <w:rFonts w:ascii="宋体" w:hAnsi="宋体" w:eastAsia="宋体" w:cs="宋体"/>
                <w:spacing w:val="1"/>
                <w:sz w:val="21"/>
                <w:szCs w:val="21"/>
              </w:rPr>
              <w:t>体，泄漏时可燃气体浓度</w:t>
            </w:r>
          </w:p>
          <w:p w14:paraId="5CFDA128">
            <w:pPr>
              <w:spacing w:before="44" w:line="207" w:lineRule="auto"/>
              <w:ind w:left="135"/>
              <w:rPr>
                <w:rFonts w:ascii="宋体" w:hAnsi="宋体" w:eastAsia="宋体" w:cs="宋体"/>
                <w:sz w:val="21"/>
                <w:szCs w:val="21"/>
              </w:rPr>
            </w:pPr>
            <w:r>
              <w:rPr>
                <w:rFonts w:ascii="宋体" w:hAnsi="宋体" w:eastAsia="宋体" w:cs="宋体"/>
                <w:spacing w:val="1"/>
                <w:sz w:val="21"/>
                <w:szCs w:val="21"/>
              </w:rPr>
              <w:t>和有毒气体浓度有可能同</w:t>
            </w:r>
          </w:p>
          <w:p w14:paraId="29CFBD8C">
            <w:pPr>
              <w:spacing w:before="51" w:line="214" w:lineRule="auto"/>
              <w:ind w:left="135"/>
              <w:rPr>
                <w:rFonts w:ascii="宋体" w:hAnsi="宋体" w:eastAsia="宋体" w:cs="宋体"/>
                <w:sz w:val="21"/>
                <w:szCs w:val="21"/>
              </w:rPr>
            </w:pPr>
            <w:r>
              <w:rPr>
                <w:rFonts w:ascii="宋体" w:hAnsi="宋体" w:eastAsia="宋体" w:cs="宋体"/>
                <w:sz w:val="21"/>
                <w:szCs w:val="21"/>
              </w:rPr>
              <w:t>时达到报警设定值，应分</w:t>
            </w:r>
          </w:p>
          <w:p w14:paraId="4DF2DC31">
            <w:pPr>
              <w:spacing w:before="42" w:line="202" w:lineRule="auto"/>
              <w:ind w:left="135"/>
              <w:rPr>
                <w:rFonts w:ascii="宋体" w:hAnsi="宋体" w:eastAsia="宋体" w:cs="宋体"/>
                <w:sz w:val="21"/>
                <w:szCs w:val="21"/>
              </w:rPr>
            </w:pPr>
            <w:r>
              <w:rPr>
                <w:rFonts w:ascii="宋体" w:hAnsi="宋体" w:eastAsia="宋体" w:cs="宋体"/>
                <w:spacing w:val="1"/>
                <w:sz w:val="21"/>
                <w:szCs w:val="21"/>
              </w:rPr>
              <w:t>别设置可燃气体探测器和</w:t>
            </w:r>
          </w:p>
          <w:p w14:paraId="19B08523">
            <w:pPr>
              <w:spacing w:before="37" w:line="219" w:lineRule="auto"/>
              <w:ind w:left="135"/>
              <w:rPr>
                <w:rFonts w:ascii="宋体" w:hAnsi="宋体" w:eastAsia="宋体" w:cs="宋体"/>
                <w:sz w:val="21"/>
                <w:szCs w:val="21"/>
              </w:rPr>
            </w:pPr>
            <w:r>
              <w:rPr>
                <w:rFonts w:ascii="宋体" w:hAnsi="宋体" w:eastAsia="宋体" w:cs="宋体"/>
                <w:spacing w:val="14"/>
                <w:sz w:val="21"/>
                <w:szCs w:val="21"/>
              </w:rPr>
              <w:t>有毒气体探测器。</w:t>
            </w:r>
          </w:p>
        </w:tc>
        <w:tc>
          <w:tcPr>
            <w:tcW w:w="2907" w:type="dxa"/>
            <w:noWrap w:val="0"/>
            <w:vAlign w:val="top"/>
          </w:tcPr>
          <w:p w14:paraId="03CE4DC8">
            <w:pPr>
              <w:spacing w:before="70" w:line="219" w:lineRule="auto"/>
              <w:ind w:left="147"/>
              <w:rPr>
                <w:rFonts w:ascii="宋体" w:hAnsi="宋体" w:eastAsia="宋体" w:cs="宋体"/>
                <w:spacing w:val="-5"/>
                <w:sz w:val="21"/>
                <w:szCs w:val="21"/>
              </w:rPr>
            </w:pPr>
            <w:r>
              <w:rPr>
                <w:rFonts w:ascii="宋体" w:hAnsi="宋体" w:eastAsia="宋体" w:cs="宋体"/>
                <w:spacing w:val="-5"/>
                <w:sz w:val="21"/>
                <w:szCs w:val="21"/>
              </w:rPr>
              <w:t>任：</w:t>
            </w:r>
          </w:p>
          <w:p w14:paraId="7BCE63EB">
            <w:pPr>
              <w:spacing w:before="29" w:line="221" w:lineRule="auto"/>
              <w:ind w:left="697"/>
              <w:rPr>
                <w:rFonts w:ascii="宋体" w:hAnsi="宋体" w:eastAsia="宋体" w:cs="宋体"/>
                <w:sz w:val="21"/>
                <w:szCs w:val="21"/>
              </w:rPr>
            </w:pPr>
            <w:r>
              <w:rPr>
                <w:rFonts w:ascii="宋体" w:hAnsi="宋体" w:eastAsia="宋体" w:cs="宋体"/>
                <w:spacing w:val="12"/>
                <w:sz w:val="21"/>
                <w:szCs w:val="21"/>
              </w:rPr>
              <w:t>(二)安全设备的安</w:t>
            </w:r>
          </w:p>
          <w:p w14:paraId="6F4560BC">
            <w:pPr>
              <w:spacing w:before="44" w:line="211" w:lineRule="auto"/>
              <w:ind w:left="147"/>
              <w:rPr>
                <w:rFonts w:ascii="宋体" w:hAnsi="宋体" w:eastAsia="宋体" w:cs="宋体"/>
                <w:sz w:val="21"/>
                <w:szCs w:val="21"/>
              </w:rPr>
            </w:pPr>
            <w:r>
              <w:rPr>
                <w:rFonts w:ascii="宋体" w:hAnsi="宋体" w:eastAsia="宋体" w:cs="宋体"/>
                <w:spacing w:val="1"/>
                <w:sz w:val="21"/>
                <w:szCs w:val="21"/>
              </w:rPr>
              <w:t>装、使用、检测、改造和</w:t>
            </w:r>
          </w:p>
          <w:p w14:paraId="693DB683">
            <w:pPr>
              <w:spacing w:before="44" w:line="207" w:lineRule="auto"/>
              <w:ind w:left="147"/>
              <w:rPr>
                <w:rFonts w:ascii="宋体" w:hAnsi="宋体" w:eastAsia="宋体" w:cs="宋体"/>
                <w:sz w:val="21"/>
                <w:szCs w:val="21"/>
              </w:rPr>
            </w:pPr>
            <w:r>
              <w:rPr>
                <w:rFonts w:ascii="宋体" w:hAnsi="宋体" w:eastAsia="宋体" w:cs="宋体"/>
                <w:spacing w:val="21"/>
                <w:sz w:val="21"/>
                <w:szCs w:val="21"/>
              </w:rPr>
              <w:t>报废不符合国家标准或</w:t>
            </w:r>
          </w:p>
          <w:p w14:paraId="294C5279">
            <w:pPr>
              <w:spacing w:before="62" w:line="206" w:lineRule="auto"/>
              <w:ind w:left="147"/>
              <w:rPr>
                <w:rFonts w:ascii="宋体" w:hAnsi="宋体" w:eastAsia="宋体" w:cs="宋体"/>
                <w:sz w:val="21"/>
                <w:szCs w:val="21"/>
              </w:rPr>
            </w:pPr>
            <w:r>
              <w:rPr>
                <w:rFonts w:ascii="宋体" w:hAnsi="宋体" w:eastAsia="宋体" w:cs="宋体"/>
                <w:spacing w:val="17"/>
                <w:sz w:val="21"/>
                <w:szCs w:val="21"/>
              </w:rPr>
              <w:t>者行业标准的；</w:t>
            </w:r>
          </w:p>
          <w:p w14:paraId="5C8B18BF">
            <w:pPr>
              <w:spacing w:before="42" w:line="202" w:lineRule="auto"/>
              <w:ind w:left="717"/>
              <w:rPr>
                <w:rFonts w:ascii="宋体" w:hAnsi="宋体" w:eastAsia="宋体" w:cs="宋体"/>
                <w:sz w:val="21"/>
                <w:szCs w:val="21"/>
              </w:rPr>
            </w:pPr>
            <w:r>
              <w:rPr>
                <w:rFonts w:ascii="宋体" w:hAnsi="宋体" w:eastAsia="宋体" w:cs="宋体"/>
                <w:spacing w:val="14"/>
                <w:sz w:val="21"/>
                <w:szCs w:val="21"/>
              </w:rPr>
              <w:t>(三)未对安全设备</w:t>
            </w:r>
          </w:p>
          <w:p w14:paraId="4F0F75FB">
            <w:pPr>
              <w:spacing w:before="66" w:line="202" w:lineRule="auto"/>
              <w:ind w:left="147"/>
              <w:rPr>
                <w:rFonts w:ascii="宋体" w:hAnsi="宋体" w:eastAsia="宋体" w:cs="宋体"/>
                <w:sz w:val="21"/>
                <w:szCs w:val="21"/>
              </w:rPr>
            </w:pPr>
            <w:r>
              <w:rPr>
                <w:rFonts w:ascii="宋体" w:hAnsi="宋体" w:eastAsia="宋体" w:cs="宋体"/>
                <w:spacing w:val="1"/>
                <w:sz w:val="21"/>
                <w:szCs w:val="21"/>
              </w:rPr>
              <w:t>进行经常性维护、保养和</w:t>
            </w:r>
          </w:p>
          <w:p w14:paraId="06CE76D9">
            <w:pPr>
              <w:spacing w:before="27" w:line="218" w:lineRule="auto"/>
              <w:ind w:left="147"/>
              <w:rPr>
                <w:rFonts w:ascii="宋体" w:hAnsi="宋体" w:eastAsia="宋体" w:cs="宋体"/>
                <w:sz w:val="21"/>
                <w:szCs w:val="21"/>
              </w:rPr>
            </w:pPr>
            <w:r>
              <w:rPr>
                <w:rFonts w:ascii="宋体" w:hAnsi="宋体" w:eastAsia="宋体" w:cs="宋体"/>
                <w:spacing w:val="20"/>
                <w:sz w:val="21"/>
                <w:szCs w:val="21"/>
              </w:rPr>
              <w:t>定期检测的；</w:t>
            </w:r>
          </w:p>
          <w:p w14:paraId="094DC22A">
            <w:pPr>
              <w:spacing w:before="57" w:line="209" w:lineRule="auto"/>
              <w:ind w:left="697"/>
              <w:rPr>
                <w:rFonts w:ascii="宋体" w:hAnsi="宋体" w:eastAsia="宋体" w:cs="宋体"/>
                <w:sz w:val="21"/>
                <w:szCs w:val="21"/>
              </w:rPr>
            </w:pPr>
            <w:r>
              <w:rPr>
                <w:rFonts w:ascii="宋体" w:hAnsi="宋体" w:eastAsia="宋体" w:cs="宋体"/>
                <w:spacing w:val="12"/>
                <w:sz w:val="21"/>
                <w:szCs w:val="21"/>
              </w:rPr>
              <w:t>(四)关闭、破坏直</w:t>
            </w:r>
          </w:p>
          <w:p w14:paraId="40F9F062">
            <w:pPr>
              <w:spacing w:before="47" w:line="223" w:lineRule="auto"/>
              <w:ind w:left="147"/>
              <w:rPr>
                <w:rFonts w:ascii="宋体" w:hAnsi="宋体" w:eastAsia="宋体" w:cs="宋体"/>
                <w:sz w:val="21"/>
                <w:szCs w:val="21"/>
              </w:rPr>
            </w:pPr>
            <w:r>
              <w:rPr>
                <w:rFonts w:ascii="宋体" w:hAnsi="宋体" w:eastAsia="宋体" w:cs="宋体"/>
                <w:spacing w:val="14"/>
                <w:sz w:val="21"/>
                <w:szCs w:val="21"/>
              </w:rPr>
              <w:t>接关系生产安全的监控、</w:t>
            </w:r>
          </w:p>
          <w:p w14:paraId="18E5EC65">
            <w:pPr>
              <w:spacing w:before="52" w:line="227" w:lineRule="auto"/>
              <w:ind w:left="147"/>
              <w:rPr>
                <w:rFonts w:ascii="宋体" w:hAnsi="宋体" w:eastAsia="宋体" w:cs="宋体"/>
                <w:sz w:val="21"/>
                <w:szCs w:val="21"/>
              </w:rPr>
            </w:pPr>
            <w:r>
              <w:rPr>
                <w:rFonts w:ascii="宋体" w:hAnsi="宋体" w:eastAsia="宋体" w:cs="宋体"/>
                <w:spacing w:val="14"/>
                <w:sz w:val="21"/>
                <w:szCs w:val="21"/>
              </w:rPr>
              <w:t>报警、防护、救生设备、</w:t>
            </w:r>
          </w:p>
          <w:p w14:paraId="08C16E93">
            <w:pPr>
              <w:spacing w:before="57" w:line="210" w:lineRule="auto"/>
              <w:ind w:left="147"/>
              <w:rPr>
                <w:rFonts w:ascii="宋体" w:hAnsi="宋体" w:eastAsia="宋体" w:cs="宋体"/>
                <w:sz w:val="21"/>
                <w:szCs w:val="21"/>
              </w:rPr>
            </w:pPr>
            <w:r>
              <w:rPr>
                <w:rFonts w:ascii="宋体" w:hAnsi="宋体" w:eastAsia="宋体" w:cs="宋体"/>
                <w:spacing w:val="14"/>
                <w:sz w:val="21"/>
                <w:szCs w:val="21"/>
              </w:rPr>
              <w:t>设施，或者篡改、隐瞒、</w:t>
            </w:r>
          </w:p>
          <w:p w14:paraId="74C85CEF">
            <w:pPr>
              <w:spacing w:before="38" w:line="209" w:lineRule="auto"/>
              <w:ind w:left="147"/>
              <w:rPr>
                <w:rFonts w:ascii="宋体" w:hAnsi="宋体" w:eastAsia="宋体" w:cs="宋体"/>
                <w:sz w:val="21"/>
                <w:szCs w:val="21"/>
              </w:rPr>
            </w:pPr>
            <w:r>
              <w:rPr>
                <w:rFonts w:ascii="宋体" w:hAnsi="宋体" w:eastAsia="宋体" w:cs="宋体"/>
                <w:spacing w:val="23"/>
                <w:sz w:val="21"/>
                <w:szCs w:val="21"/>
              </w:rPr>
              <w:t>销毁其相关数据、信息</w:t>
            </w:r>
          </w:p>
          <w:p w14:paraId="438F97EF">
            <w:pPr>
              <w:spacing w:before="42" w:line="204" w:lineRule="auto"/>
              <w:ind w:left="147"/>
              <w:rPr>
                <w:rFonts w:ascii="宋体" w:hAnsi="宋体" w:eastAsia="宋体" w:cs="宋体"/>
                <w:sz w:val="21"/>
                <w:szCs w:val="21"/>
              </w:rPr>
            </w:pPr>
            <w:r>
              <w:rPr>
                <w:rFonts w:ascii="宋体" w:hAnsi="宋体" w:eastAsia="宋体" w:cs="宋体"/>
                <w:spacing w:val="-15"/>
                <w:sz w:val="21"/>
                <w:szCs w:val="21"/>
              </w:rPr>
              <w:t>的。</w:t>
            </w:r>
          </w:p>
        </w:tc>
        <w:tc>
          <w:tcPr>
            <w:tcW w:w="989" w:type="dxa"/>
            <w:noWrap w:val="0"/>
            <w:vAlign w:val="top"/>
          </w:tcPr>
          <w:p w14:paraId="061E2B77">
            <w:pPr>
              <w:rPr>
                <w:rFonts w:ascii="Arial"/>
                <w:sz w:val="21"/>
                <w:szCs w:val="21"/>
              </w:rPr>
            </w:pPr>
          </w:p>
        </w:tc>
      </w:tr>
    </w:tbl>
    <w:p w14:paraId="0F275009"/>
    <w:p w14:paraId="253000E1"/>
    <w:p w14:paraId="4B66D788">
      <w:pPr>
        <w:spacing w:line="69" w:lineRule="exact"/>
      </w:pP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4"/>
        <w:gridCol w:w="2229"/>
        <w:gridCol w:w="4071"/>
        <w:gridCol w:w="2304"/>
        <w:gridCol w:w="3016"/>
        <w:gridCol w:w="1066"/>
      </w:tblGrid>
      <w:tr w14:paraId="5A99A2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jc w:val="center"/>
        </w:trPr>
        <w:tc>
          <w:tcPr>
            <w:tcW w:w="874" w:type="dxa"/>
            <w:noWrap w:val="0"/>
            <w:vAlign w:val="top"/>
          </w:tcPr>
          <w:p w14:paraId="0826EB1E">
            <w:pPr>
              <w:spacing w:before="212" w:line="221" w:lineRule="auto"/>
              <w:ind w:left="188"/>
              <w:rPr>
                <w:rFonts w:ascii="宋体" w:hAnsi="宋体" w:eastAsia="宋体" w:cs="宋体"/>
                <w:b/>
                <w:bCs/>
                <w:sz w:val="24"/>
                <w:szCs w:val="24"/>
              </w:rPr>
            </w:pPr>
            <w:r>
              <w:rPr>
                <w:rFonts w:ascii="宋体" w:hAnsi="宋体" w:eastAsia="宋体" w:cs="宋体"/>
                <w:b/>
                <w:bCs/>
                <w:spacing w:val="-5"/>
                <w:sz w:val="24"/>
                <w:szCs w:val="24"/>
              </w:rPr>
              <w:t>序号</w:t>
            </w:r>
          </w:p>
        </w:tc>
        <w:tc>
          <w:tcPr>
            <w:tcW w:w="2229" w:type="dxa"/>
            <w:noWrap w:val="0"/>
            <w:vAlign w:val="top"/>
          </w:tcPr>
          <w:p w14:paraId="126A03F8">
            <w:pPr>
              <w:spacing w:before="71" w:line="219" w:lineRule="auto"/>
              <w:ind w:left="624"/>
              <w:rPr>
                <w:rFonts w:ascii="宋体" w:hAnsi="宋体" w:eastAsia="宋体" w:cs="宋体"/>
                <w:b/>
                <w:bCs/>
                <w:sz w:val="24"/>
                <w:szCs w:val="24"/>
              </w:rPr>
            </w:pPr>
            <w:r>
              <w:rPr>
                <w:rFonts w:ascii="宋体" w:hAnsi="宋体" w:eastAsia="宋体" w:cs="宋体"/>
                <w:b/>
                <w:bCs/>
                <w:spacing w:val="-5"/>
                <w:sz w:val="24"/>
                <w:szCs w:val="24"/>
              </w:rPr>
              <w:t>执法检查</w:t>
            </w:r>
          </w:p>
          <w:p w14:paraId="1D554A73">
            <w:pPr>
              <w:spacing w:before="58" w:line="192" w:lineRule="auto"/>
              <w:ind w:left="380"/>
              <w:rPr>
                <w:rFonts w:ascii="宋体" w:hAnsi="宋体" w:eastAsia="宋体" w:cs="宋体"/>
                <w:b/>
                <w:bCs/>
                <w:sz w:val="24"/>
                <w:szCs w:val="24"/>
              </w:rPr>
            </w:pPr>
            <w:r>
              <w:rPr>
                <w:rFonts w:ascii="宋体" w:hAnsi="宋体" w:eastAsia="宋体" w:cs="宋体"/>
                <w:b/>
                <w:bCs/>
                <w:spacing w:val="2"/>
                <w:sz w:val="24"/>
                <w:szCs w:val="24"/>
              </w:rPr>
              <w:t>重点事项内容</w:t>
            </w:r>
          </w:p>
        </w:tc>
        <w:tc>
          <w:tcPr>
            <w:tcW w:w="4071" w:type="dxa"/>
            <w:noWrap w:val="0"/>
            <w:vAlign w:val="top"/>
          </w:tcPr>
          <w:p w14:paraId="37C82E7F">
            <w:pPr>
              <w:spacing w:before="213" w:line="219" w:lineRule="auto"/>
              <w:ind w:left="1022"/>
              <w:rPr>
                <w:rFonts w:ascii="宋体" w:hAnsi="宋体" w:eastAsia="宋体" w:cs="宋体"/>
                <w:b/>
                <w:bCs/>
                <w:sz w:val="24"/>
                <w:szCs w:val="24"/>
              </w:rPr>
            </w:pPr>
            <w:r>
              <w:rPr>
                <w:rFonts w:ascii="宋体" w:hAnsi="宋体" w:eastAsia="宋体" w:cs="宋体"/>
                <w:b/>
                <w:bCs/>
                <w:spacing w:val="2"/>
                <w:sz w:val="24"/>
                <w:szCs w:val="24"/>
              </w:rPr>
              <w:t>执法检查依据</w:t>
            </w:r>
          </w:p>
        </w:tc>
        <w:tc>
          <w:tcPr>
            <w:tcW w:w="2304" w:type="dxa"/>
            <w:noWrap w:val="0"/>
            <w:vAlign w:val="top"/>
          </w:tcPr>
          <w:p w14:paraId="39F1DBF7">
            <w:pPr>
              <w:spacing w:before="75" w:line="220" w:lineRule="auto"/>
              <w:ind w:left="824"/>
              <w:rPr>
                <w:rFonts w:ascii="宋体" w:hAnsi="宋体" w:eastAsia="宋体" w:cs="宋体"/>
                <w:b/>
                <w:bCs/>
                <w:sz w:val="24"/>
                <w:szCs w:val="24"/>
              </w:rPr>
            </w:pPr>
            <w:r>
              <w:rPr>
                <w:rFonts w:ascii="宋体" w:hAnsi="宋体" w:eastAsia="宋体" w:cs="宋体"/>
                <w:b/>
                <w:bCs/>
                <w:spacing w:val="-2"/>
                <w:sz w:val="24"/>
                <w:szCs w:val="24"/>
              </w:rPr>
              <w:t>有关规范性</w:t>
            </w:r>
          </w:p>
          <w:p w14:paraId="46EAE75B">
            <w:pPr>
              <w:spacing w:before="52" w:line="192" w:lineRule="auto"/>
              <w:ind w:left="584"/>
              <w:rPr>
                <w:rFonts w:ascii="宋体" w:hAnsi="宋体" w:eastAsia="宋体" w:cs="宋体"/>
                <w:b/>
                <w:bCs/>
                <w:sz w:val="24"/>
                <w:szCs w:val="24"/>
              </w:rPr>
            </w:pPr>
            <w:r>
              <w:rPr>
                <w:rFonts w:ascii="宋体" w:hAnsi="宋体" w:eastAsia="宋体" w:cs="宋体"/>
                <w:b/>
                <w:bCs/>
                <w:spacing w:val="1"/>
                <w:sz w:val="24"/>
                <w:szCs w:val="24"/>
              </w:rPr>
              <w:t>文件及标准要求</w:t>
            </w:r>
          </w:p>
        </w:tc>
        <w:tc>
          <w:tcPr>
            <w:tcW w:w="3016" w:type="dxa"/>
            <w:noWrap w:val="0"/>
            <w:vAlign w:val="top"/>
          </w:tcPr>
          <w:p w14:paraId="25CE676C">
            <w:pPr>
              <w:spacing w:before="213" w:line="219" w:lineRule="auto"/>
              <w:ind w:left="947"/>
              <w:rPr>
                <w:rFonts w:ascii="宋体" w:hAnsi="宋体" w:eastAsia="宋体" w:cs="宋体"/>
                <w:b/>
                <w:bCs/>
                <w:sz w:val="24"/>
                <w:szCs w:val="24"/>
              </w:rPr>
            </w:pPr>
            <w:r>
              <w:rPr>
                <w:rFonts w:ascii="宋体" w:hAnsi="宋体" w:eastAsia="宋体" w:cs="宋体"/>
                <w:b/>
                <w:bCs/>
                <w:spacing w:val="13"/>
                <w:sz w:val="24"/>
                <w:szCs w:val="24"/>
              </w:rPr>
              <w:t>处罚依据</w:t>
            </w:r>
          </w:p>
        </w:tc>
        <w:tc>
          <w:tcPr>
            <w:tcW w:w="1066" w:type="dxa"/>
            <w:noWrap w:val="0"/>
            <w:vAlign w:val="top"/>
          </w:tcPr>
          <w:p w14:paraId="4508B38F">
            <w:pPr>
              <w:spacing w:before="216" w:line="221" w:lineRule="auto"/>
              <w:ind w:left="388"/>
              <w:rPr>
                <w:rFonts w:ascii="宋体" w:hAnsi="宋体" w:eastAsia="宋体" w:cs="宋体"/>
                <w:b/>
                <w:bCs/>
                <w:sz w:val="24"/>
                <w:szCs w:val="24"/>
              </w:rPr>
            </w:pPr>
            <w:r>
              <w:rPr>
                <w:rFonts w:ascii="宋体" w:hAnsi="宋体" w:eastAsia="宋体" w:cs="宋体"/>
                <w:b/>
                <w:bCs/>
                <w:spacing w:val="6"/>
                <w:sz w:val="24"/>
                <w:szCs w:val="24"/>
              </w:rPr>
              <w:t>备注</w:t>
            </w:r>
          </w:p>
        </w:tc>
      </w:tr>
      <w:tr w14:paraId="77BE4C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1" w:hRule="atLeast"/>
          <w:jc w:val="center"/>
        </w:trPr>
        <w:tc>
          <w:tcPr>
            <w:tcW w:w="874" w:type="dxa"/>
            <w:noWrap w:val="0"/>
            <w:vAlign w:val="top"/>
          </w:tcPr>
          <w:p w14:paraId="7595A750">
            <w:pPr>
              <w:rPr>
                <w:rFonts w:ascii="Arial"/>
                <w:sz w:val="21"/>
                <w:szCs w:val="21"/>
              </w:rPr>
            </w:pPr>
          </w:p>
          <w:p w14:paraId="1FA0F539">
            <w:pPr>
              <w:spacing w:line="241" w:lineRule="auto"/>
              <w:rPr>
                <w:rFonts w:ascii="Arial"/>
                <w:sz w:val="21"/>
                <w:szCs w:val="21"/>
              </w:rPr>
            </w:pPr>
          </w:p>
          <w:p w14:paraId="4CB068C8">
            <w:pPr>
              <w:spacing w:line="241" w:lineRule="auto"/>
              <w:rPr>
                <w:rFonts w:ascii="Arial"/>
                <w:sz w:val="21"/>
                <w:szCs w:val="21"/>
              </w:rPr>
            </w:pPr>
          </w:p>
          <w:p w14:paraId="64B42E74">
            <w:pPr>
              <w:spacing w:line="241" w:lineRule="auto"/>
              <w:rPr>
                <w:rFonts w:ascii="Arial"/>
                <w:sz w:val="21"/>
                <w:szCs w:val="21"/>
              </w:rPr>
            </w:pPr>
          </w:p>
          <w:p w14:paraId="0C8268C3">
            <w:pPr>
              <w:spacing w:line="241" w:lineRule="auto"/>
              <w:rPr>
                <w:rFonts w:ascii="Arial"/>
                <w:sz w:val="21"/>
                <w:szCs w:val="21"/>
              </w:rPr>
            </w:pPr>
          </w:p>
          <w:p w14:paraId="2328E164">
            <w:pPr>
              <w:spacing w:line="241" w:lineRule="auto"/>
              <w:rPr>
                <w:rFonts w:ascii="Arial"/>
                <w:sz w:val="21"/>
                <w:szCs w:val="21"/>
              </w:rPr>
            </w:pPr>
          </w:p>
          <w:p w14:paraId="09EA94AA">
            <w:pPr>
              <w:spacing w:line="241" w:lineRule="auto"/>
              <w:rPr>
                <w:rFonts w:ascii="Arial"/>
                <w:sz w:val="21"/>
                <w:szCs w:val="21"/>
              </w:rPr>
            </w:pPr>
          </w:p>
          <w:p w14:paraId="50F573C5">
            <w:pPr>
              <w:spacing w:line="241" w:lineRule="auto"/>
              <w:rPr>
                <w:rFonts w:ascii="Arial"/>
                <w:sz w:val="21"/>
                <w:szCs w:val="21"/>
              </w:rPr>
            </w:pPr>
          </w:p>
          <w:p w14:paraId="13948186">
            <w:pPr>
              <w:spacing w:line="241" w:lineRule="auto"/>
              <w:rPr>
                <w:rFonts w:ascii="Arial"/>
                <w:sz w:val="21"/>
                <w:szCs w:val="21"/>
              </w:rPr>
            </w:pPr>
          </w:p>
          <w:p w14:paraId="4CA9A929">
            <w:pPr>
              <w:spacing w:line="241" w:lineRule="auto"/>
              <w:rPr>
                <w:rFonts w:ascii="Arial"/>
                <w:sz w:val="21"/>
                <w:szCs w:val="21"/>
              </w:rPr>
            </w:pPr>
          </w:p>
          <w:p w14:paraId="72831C6C">
            <w:pPr>
              <w:spacing w:line="241" w:lineRule="auto"/>
              <w:rPr>
                <w:rFonts w:ascii="Arial"/>
                <w:sz w:val="21"/>
                <w:szCs w:val="21"/>
              </w:rPr>
            </w:pPr>
          </w:p>
          <w:p w14:paraId="569126D8">
            <w:pPr>
              <w:spacing w:line="241" w:lineRule="auto"/>
              <w:rPr>
                <w:rFonts w:ascii="Arial"/>
                <w:sz w:val="21"/>
                <w:szCs w:val="21"/>
              </w:rPr>
            </w:pPr>
          </w:p>
          <w:p w14:paraId="4E510562">
            <w:pPr>
              <w:spacing w:line="241" w:lineRule="auto"/>
              <w:rPr>
                <w:rFonts w:ascii="Arial"/>
                <w:sz w:val="21"/>
                <w:szCs w:val="21"/>
              </w:rPr>
            </w:pPr>
          </w:p>
          <w:p w14:paraId="575BD23F">
            <w:pPr>
              <w:spacing w:line="241" w:lineRule="auto"/>
              <w:rPr>
                <w:rFonts w:ascii="Arial"/>
                <w:sz w:val="21"/>
                <w:szCs w:val="21"/>
              </w:rPr>
            </w:pPr>
          </w:p>
          <w:p w14:paraId="09821091">
            <w:pPr>
              <w:spacing w:before="78" w:line="183" w:lineRule="auto"/>
              <w:ind w:left="305"/>
              <w:rPr>
                <w:rFonts w:ascii="宋体" w:hAnsi="宋体" w:eastAsia="宋体" w:cs="宋体"/>
                <w:sz w:val="21"/>
                <w:szCs w:val="21"/>
              </w:rPr>
            </w:pPr>
            <w:r>
              <w:rPr>
                <w:rFonts w:ascii="宋体" w:hAnsi="宋体" w:eastAsia="宋体" w:cs="宋体"/>
                <w:spacing w:val="-4"/>
                <w:sz w:val="21"/>
                <w:szCs w:val="21"/>
              </w:rPr>
              <w:t>2</w:t>
            </w:r>
            <w:r>
              <w:rPr>
                <w:rFonts w:hint="eastAsia" w:ascii="宋体" w:hAnsi="宋体" w:eastAsia="宋体" w:cs="宋体"/>
                <w:spacing w:val="-4"/>
                <w:sz w:val="21"/>
                <w:szCs w:val="21"/>
                <w:lang w:val="en-US" w:eastAsia="zh-CN"/>
              </w:rPr>
              <w:t>1</w:t>
            </w:r>
          </w:p>
        </w:tc>
        <w:tc>
          <w:tcPr>
            <w:tcW w:w="2229" w:type="dxa"/>
            <w:noWrap w:val="0"/>
            <w:vAlign w:val="top"/>
          </w:tcPr>
          <w:p w14:paraId="0E9BF4B1">
            <w:pPr>
              <w:spacing w:line="245" w:lineRule="auto"/>
              <w:rPr>
                <w:rFonts w:ascii="Arial"/>
                <w:sz w:val="21"/>
                <w:szCs w:val="21"/>
              </w:rPr>
            </w:pPr>
          </w:p>
          <w:p w14:paraId="7925F4F9">
            <w:pPr>
              <w:spacing w:line="245" w:lineRule="auto"/>
              <w:rPr>
                <w:rFonts w:ascii="Arial"/>
                <w:sz w:val="21"/>
                <w:szCs w:val="21"/>
              </w:rPr>
            </w:pPr>
          </w:p>
          <w:p w14:paraId="50A474C3">
            <w:pPr>
              <w:spacing w:line="245" w:lineRule="auto"/>
              <w:rPr>
                <w:rFonts w:ascii="Arial"/>
                <w:sz w:val="21"/>
                <w:szCs w:val="21"/>
              </w:rPr>
            </w:pPr>
          </w:p>
          <w:p w14:paraId="06AEA7DD">
            <w:pPr>
              <w:spacing w:line="245" w:lineRule="auto"/>
              <w:rPr>
                <w:rFonts w:ascii="Arial"/>
                <w:sz w:val="21"/>
                <w:szCs w:val="21"/>
              </w:rPr>
            </w:pPr>
          </w:p>
          <w:p w14:paraId="54A57A30">
            <w:pPr>
              <w:spacing w:line="245" w:lineRule="auto"/>
              <w:rPr>
                <w:rFonts w:ascii="Arial"/>
                <w:sz w:val="21"/>
                <w:szCs w:val="21"/>
              </w:rPr>
            </w:pPr>
          </w:p>
          <w:p w14:paraId="6F12A2CE">
            <w:pPr>
              <w:spacing w:line="245" w:lineRule="auto"/>
              <w:rPr>
                <w:rFonts w:ascii="Arial"/>
                <w:sz w:val="21"/>
                <w:szCs w:val="21"/>
              </w:rPr>
            </w:pPr>
          </w:p>
          <w:p w14:paraId="68194F44">
            <w:pPr>
              <w:spacing w:line="246" w:lineRule="auto"/>
              <w:rPr>
                <w:rFonts w:ascii="Arial"/>
                <w:sz w:val="21"/>
                <w:szCs w:val="21"/>
              </w:rPr>
            </w:pPr>
          </w:p>
          <w:p w14:paraId="099CDD6E">
            <w:pPr>
              <w:spacing w:line="246" w:lineRule="auto"/>
              <w:rPr>
                <w:rFonts w:ascii="Arial"/>
                <w:sz w:val="21"/>
                <w:szCs w:val="21"/>
              </w:rPr>
            </w:pPr>
          </w:p>
          <w:p w14:paraId="05FA0F42">
            <w:pPr>
              <w:spacing w:line="246" w:lineRule="auto"/>
              <w:rPr>
                <w:rFonts w:ascii="Arial"/>
                <w:sz w:val="21"/>
                <w:szCs w:val="21"/>
              </w:rPr>
            </w:pPr>
          </w:p>
          <w:p w14:paraId="60744845">
            <w:pPr>
              <w:spacing w:before="78" w:line="244" w:lineRule="auto"/>
              <w:ind w:left="111" w:right="38" w:firstLine="29"/>
              <w:jc w:val="both"/>
              <w:rPr>
                <w:rFonts w:ascii="宋体" w:hAnsi="宋体" w:eastAsia="宋体" w:cs="宋体"/>
                <w:sz w:val="21"/>
                <w:szCs w:val="21"/>
              </w:rPr>
            </w:pPr>
            <w:r>
              <w:rPr>
                <w:rFonts w:ascii="宋体" w:hAnsi="宋体" w:eastAsia="宋体" w:cs="宋体"/>
                <w:spacing w:val="1"/>
                <w:sz w:val="21"/>
                <w:szCs w:val="21"/>
              </w:rPr>
              <w:t>未制定动火、受限</w:t>
            </w:r>
            <w:r>
              <w:rPr>
                <w:rFonts w:ascii="宋体" w:hAnsi="宋体" w:eastAsia="宋体" w:cs="宋体"/>
                <w:spacing w:val="5"/>
                <w:sz w:val="21"/>
                <w:szCs w:val="21"/>
              </w:rPr>
              <w:t>空间等特殊作业管</w:t>
            </w:r>
            <w:r>
              <w:rPr>
                <w:rFonts w:ascii="宋体" w:hAnsi="宋体" w:eastAsia="宋体" w:cs="宋体"/>
                <w:spacing w:val="4"/>
                <w:sz w:val="21"/>
                <w:szCs w:val="21"/>
              </w:rPr>
              <w:t>理制度；特殊作业</w:t>
            </w:r>
            <w:r>
              <w:rPr>
                <w:rFonts w:ascii="宋体" w:hAnsi="宋体" w:eastAsia="宋体" w:cs="宋体"/>
                <w:spacing w:val="18"/>
                <w:sz w:val="21"/>
                <w:szCs w:val="21"/>
              </w:rPr>
              <w:t>未履行许可手续；</w:t>
            </w:r>
            <w:r>
              <w:rPr>
                <w:rFonts w:ascii="宋体" w:hAnsi="宋体" w:eastAsia="宋体" w:cs="宋体"/>
                <w:spacing w:val="5"/>
                <w:sz w:val="21"/>
                <w:szCs w:val="21"/>
              </w:rPr>
              <w:t>动火、受限空间作业未按规定进行气</w:t>
            </w:r>
            <w:r>
              <w:rPr>
                <w:rFonts w:ascii="宋体" w:hAnsi="宋体" w:eastAsia="宋体" w:cs="宋体"/>
                <w:spacing w:val="2"/>
                <w:sz w:val="21"/>
                <w:szCs w:val="21"/>
              </w:rPr>
              <w:t>体分析；作业过程</w:t>
            </w:r>
            <w:r>
              <w:rPr>
                <w:rFonts w:ascii="宋体" w:hAnsi="宋体" w:eastAsia="宋体" w:cs="宋体"/>
                <w:spacing w:val="24"/>
                <w:sz w:val="21"/>
                <w:szCs w:val="21"/>
              </w:rPr>
              <w:t>无人监护。</w:t>
            </w:r>
          </w:p>
        </w:tc>
        <w:tc>
          <w:tcPr>
            <w:tcW w:w="4071" w:type="dxa"/>
            <w:noWrap w:val="0"/>
            <w:vAlign w:val="top"/>
          </w:tcPr>
          <w:p w14:paraId="5F9DED8F">
            <w:pPr>
              <w:spacing w:before="94" w:line="252" w:lineRule="auto"/>
              <w:ind w:left="121" w:firstLine="497"/>
              <w:rPr>
                <w:rFonts w:ascii="宋体" w:hAnsi="宋体" w:eastAsia="宋体" w:cs="宋体"/>
                <w:sz w:val="21"/>
                <w:szCs w:val="21"/>
              </w:rPr>
            </w:pPr>
            <w:r>
              <w:rPr>
                <w:rFonts w:ascii="宋体" w:hAnsi="宋体" w:eastAsia="宋体" w:cs="宋体"/>
                <w:spacing w:val="-3"/>
                <w:sz w:val="21"/>
                <w:szCs w:val="21"/>
              </w:rPr>
              <w:t>1.《中华人民共和国安全生</w:t>
            </w:r>
            <w:r>
              <w:rPr>
                <w:rFonts w:ascii="宋体" w:hAnsi="宋体" w:eastAsia="宋体" w:cs="宋体"/>
                <w:spacing w:val="7"/>
                <w:sz w:val="21"/>
                <w:szCs w:val="21"/>
              </w:rPr>
              <w:t>产法》第四十三条生产经营单</w:t>
            </w:r>
            <w:r>
              <w:rPr>
                <w:rFonts w:ascii="宋体" w:hAnsi="宋体" w:eastAsia="宋体" w:cs="宋体"/>
                <w:spacing w:val="9"/>
                <w:sz w:val="21"/>
                <w:szCs w:val="21"/>
              </w:rPr>
              <w:t>位进行爆破、吊装、动火、临时</w:t>
            </w:r>
            <w:r>
              <w:rPr>
                <w:rFonts w:ascii="宋体" w:hAnsi="宋体" w:eastAsia="宋体" w:cs="宋体"/>
                <w:spacing w:val="21"/>
                <w:sz w:val="21"/>
                <w:szCs w:val="21"/>
              </w:rPr>
              <w:t>用电以及国务院应急管理部门</w:t>
            </w:r>
            <w:r>
              <w:rPr>
                <w:rFonts w:ascii="宋体" w:hAnsi="宋体" w:eastAsia="宋体" w:cs="宋体"/>
                <w:spacing w:val="18"/>
                <w:sz w:val="21"/>
                <w:szCs w:val="21"/>
              </w:rPr>
              <w:t>会同国务院有关部门规定的其</w:t>
            </w:r>
            <w:r>
              <w:rPr>
                <w:rFonts w:ascii="宋体" w:hAnsi="宋体" w:eastAsia="宋体" w:cs="宋体"/>
                <w:spacing w:val="11"/>
                <w:sz w:val="21"/>
                <w:szCs w:val="21"/>
              </w:rPr>
              <w:t>他危险作业，应当安排专门人员</w:t>
            </w:r>
            <w:r>
              <w:rPr>
                <w:rFonts w:ascii="宋体" w:hAnsi="宋体" w:eastAsia="宋体" w:cs="宋体"/>
                <w:spacing w:val="8"/>
                <w:sz w:val="21"/>
                <w:szCs w:val="21"/>
              </w:rPr>
              <w:t>进行现场安全管理，确保操作规</w:t>
            </w:r>
            <w:r>
              <w:rPr>
                <w:rFonts w:ascii="宋体" w:hAnsi="宋体" w:eastAsia="宋体" w:cs="宋体"/>
                <w:spacing w:val="17"/>
                <w:sz w:val="21"/>
                <w:szCs w:val="21"/>
              </w:rPr>
              <w:t>程的遵守和安全措施的落实。</w:t>
            </w:r>
          </w:p>
          <w:p w14:paraId="6AD21A3A">
            <w:pPr>
              <w:spacing w:before="43" w:line="239" w:lineRule="auto"/>
              <w:ind w:left="121" w:firstLine="480"/>
              <w:rPr>
                <w:rFonts w:ascii="宋体" w:hAnsi="宋体" w:eastAsia="宋体" w:cs="宋体"/>
                <w:sz w:val="21"/>
                <w:szCs w:val="21"/>
              </w:rPr>
            </w:pPr>
            <w:r>
              <w:rPr>
                <w:rFonts w:ascii="宋体" w:hAnsi="宋体" w:eastAsia="宋体" w:cs="宋体"/>
                <w:spacing w:val="-11"/>
                <w:sz w:val="21"/>
                <w:szCs w:val="21"/>
              </w:rPr>
              <w:t>2.《危险化学品生产企业安</w:t>
            </w:r>
            <w:r>
              <w:rPr>
                <w:rFonts w:ascii="宋体" w:hAnsi="宋体" w:eastAsia="宋体" w:cs="宋体"/>
                <w:spacing w:val="1"/>
                <w:sz w:val="21"/>
                <w:szCs w:val="21"/>
              </w:rPr>
              <w:t>全生产许可证实施办法》(国家</w:t>
            </w:r>
            <w:r>
              <w:rPr>
                <w:rFonts w:ascii="宋体" w:hAnsi="宋体" w:eastAsia="宋体" w:cs="宋体"/>
                <w:spacing w:val="17"/>
                <w:sz w:val="21"/>
                <w:szCs w:val="21"/>
              </w:rPr>
              <w:t>安全监管总局令第41号)第十</w:t>
            </w:r>
            <w:r>
              <w:rPr>
                <w:rFonts w:ascii="宋体" w:hAnsi="宋体" w:eastAsia="宋体" w:cs="宋体"/>
                <w:spacing w:val="8"/>
                <w:sz w:val="21"/>
                <w:szCs w:val="21"/>
              </w:rPr>
              <w:t>四条第十四项企业应当根据</w:t>
            </w:r>
            <w:r>
              <w:rPr>
                <w:rFonts w:ascii="宋体" w:hAnsi="宋体" w:eastAsia="宋体" w:cs="宋体"/>
                <w:sz w:val="21"/>
                <w:szCs w:val="21"/>
              </w:rPr>
              <w:t>化工工艺、装置、设施等实际情</w:t>
            </w:r>
            <w:r>
              <w:rPr>
                <w:rFonts w:ascii="宋体" w:hAnsi="宋体" w:eastAsia="宋体" w:cs="宋体"/>
                <w:spacing w:val="1"/>
                <w:sz w:val="21"/>
                <w:szCs w:val="21"/>
              </w:rPr>
              <w:t>况，制定完善下列主要安全生产</w:t>
            </w:r>
            <w:r>
              <w:rPr>
                <w:rFonts w:ascii="宋体" w:hAnsi="宋体" w:eastAsia="宋体" w:cs="宋体"/>
                <w:spacing w:val="24"/>
                <w:sz w:val="21"/>
                <w:szCs w:val="21"/>
              </w:rPr>
              <w:t>规章制度：</w:t>
            </w:r>
          </w:p>
          <w:p w14:paraId="0CAC8B4A">
            <w:pPr>
              <w:spacing w:before="58" w:line="245" w:lineRule="auto"/>
              <w:ind w:left="121" w:firstLine="589"/>
              <w:rPr>
                <w:rFonts w:ascii="宋体" w:hAnsi="宋体" w:eastAsia="宋体" w:cs="宋体"/>
                <w:sz w:val="21"/>
                <w:szCs w:val="21"/>
              </w:rPr>
            </w:pPr>
            <w:r>
              <w:rPr>
                <w:rFonts w:ascii="宋体" w:hAnsi="宋体" w:eastAsia="宋体" w:cs="宋体"/>
                <w:spacing w:val="11"/>
                <w:sz w:val="21"/>
                <w:szCs w:val="21"/>
              </w:rPr>
              <w:t>(十四)动火、进入受限空间、吊装、高处、盲板抽堵、动</w:t>
            </w:r>
            <w:r>
              <w:rPr>
                <w:rFonts w:ascii="宋体" w:hAnsi="宋体" w:eastAsia="宋体" w:cs="宋体"/>
                <w:spacing w:val="10"/>
                <w:sz w:val="21"/>
                <w:szCs w:val="21"/>
              </w:rPr>
              <w:t>土、断路、设备检维修等作业安</w:t>
            </w:r>
            <w:r>
              <w:rPr>
                <w:rFonts w:ascii="宋体" w:hAnsi="宋体" w:eastAsia="宋体" w:cs="宋体"/>
                <w:spacing w:val="29"/>
                <w:sz w:val="21"/>
                <w:szCs w:val="21"/>
              </w:rPr>
              <w:t>全管理制度。</w:t>
            </w:r>
          </w:p>
          <w:p w14:paraId="51553774">
            <w:pPr>
              <w:spacing w:before="57" w:line="238" w:lineRule="auto"/>
              <w:ind w:left="121" w:right="44" w:firstLine="450"/>
              <w:rPr>
                <w:rFonts w:ascii="宋体" w:hAnsi="宋体" w:eastAsia="宋体" w:cs="宋体"/>
                <w:sz w:val="21"/>
                <w:szCs w:val="21"/>
              </w:rPr>
            </w:pPr>
            <w:r>
              <w:rPr>
                <w:rFonts w:ascii="宋体" w:hAnsi="宋体" w:eastAsia="宋体" w:cs="宋体"/>
                <w:spacing w:val="-1"/>
                <w:sz w:val="21"/>
                <w:szCs w:val="21"/>
              </w:rPr>
              <w:t>3.《化工和危险化学品生产</w:t>
            </w:r>
            <w:r>
              <w:rPr>
                <w:rFonts w:ascii="宋体" w:hAnsi="宋体" w:eastAsia="宋体" w:cs="宋体"/>
                <w:spacing w:val="20"/>
                <w:sz w:val="21"/>
                <w:szCs w:val="21"/>
              </w:rPr>
              <w:t>经营单位重大生产安全事故隐</w:t>
            </w:r>
            <w:r>
              <w:rPr>
                <w:rFonts w:ascii="宋体" w:hAnsi="宋体" w:eastAsia="宋体" w:cs="宋体"/>
                <w:spacing w:val="27"/>
                <w:sz w:val="21"/>
                <w:szCs w:val="21"/>
              </w:rPr>
              <w:t>患判定标准(试行)》(安监总</w:t>
            </w:r>
          </w:p>
        </w:tc>
        <w:tc>
          <w:tcPr>
            <w:tcW w:w="2304" w:type="dxa"/>
            <w:noWrap w:val="0"/>
            <w:vAlign w:val="top"/>
          </w:tcPr>
          <w:p w14:paraId="1B9AAAB2">
            <w:pPr>
              <w:rPr>
                <w:rFonts w:ascii="Arial"/>
                <w:sz w:val="21"/>
                <w:szCs w:val="21"/>
              </w:rPr>
            </w:pPr>
          </w:p>
        </w:tc>
        <w:tc>
          <w:tcPr>
            <w:tcW w:w="3016" w:type="dxa"/>
            <w:noWrap w:val="0"/>
            <w:vAlign w:val="top"/>
          </w:tcPr>
          <w:p w14:paraId="5D64632F">
            <w:pPr>
              <w:spacing w:line="257" w:lineRule="auto"/>
              <w:rPr>
                <w:rFonts w:ascii="Arial"/>
                <w:sz w:val="21"/>
                <w:szCs w:val="21"/>
              </w:rPr>
            </w:pPr>
          </w:p>
          <w:p w14:paraId="2201AE3A">
            <w:pPr>
              <w:spacing w:line="258" w:lineRule="auto"/>
              <w:rPr>
                <w:rFonts w:ascii="Arial"/>
                <w:sz w:val="21"/>
                <w:szCs w:val="21"/>
              </w:rPr>
            </w:pPr>
          </w:p>
          <w:p w14:paraId="1AD62BB4">
            <w:pPr>
              <w:spacing w:line="258" w:lineRule="auto"/>
              <w:rPr>
                <w:rFonts w:ascii="Arial"/>
                <w:sz w:val="21"/>
                <w:szCs w:val="21"/>
              </w:rPr>
            </w:pPr>
          </w:p>
          <w:p w14:paraId="5A849FEF">
            <w:pPr>
              <w:spacing w:line="258" w:lineRule="auto"/>
              <w:rPr>
                <w:rFonts w:ascii="Arial"/>
                <w:sz w:val="21"/>
                <w:szCs w:val="21"/>
              </w:rPr>
            </w:pPr>
          </w:p>
          <w:p w14:paraId="381A3917">
            <w:pPr>
              <w:spacing w:line="258" w:lineRule="auto"/>
              <w:rPr>
                <w:rFonts w:ascii="Arial"/>
                <w:sz w:val="21"/>
                <w:szCs w:val="21"/>
              </w:rPr>
            </w:pPr>
          </w:p>
          <w:p w14:paraId="10F90C98">
            <w:pPr>
              <w:spacing w:before="75" w:line="254" w:lineRule="auto"/>
              <w:ind w:left="126" w:firstLine="450"/>
              <w:jc w:val="both"/>
              <w:rPr>
                <w:rFonts w:ascii="宋体" w:hAnsi="宋体" w:eastAsia="宋体" w:cs="宋体"/>
                <w:sz w:val="21"/>
                <w:szCs w:val="21"/>
              </w:rPr>
            </w:pPr>
            <w:r>
              <w:rPr>
                <w:rFonts w:ascii="宋体" w:hAnsi="宋体" w:eastAsia="宋体" w:cs="宋体"/>
                <w:spacing w:val="31"/>
                <w:sz w:val="21"/>
                <w:szCs w:val="21"/>
              </w:rPr>
              <w:t>《中华人民共和国</w:t>
            </w:r>
            <w:r>
              <w:rPr>
                <w:rFonts w:ascii="宋体" w:hAnsi="宋体" w:eastAsia="宋体" w:cs="宋体"/>
                <w:spacing w:val="6"/>
                <w:sz w:val="21"/>
                <w:szCs w:val="21"/>
              </w:rPr>
              <w:t>安全生产法》第一百零二</w:t>
            </w:r>
            <w:r>
              <w:rPr>
                <w:rFonts w:ascii="宋体" w:hAnsi="宋体" w:eastAsia="宋体" w:cs="宋体"/>
                <w:spacing w:val="19"/>
                <w:sz w:val="21"/>
                <w:szCs w:val="21"/>
              </w:rPr>
              <w:t>条生产经营单位未采</w:t>
            </w:r>
            <w:r>
              <w:rPr>
                <w:rFonts w:ascii="宋体" w:hAnsi="宋体" w:eastAsia="宋体" w:cs="宋体"/>
                <w:spacing w:val="15"/>
                <w:sz w:val="21"/>
                <w:szCs w:val="21"/>
              </w:rPr>
              <w:t>取措施消除事故隐患的，</w:t>
            </w:r>
            <w:r>
              <w:rPr>
                <w:rFonts w:ascii="宋体" w:hAnsi="宋体" w:eastAsia="宋体" w:cs="宋体"/>
                <w:spacing w:val="24"/>
                <w:sz w:val="21"/>
                <w:szCs w:val="21"/>
              </w:rPr>
              <w:t>责令立即消除或者限期</w:t>
            </w:r>
            <w:r>
              <w:rPr>
                <w:rFonts w:ascii="宋体" w:hAnsi="宋体" w:eastAsia="宋体" w:cs="宋体"/>
                <w:spacing w:val="7"/>
                <w:sz w:val="21"/>
                <w:szCs w:val="21"/>
              </w:rPr>
              <w:t>消除，处五万元以下的罚</w:t>
            </w:r>
            <w:r>
              <w:rPr>
                <w:rFonts w:ascii="宋体" w:hAnsi="宋体" w:eastAsia="宋体" w:cs="宋体"/>
                <w:spacing w:val="5"/>
                <w:sz w:val="21"/>
                <w:szCs w:val="21"/>
              </w:rPr>
              <w:t>款；生产经营单位拒不执</w:t>
            </w:r>
            <w:r>
              <w:rPr>
                <w:rFonts w:ascii="宋体" w:hAnsi="宋体" w:eastAsia="宋体" w:cs="宋体"/>
                <w:spacing w:val="25"/>
                <w:sz w:val="21"/>
                <w:szCs w:val="21"/>
              </w:rPr>
              <w:t>行的，责令停产停业整</w:t>
            </w:r>
            <w:r>
              <w:rPr>
                <w:rFonts w:ascii="宋体" w:hAnsi="宋体" w:eastAsia="宋体" w:cs="宋体"/>
                <w:spacing w:val="6"/>
                <w:sz w:val="21"/>
                <w:szCs w:val="21"/>
              </w:rPr>
              <w:t>顿，对其直接负责的主管</w:t>
            </w:r>
            <w:r>
              <w:rPr>
                <w:rFonts w:ascii="宋体" w:hAnsi="宋体" w:eastAsia="宋体" w:cs="宋体"/>
                <w:spacing w:val="25"/>
                <w:sz w:val="21"/>
                <w:szCs w:val="21"/>
              </w:rPr>
              <w:t>人员和其他直接责任人员处五万元以上十万元以下的罚款；构成犯罪</w:t>
            </w:r>
            <w:r>
              <w:rPr>
                <w:rFonts w:ascii="宋体" w:hAnsi="宋体" w:eastAsia="宋体" w:cs="宋体"/>
                <w:spacing w:val="5"/>
                <w:sz w:val="21"/>
                <w:szCs w:val="21"/>
              </w:rPr>
              <w:t>的，依照刑法有关规定追</w:t>
            </w:r>
            <w:r>
              <w:rPr>
                <w:rFonts w:ascii="宋体" w:hAnsi="宋体" w:eastAsia="宋体" w:cs="宋体"/>
                <w:spacing w:val="24"/>
                <w:sz w:val="21"/>
                <w:szCs w:val="21"/>
              </w:rPr>
              <w:t>究刑事责任。</w:t>
            </w:r>
          </w:p>
        </w:tc>
        <w:tc>
          <w:tcPr>
            <w:tcW w:w="1066" w:type="dxa"/>
            <w:noWrap w:val="0"/>
            <w:vAlign w:val="top"/>
          </w:tcPr>
          <w:p w14:paraId="1CEAC88A">
            <w:pPr>
              <w:spacing w:line="243" w:lineRule="auto"/>
              <w:rPr>
                <w:rFonts w:ascii="Arial"/>
                <w:sz w:val="21"/>
                <w:szCs w:val="21"/>
              </w:rPr>
            </w:pPr>
          </w:p>
          <w:p w14:paraId="2305F8CE">
            <w:pPr>
              <w:spacing w:line="243" w:lineRule="auto"/>
              <w:rPr>
                <w:rFonts w:ascii="Arial"/>
                <w:sz w:val="21"/>
                <w:szCs w:val="21"/>
              </w:rPr>
            </w:pPr>
          </w:p>
          <w:p w14:paraId="37FEA76C">
            <w:pPr>
              <w:spacing w:line="243" w:lineRule="auto"/>
              <w:rPr>
                <w:rFonts w:ascii="Arial"/>
                <w:sz w:val="21"/>
                <w:szCs w:val="21"/>
              </w:rPr>
            </w:pPr>
          </w:p>
          <w:p w14:paraId="7D9C72E7">
            <w:pPr>
              <w:spacing w:line="243" w:lineRule="auto"/>
              <w:rPr>
                <w:rFonts w:ascii="Arial"/>
                <w:sz w:val="21"/>
                <w:szCs w:val="21"/>
              </w:rPr>
            </w:pPr>
          </w:p>
          <w:p w14:paraId="2CA13F33">
            <w:pPr>
              <w:spacing w:line="243" w:lineRule="auto"/>
              <w:rPr>
                <w:rFonts w:ascii="Arial"/>
                <w:sz w:val="21"/>
                <w:szCs w:val="21"/>
              </w:rPr>
            </w:pPr>
          </w:p>
          <w:p w14:paraId="584037A8">
            <w:pPr>
              <w:spacing w:line="243" w:lineRule="auto"/>
              <w:rPr>
                <w:rFonts w:ascii="Arial"/>
                <w:sz w:val="21"/>
                <w:szCs w:val="21"/>
              </w:rPr>
            </w:pPr>
          </w:p>
          <w:p w14:paraId="673A73BF">
            <w:pPr>
              <w:spacing w:line="243" w:lineRule="auto"/>
              <w:rPr>
                <w:rFonts w:ascii="Arial"/>
                <w:sz w:val="21"/>
                <w:szCs w:val="21"/>
              </w:rPr>
            </w:pPr>
          </w:p>
          <w:p w14:paraId="11957B79">
            <w:pPr>
              <w:spacing w:line="243" w:lineRule="auto"/>
              <w:rPr>
                <w:rFonts w:ascii="Arial"/>
                <w:sz w:val="21"/>
                <w:szCs w:val="21"/>
              </w:rPr>
            </w:pPr>
          </w:p>
          <w:p w14:paraId="08B2B83F">
            <w:pPr>
              <w:spacing w:line="244" w:lineRule="auto"/>
              <w:rPr>
                <w:rFonts w:ascii="Arial"/>
                <w:sz w:val="21"/>
                <w:szCs w:val="21"/>
              </w:rPr>
            </w:pPr>
          </w:p>
          <w:p w14:paraId="313EDB15">
            <w:pPr>
              <w:spacing w:line="244" w:lineRule="auto"/>
              <w:rPr>
                <w:rFonts w:ascii="Arial"/>
                <w:sz w:val="21"/>
                <w:szCs w:val="21"/>
              </w:rPr>
            </w:pPr>
          </w:p>
          <w:p w14:paraId="00DC7786">
            <w:pPr>
              <w:spacing w:line="244" w:lineRule="auto"/>
              <w:rPr>
                <w:rFonts w:ascii="Arial"/>
                <w:sz w:val="21"/>
                <w:szCs w:val="21"/>
              </w:rPr>
            </w:pPr>
          </w:p>
          <w:p w14:paraId="2E30ECFE">
            <w:pPr>
              <w:spacing w:line="244" w:lineRule="auto"/>
              <w:rPr>
                <w:rFonts w:ascii="Arial"/>
                <w:sz w:val="21"/>
                <w:szCs w:val="21"/>
              </w:rPr>
            </w:pPr>
          </w:p>
          <w:p w14:paraId="6E4934DC">
            <w:pPr>
              <w:spacing w:line="244" w:lineRule="auto"/>
              <w:rPr>
                <w:rFonts w:ascii="Arial"/>
                <w:sz w:val="21"/>
                <w:szCs w:val="21"/>
              </w:rPr>
            </w:pPr>
          </w:p>
          <w:p w14:paraId="27B964E5">
            <w:pPr>
              <w:spacing w:before="78" w:line="232" w:lineRule="auto"/>
              <w:ind w:left="99" w:right="150"/>
              <w:rPr>
                <w:rFonts w:ascii="宋体" w:hAnsi="宋体" w:eastAsia="宋体" w:cs="宋体"/>
                <w:sz w:val="21"/>
                <w:szCs w:val="21"/>
              </w:rPr>
            </w:pPr>
            <w:r>
              <w:rPr>
                <w:rFonts w:ascii="宋体" w:hAnsi="宋体" w:eastAsia="宋体" w:cs="宋体"/>
                <w:spacing w:val="6"/>
                <w:sz w:val="21"/>
                <w:szCs w:val="21"/>
              </w:rPr>
              <w:t>重大隐患</w:t>
            </w:r>
            <w:r>
              <w:rPr>
                <w:rFonts w:ascii="宋体" w:hAnsi="宋体" w:eastAsia="宋体" w:cs="宋体"/>
                <w:spacing w:val="4"/>
                <w:sz w:val="21"/>
                <w:szCs w:val="21"/>
              </w:rPr>
              <w:t>管理</w:t>
            </w:r>
          </w:p>
        </w:tc>
      </w:tr>
    </w:tbl>
    <w:p w14:paraId="747145C3">
      <w:pPr>
        <w:rPr>
          <w:rFonts w:ascii="Arial"/>
          <w:sz w:val="21"/>
        </w:rPr>
      </w:pPr>
    </w:p>
    <w:p w14:paraId="06BC71CA">
      <w:pPr>
        <w:sectPr>
          <w:pgSz w:w="16840" w:h="11900"/>
          <w:pgMar w:top="1440" w:right="1080" w:bottom="1440" w:left="1080" w:header="0" w:footer="0" w:gutter="0"/>
          <w:pgNumType w:fmt="decimal"/>
          <w:cols w:space="720" w:num="1"/>
        </w:sectPr>
      </w:pPr>
    </w:p>
    <w:p w14:paraId="5A7E16AF"/>
    <w:p w14:paraId="4FDCA5A6"/>
    <w:p w14:paraId="08190F14">
      <w:pPr>
        <w:spacing w:line="240" w:lineRule="exact"/>
      </w:pP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4"/>
        <w:gridCol w:w="2228"/>
        <w:gridCol w:w="3993"/>
        <w:gridCol w:w="2372"/>
        <w:gridCol w:w="2838"/>
        <w:gridCol w:w="1254"/>
      </w:tblGrid>
      <w:tr w14:paraId="03A3F5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jc w:val="center"/>
        </w:trPr>
        <w:tc>
          <w:tcPr>
            <w:tcW w:w="864" w:type="dxa"/>
            <w:noWrap w:val="0"/>
            <w:vAlign w:val="top"/>
          </w:tcPr>
          <w:p w14:paraId="6555E095">
            <w:pPr>
              <w:spacing w:before="222" w:line="221" w:lineRule="auto"/>
              <w:ind w:left="188"/>
              <w:rPr>
                <w:rFonts w:ascii="宋体" w:hAnsi="宋体" w:eastAsia="宋体" w:cs="宋体"/>
                <w:b/>
                <w:bCs/>
                <w:sz w:val="24"/>
                <w:szCs w:val="24"/>
              </w:rPr>
            </w:pPr>
            <w:r>
              <w:rPr>
                <w:rFonts w:ascii="宋体" w:hAnsi="宋体" w:eastAsia="宋体" w:cs="宋体"/>
                <w:b/>
                <w:bCs/>
                <w:spacing w:val="-5"/>
                <w:sz w:val="24"/>
                <w:szCs w:val="24"/>
              </w:rPr>
              <w:t>序号</w:t>
            </w:r>
          </w:p>
        </w:tc>
        <w:tc>
          <w:tcPr>
            <w:tcW w:w="2228" w:type="dxa"/>
            <w:noWrap w:val="0"/>
            <w:vAlign w:val="top"/>
          </w:tcPr>
          <w:p w14:paraId="235FECAA">
            <w:pPr>
              <w:spacing w:before="85" w:line="219" w:lineRule="auto"/>
              <w:ind w:left="621"/>
              <w:rPr>
                <w:rFonts w:ascii="宋体" w:hAnsi="宋体" w:eastAsia="宋体" w:cs="宋体"/>
                <w:b/>
                <w:bCs/>
                <w:sz w:val="24"/>
                <w:szCs w:val="24"/>
              </w:rPr>
            </w:pPr>
            <w:r>
              <w:rPr>
                <w:rFonts w:ascii="宋体" w:hAnsi="宋体" w:eastAsia="宋体" w:cs="宋体"/>
                <w:b/>
                <w:bCs/>
                <w:spacing w:val="3"/>
                <w:sz w:val="24"/>
                <w:szCs w:val="24"/>
              </w:rPr>
              <w:t>执法检查</w:t>
            </w:r>
          </w:p>
          <w:p w14:paraId="691D9511">
            <w:pPr>
              <w:spacing w:before="54" w:line="200" w:lineRule="auto"/>
              <w:ind w:left="380"/>
              <w:rPr>
                <w:rFonts w:ascii="宋体" w:hAnsi="宋体" w:eastAsia="宋体" w:cs="宋体"/>
                <w:b/>
                <w:bCs/>
                <w:sz w:val="24"/>
                <w:szCs w:val="24"/>
              </w:rPr>
            </w:pPr>
            <w:r>
              <w:rPr>
                <w:rFonts w:ascii="宋体" w:hAnsi="宋体" w:eastAsia="宋体" w:cs="宋体"/>
                <w:b/>
                <w:bCs/>
                <w:spacing w:val="2"/>
                <w:sz w:val="24"/>
                <w:szCs w:val="24"/>
              </w:rPr>
              <w:t>重点事项内容</w:t>
            </w:r>
          </w:p>
        </w:tc>
        <w:tc>
          <w:tcPr>
            <w:tcW w:w="3993" w:type="dxa"/>
            <w:noWrap w:val="0"/>
            <w:vAlign w:val="top"/>
          </w:tcPr>
          <w:p w14:paraId="0C5D2031">
            <w:pPr>
              <w:spacing w:before="223" w:line="219" w:lineRule="auto"/>
              <w:ind w:left="1062"/>
              <w:rPr>
                <w:rFonts w:ascii="宋体" w:hAnsi="宋体" w:eastAsia="宋体" w:cs="宋体"/>
                <w:b/>
                <w:bCs/>
                <w:sz w:val="24"/>
                <w:szCs w:val="24"/>
              </w:rPr>
            </w:pPr>
            <w:r>
              <w:rPr>
                <w:rFonts w:ascii="宋体" w:hAnsi="宋体" w:eastAsia="宋体" w:cs="宋体"/>
                <w:b/>
                <w:bCs/>
                <w:spacing w:val="2"/>
                <w:sz w:val="24"/>
                <w:szCs w:val="24"/>
              </w:rPr>
              <w:t>执法检查依据</w:t>
            </w:r>
          </w:p>
        </w:tc>
        <w:tc>
          <w:tcPr>
            <w:tcW w:w="2372" w:type="dxa"/>
            <w:noWrap w:val="0"/>
            <w:vAlign w:val="top"/>
          </w:tcPr>
          <w:p w14:paraId="261B91C4">
            <w:pPr>
              <w:spacing w:before="65" w:line="220" w:lineRule="auto"/>
              <w:ind w:left="825"/>
              <w:rPr>
                <w:rFonts w:ascii="宋体" w:hAnsi="宋体" w:eastAsia="宋体" w:cs="宋体"/>
                <w:b/>
                <w:bCs/>
                <w:sz w:val="24"/>
                <w:szCs w:val="24"/>
              </w:rPr>
            </w:pPr>
            <w:r>
              <w:rPr>
                <w:rFonts w:ascii="宋体" w:hAnsi="宋体" w:eastAsia="宋体" w:cs="宋体"/>
                <w:b/>
                <w:bCs/>
                <w:spacing w:val="-2"/>
                <w:sz w:val="24"/>
                <w:szCs w:val="24"/>
              </w:rPr>
              <w:t>有关规范性</w:t>
            </w:r>
          </w:p>
          <w:p w14:paraId="2649DB64">
            <w:pPr>
              <w:spacing w:before="69" w:line="202" w:lineRule="auto"/>
              <w:ind w:left="589"/>
              <w:rPr>
                <w:rFonts w:ascii="宋体" w:hAnsi="宋体" w:eastAsia="宋体" w:cs="宋体"/>
                <w:b/>
                <w:bCs/>
                <w:sz w:val="24"/>
                <w:szCs w:val="24"/>
              </w:rPr>
            </w:pPr>
            <w:r>
              <w:rPr>
                <w:rFonts w:ascii="宋体" w:hAnsi="宋体" w:eastAsia="宋体" w:cs="宋体"/>
                <w:b/>
                <w:bCs/>
                <w:spacing w:val="-4"/>
                <w:sz w:val="24"/>
                <w:szCs w:val="24"/>
              </w:rPr>
              <w:t>文件及标准要求</w:t>
            </w:r>
          </w:p>
        </w:tc>
        <w:tc>
          <w:tcPr>
            <w:tcW w:w="2838" w:type="dxa"/>
            <w:noWrap w:val="0"/>
            <w:vAlign w:val="top"/>
          </w:tcPr>
          <w:p w14:paraId="5236F169">
            <w:pPr>
              <w:spacing w:before="223" w:line="219" w:lineRule="auto"/>
              <w:ind w:left="968"/>
              <w:rPr>
                <w:rFonts w:ascii="宋体" w:hAnsi="宋体" w:eastAsia="宋体" w:cs="宋体"/>
                <w:b/>
                <w:bCs/>
                <w:sz w:val="24"/>
                <w:szCs w:val="24"/>
              </w:rPr>
            </w:pPr>
            <w:r>
              <w:rPr>
                <w:rFonts w:ascii="宋体" w:hAnsi="宋体" w:eastAsia="宋体" w:cs="宋体"/>
                <w:b/>
                <w:bCs/>
                <w:spacing w:val="8"/>
                <w:sz w:val="24"/>
                <w:szCs w:val="24"/>
              </w:rPr>
              <w:t>处罚依据</w:t>
            </w:r>
          </w:p>
        </w:tc>
        <w:tc>
          <w:tcPr>
            <w:tcW w:w="1254" w:type="dxa"/>
            <w:noWrap w:val="0"/>
            <w:vAlign w:val="top"/>
          </w:tcPr>
          <w:p w14:paraId="4B23F9C6">
            <w:pPr>
              <w:spacing w:before="222" w:line="221" w:lineRule="auto"/>
              <w:ind w:left="153"/>
              <w:rPr>
                <w:rFonts w:ascii="宋体" w:hAnsi="宋体" w:eastAsia="宋体" w:cs="宋体"/>
                <w:b/>
                <w:bCs/>
                <w:sz w:val="24"/>
                <w:szCs w:val="24"/>
              </w:rPr>
            </w:pPr>
            <w:r>
              <w:rPr>
                <w:rFonts w:ascii="宋体" w:hAnsi="宋体" w:eastAsia="宋体" w:cs="宋体"/>
                <w:b/>
                <w:bCs/>
                <w:spacing w:val="-6"/>
                <w:sz w:val="24"/>
                <w:szCs w:val="24"/>
              </w:rPr>
              <w:t>备注</w:t>
            </w:r>
          </w:p>
        </w:tc>
      </w:tr>
      <w:tr w14:paraId="361A1D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5" w:hRule="atLeast"/>
          <w:jc w:val="center"/>
        </w:trPr>
        <w:tc>
          <w:tcPr>
            <w:tcW w:w="864" w:type="dxa"/>
            <w:noWrap w:val="0"/>
            <w:vAlign w:val="top"/>
          </w:tcPr>
          <w:p w14:paraId="3FE34D99">
            <w:pPr>
              <w:rPr>
                <w:rFonts w:ascii="Arial"/>
                <w:sz w:val="21"/>
              </w:rPr>
            </w:pPr>
          </w:p>
        </w:tc>
        <w:tc>
          <w:tcPr>
            <w:tcW w:w="2228" w:type="dxa"/>
            <w:noWrap w:val="0"/>
            <w:vAlign w:val="top"/>
          </w:tcPr>
          <w:p w14:paraId="39808DD4">
            <w:pPr>
              <w:rPr>
                <w:rFonts w:ascii="Arial"/>
                <w:sz w:val="21"/>
                <w:szCs w:val="21"/>
              </w:rPr>
            </w:pPr>
          </w:p>
        </w:tc>
        <w:tc>
          <w:tcPr>
            <w:tcW w:w="3993" w:type="dxa"/>
            <w:noWrap w:val="0"/>
            <w:vAlign w:val="top"/>
          </w:tcPr>
          <w:p w14:paraId="61D1C3BF">
            <w:pPr>
              <w:spacing w:before="102" w:line="245" w:lineRule="auto"/>
              <w:ind w:left="143"/>
              <w:jc w:val="both"/>
              <w:rPr>
                <w:rFonts w:ascii="宋体" w:hAnsi="宋体" w:eastAsia="宋体" w:cs="宋体"/>
                <w:sz w:val="21"/>
                <w:szCs w:val="21"/>
              </w:rPr>
            </w:pPr>
            <w:r>
              <w:rPr>
                <w:rFonts w:ascii="宋体" w:hAnsi="宋体" w:eastAsia="宋体" w:cs="宋体"/>
                <w:spacing w:val="10"/>
                <w:sz w:val="21"/>
                <w:szCs w:val="21"/>
              </w:rPr>
              <w:t>管三〔2017〕121号)第十八条</w:t>
            </w:r>
            <w:r>
              <w:rPr>
                <w:rFonts w:ascii="宋体" w:hAnsi="宋体" w:eastAsia="宋体" w:cs="宋体"/>
                <w:spacing w:val="1"/>
                <w:sz w:val="21"/>
                <w:szCs w:val="21"/>
              </w:rPr>
              <w:t>未按照国家标准制定动火、进入</w:t>
            </w:r>
            <w:r>
              <w:rPr>
                <w:rFonts w:ascii="宋体" w:hAnsi="宋体" w:eastAsia="宋体" w:cs="宋体"/>
                <w:spacing w:val="8"/>
                <w:sz w:val="21"/>
                <w:szCs w:val="21"/>
              </w:rPr>
              <w:t>受限空间等特殊作业管理制度，</w:t>
            </w:r>
            <w:r>
              <w:rPr>
                <w:rFonts w:ascii="宋体" w:hAnsi="宋体" w:eastAsia="宋体" w:cs="宋体"/>
                <w:spacing w:val="13"/>
                <w:sz w:val="21"/>
                <w:szCs w:val="21"/>
              </w:rPr>
              <w:t>或者制度未有效执行。</w:t>
            </w:r>
          </w:p>
          <w:p w14:paraId="4BB4FA51">
            <w:pPr>
              <w:spacing w:before="56" w:line="251" w:lineRule="auto"/>
              <w:ind w:left="143" w:firstLine="458"/>
              <w:jc w:val="both"/>
              <w:rPr>
                <w:rFonts w:ascii="宋体" w:hAnsi="宋体" w:eastAsia="宋体" w:cs="宋体"/>
                <w:sz w:val="21"/>
                <w:szCs w:val="21"/>
              </w:rPr>
            </w:pPr>
            <w:r>
              <w:rPr>
                <w:rFonts w:ascii="宋体" w:hAnsi="宋体" w:eastAsia="宋体" w:cs="宋体"/>
                <w:spacing w:val="-2"/>
                <w:sz w:val="21"/>
                <w:szCs w:val="21"/>
              </w:rPr>
              <w:t>4.《危险化学品企业特殊作</w:t>
            </w:r>
            <w:r>
              <w:rPr>
                <w:rFonts w:ascii="宋体" w:hAnsi="宋体" w:eastAsia="宋体" w:cs="宋体"/>
                <w:spacing w:val="10"/>
                <w:sz w:val="21"/>
                <w:szCs w:val="21"/>
              </w:rPr>
              <w:t>业安全规范》(</w:t>
            </w:r>
            <w:r>
              <w:rPr>
                <w:rFonts w:ascii="宋体" w:hAnsi="宋体" w:eastAsia="宋体" w:cs="宋体"/>
                <w:sz w:val="21"/>
                <w:szCs w:val="21"/>
              </w:rPr>
              <w:t>GB</w:t>
            </w:r>
            <w:r>
              <w:rPr>
                <w:rFonts w:ascii="宋体" w:hAnsi="宋体" w:eastAsia="宋体" w:cs="宋体"/>
                <w:spacing w:val="39"/>
                <w:sz w:val="21"/>
                <w:szCs w:val="21"/>
              </w:rPr>
              <w:t xml:space="preserve"> </w:t>
            </w:r>
            <w:r>
              <w:rPr>
                <w:rFonts w:ascii="宋体" w:hAnsi="宋体" w:eastAsia="宋体" w:cs="宋体"/>
                <w:spacing w:val="10"/>
                <w:sz w:val="21"/>
                <w:szCs w:val="21"/>
              </w:rPr>
              <w:t>30871-2022)4.6作业前，危险化学品企业</w:t>
            </w:r>
            <w:r>
              <w:rPr>
                <w:rFonts w:ascii="宋体" w:hAnsi="宋体" w:eastAsia="宋体" w:cs="宋体"/>
                <w:spacing w:val="8"/>
                <w:sz w:val="21"/>
                <w:szCs w:val="21"/>
              </w:rPr>
              <w:t>应组织办理作业审批手续，并由</w:t>
            </w:r>
            <w:r>
              <w:rPr>
                <w:rFonts w:ascii="宋体" w:hAnsi="宋体" w:eastAsia="宋体" w:cs="宋体"/>
                <w:spacing w:val="18"/>
                <w:sz w:val="21"/>
                <w:szCs w:val="21"/>
              </w:rPr>
              <w:t>相关责任人签字审批。4.10作</w:t>
            </w:r>
            <w:r>
              <w:rPr>
                <w:rFonts w:ascii="宋体" w:hAnsi="宋体" w:eastAsia="宋体" w:cs="宋体"/>
                <w:spacing w:val="9"/>
                <w:sz w:val="21"/>
                <w:szCs w:val="21"/>
              </w:rPr>
              <w:t>业期间应设监护人。5.3.1动</w:t>
            </w:r>
            <w:r>
              <w:rPr>
                <w:rFonts w:ascii="宋体" w:hAnsi="宋体" w:eastAsia="宋体" w:cs="宋体"/>
                <w:spacing w:val="12"/>
                <w:sz w:val="21"/>
                <w:szCs w:val="21"/>
              </w:rPr>
              <w:t>火作业前应进行气体分析。6.3</w:t>
            </w:r>
            <w:r>
              <w:rPr>
                <w:rFonts w:ascii="宋体" w:hAnsi="宋体" w:eastAsia="宋体" w:cs="宋体"/>
                <w:spacing w:val="8"/>
                <w:sz w:val="21"/>
                <w:szCs w:val="21"/>
              </w:rPr>
              <w:t>作业前，应确保受限空间内的气</w:t>
            </w:r>
            <w:r>
              <w:rPr>
                <w:rFonts w:ascii="宋体" w:hAnsi="宋体" w:eastAsia="宋体" w:cs="宋体"/>
                <w:spacing w:val="21"/>
                <w:sz w:val="21"/>
                <w:szCs w:val="21"/>
              </w:rPr>
              <w:t>体环境满足作业要求。</w:t>
            </w:r>
          </w:p>
        </w:tc>
        <w:tc>
          <w:tcPr>
            <w:tcW w:w="2372" w:type="dxa"/>
            <w:noWrap w:val="0"/>
            <w:vAlign w:val="top"/>
          </w:tcPr>
          <w:p w14:paraId="17336CA3">
            <w:pPr>
              <w:rPr>
                <w:rFonts w:ascii="Arial"/>
                <w:sz w:val="21"/>
                <w:szCs w:val="21"/>
              </w:rPr>
            </w:pPr>
          </w:p>
        </w:tc>
        <w:tc>
          <w:tcPr>
            <w:tcW w:w="2838" w:type="dxa"/>
            <w:noWrap w:val="0"/>
            <w:vAlign w:val="top"/>
          </w:tcPr>
          <w:p w14:paraId="78769525">
            <w:pPr>
              <w:rPr>
                <w:rFonts w:ascii="Arial"/>
                <w:sz w:val="21"/>
                <w:szCs w:val="21"/>
              </w:rPr>
            </w:pPr>
          </w:p>
        </w:tc>
        <w:tc>
          <w:tcPr>
            <w:tcW w:w="1254" w:type="dxa"/>
            <w:noWrap w:val="0"/>
            <w:vAlign w:val="top"/>
          </w:tcPr>
          <w:p w14:paraId="19DD1B1A">
            <w:pPr>
              <w:rPr>
                <w:rFonts w:ascii="Arial"/>
                <w:sz w:val="21"/>
                <w:szCs w:val="21"/>
              </w:rPr>
            </w:pPr>
          </w:p>
        </w:tc>
      </w:tr>
      <w:tr w14:paraId="0A06CC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5" w:hRule="atLeast"/>
          <w:jc w:val="center"/>
        </w:trPr>
        <w:tc>
          <w:tcPr>
            <w:tcW w:w="864" w:type="dxa"/>
            <w:noWrap w:val="0"/>
            <w:vAlign w:val="top"/>
          </w:tcPr>
          <w:p w14:paraId="104B1846">
            <w:pPr>
              <w:spacing w:line="245" w:lineRule="auto"/>
              <w:rPr>
                <w:rFonts w:ascii="Arial"/>
                <w:sz w:val="21"/>
              </w:rPr>
            </w:pPr>
          </w:p>
          <w:p w14:paraId="75C58D7A">
            <w:pPr>
              <w:spacing w:line="245" w:lineRule="auto"/>
              <w:rPr>
                <w:rFonts w:ascii="Arial"/>
                <w:sz w:val="21"/>
              </w:rPr>
            </w:pPr>
          </w:p>
          <w:p w14:paraId="71969A8D">
            <w:pPr>
              <w:spacing w:line="245" w:lineRule="auto"/>
              <w:rPr>
                <w:rFonts w:ascii="Arial"/>
                <w:sz w:val="21"/>
              </w:rPr>
            </w:pPr>
          </w:p>
          <w:p w14:paraId="04173C02">
            <w:pPr>
              <w:spacing w:line="245" w:lineRule="auto"/>
              <w:rPr>
                <w:rFonts w:ascii="Arial"/>
                <w:sz w:val="21"/>
              </w:rPr>
            </w:pPr>
          </w:p>
          <w:p w14:paraId="17D88B90">
            <w:pPr>
              <w:spacing w:line="245" w:lineRule="auto"/>
              <w:rPr>
                <w:rFonts w:ascii="Arial"/>
                <w:sz w:val="21"/>
              </w:rPr>
            </w:pPr>
          </w:p>
          <w:p w14:paraId="653A672D">
            <w:pPr>
              <w:spacing w:line="245" w:lineRule="auto"/>
              <w:rPr>
                <w:rFonts w:ascii="Arial"/>
                <w:sz w:val="21"/>
              </w:rPr>
            </w:pPr>
          </w:p>
          <w:p w14:paraId="5DA1C429">
            <w:pPr>
              <w:spacing w:before="78" w:line="183" w:lineRule="auto"/>
              <w:ind w:left="305"/>
              <w:rPr>
                <w:rFonts w:ascii="宋体" w:hAnsi="宋体" w:eastAsia="宋体" w:cs="宋体"/>
                <w:sz w:val="24"/>
                <w:szCs w:val="24"/>
              </w:rPr>
            </w:pPr>
            <w:r>
              <w:rPr>
                <w:rFonts w:ascii="宋体" w:hAnsi="宋体" w:eastAsia="宋体" w:cs="宋体"/>
                <w:spacing w:val="-4"/>
                <w:sz w:val="24"/>
                <w:szCs w:val="24"/>
              </w:rPr>
              <w:t>2</w:t>
            </w:r>
            <w:r>
              <w:rPr>
                <w:rFonts w:hint="eastAsia" w:ascii="宋体" w:hAnsi="宋体" w:eastAsia="宋体" w:cs="宋体"/>
                <w:spacing w:val="-4"/>
                <w:sz w:val="24"/>
                <w:szCs w:val="24"/>
                <w:lang w:val="en-US" w:eastAsia="zh-CN"/>
              </w:rPr>
              <w:t>2</w:t>
            </w:r>
          </w:p>
        </w:tc>
        <w:tc>
          <w:tcPr>
            <w:tcW w:w="2228" w:type="dxa"/>
            <w:noWrap w:val="0"/>
            <w:vAlign w:val="top"/>
          </w:tcPr>
          <w:p w14:paraId="0F38FC6E">
            <w:pPr>
              <w:spacing w:line="321" w:lineRule="auto"/>
              <w:rPr>
                <w:rFonts w:ascii="Arial"/>
                <w:sz w:val="21"/>
                <w:szCs w:val="21"/>
              </w:rPr>
            </w:pPr>
          </w:p>
          <w:p w14:paraId="4A6AD13C">
            <w:pPr>
              <w:spacing w:line="322" w:lineRule="auto"/>
              <w:rPr>
                <w:rFonts w:ascii="Arial"/>
                <w:sz w:val="21"/>
                <w:szCs w:val="21"/>
              </w:rPr>
            </w:pPr>
          </w:p>
          <w:p w14:paraId="06F9F75C">
            <w:pPr>
              <w:spacing w:before="78" w:line="243" w:lineRule="auto"/>
              <w:ind w:left="100" w:right="37" w:firstLine="39"/>
              <w:jc w:val="both"/>
              <w:rPr>
                <w:rFonts w:ascii="宋体" w:hAnsi="宋体" w:eastAsia="宋体" w:cs="宋体"/>
                <w:sz w:val="21"/>
                <w:szCs w:val="21"/>
              </w:rPr>
            </w:pPr>
            <w:r>
              <w:rPr>
                <w:rFonts w:ascii="宋体" w:hAnsi="宋体" w:eastAsia="宋体" w:cs="宋体"/>
                <w:spacing w:val="2"/>
                <w:sz w:val="21"/>
                <w:szCs w:val="21"/>
              </w:rPr>
              <w:t>未按国家标准分区</w:t>
            </w:r>
            <w:r>
              <w:rPr>
                <w:rFonts w:ascii="宋体" w:hAnsi="宋体" w:eastAsia="宋体" w:cs="宋体"/>
                <w:spacing w:val="6"/>
                <w:sz w:val="21"/>
                <w:szCs w:val="21"/>
              </w:rPr>
              <w:t>分类储存危险化学</w:t>
            </w:r>
            <w:r>
              <w:rPr>
                <w:rFonts w:ascii="宋体" w:hAnsi="宋体" w:eastAsia="宋体" w:cs="宋体"/>
                <w:spacing w:val="7"/>
                <w:sz w:val="21"/>
                <w:szCs w:val="21"/>
              </w:rPr>
              <w:t>品，超量、超品种</w:t>
            </w:r>
            <w:r>
              <w:rPr>
                <w:rFonts w:ascii="宋体" w:hAnsi="宋体" w:eastAsia="宋体" w:cs="宋体"/>
                <w:spacing w:val="19"/>
                <w:sz w:val="21"/>
                <w:szCs w:val="21"/>
              </w:rPr>
              <w:t>储存危险化学品，</w:t>
            </w:r>
            <w:r>
              <w:rPr>
                <w:rFonts w:ascii="宋体" w:hAnsi="宋体" w:eastAsia="宋体" w:cs="宋体"/>
                <w:spacing w:val="3"/>
                <w:sz w:val="21"/>
                <w:szCs w:val="21"/>
              </w:rPr>
              <w:t>相互禁配物质混放</w:t>
            </w:r>
            <w:r>
              <w:rPr>
                <w:rFonts w:ascii="宋体" w:hAnsi="宋体" w:eastAsia="宋体" w:cs="宋体"/>
                <w:spacing w:val="-7"/>
                <w:sz w:val="21"/>
                <w:szCs w:val="21"/>
              </w:rPr>
              <w:t>混存。</w:t>
            </w:r>
          </w:p>
        </w:tc>
        <w:tc>
          <w:tcPr>
            <w:tcW w:w="3993" w:type="dxa"/>
            <w:noWrap w:val="0"/>
            <w:vAlign w:val="top"/>
          </w:tcPr>
          <w:p w14:paraId="4A951C88">
            <w:pPr>
              <w:spacing w:before="90" w:line="254" w:lineRule="auto"/>
              <w:ind w:left="143" w:firstLine="438"/>
              <w:jc w:val="both"/>
              <w:rPr>
                <w:rFonts w:ascii="宋体" w:hAnsi="宋体" w:eastAsia="宋体" w:cs="宋体"/>
                <w:sz w:val="21"/>
                <w:szCs w:val="21"/>
              </w:rPr>
            </w:pPr>
            <w:r>
              <w:rPr>
                <w:rFonts w:ascii="宋体" w:hAnsi="宋体" w:eastAsia="宋体" w:cs="宋体"/>
                <w:spacing w:val="-2"/>
                <w:sz w:val="21"/>
                <w:szCs w:val="21"/>
              </w:rPr>
              <w:t>1.《危险化学品安全管理条</w:t>
            </w:r>
            <w:r>
              <w:rPr>
                <w:rFonts w:ascii="宋体" w:hAnsi="宋体" w:eastAsia="宋体" w:cs="宋体"/>
                <w:spacing w:val="7"/>
                <w:sz w:val="21"/>
                <w:szCs w:val="21"/>
              </w:rPr>
              <w:t>例》第二十四条危险化学品应当储存在专用仓库、专用场地或</w:t>
            </w:r>
            <w:r>
              <w:rPr>
                <w:rFonts w:ascii="宋体" w:hAnsi="宋体" w:eastAsia="宋体" w:cs="宋体"/>
                <w:spacing w:val="11"/>
                <w:sz w:val="21"/>
                <w:szCs w:val="21"/>
              </w:rPr>
              <w:t>者专用储存室(以下统称专用仓</w:t>
            </w:r>
            <w:r>
              <w:rPr>
                <w:rFonts w:ascii="宋体" w:hAnsi="宋体" w:eastAsia="宋体" w:cs="宋体"/>
                <w:spacing w:val="13"/>
                <w:sz w:val="21"/>
                <w:szCs w:val="21"/>
              </w:rPr>
              <w:t>库)内，并由专人负责管理；剧</w:t>
            </w:r>
            <w:r>
              <w:rPr>
                <w:rFonts w:ascii="宋体" w:hAnsi="宋体" w:eastAsia="宋体" w:cs="宋体"/>
                <w:spacing w:val="19"/>
                <w:sz w:val="21"/>
                <w:szCs w:val="21"/>
              </w:rPr>
              <w:t>毒化学品以及储存数量构成重</w:t>
            </w:r>
            <w:r>
              <w:rPr>
                <w:rFonts w:ascii="宋体" w:hAnsi="宋体" w:eastAsia="宋体" w:cs="宋体"/>
                <w:spacing w:val="8"/>
                <w:sz w:val="21"/>
                <w:szCs w:val="21"/>
              </w:rPr>
              <w:t>大危险源的其他危险化学品，应</w:t>
            </w:r>
            <w:r>
              <w:rPr>
                <w:rFonts w:ascii="宋体" w:hAnsi="宋体" w:eastAsia="宋体" w:cs="宋体"/>
                <w:spacing w:val="7"/>
                <w:sz w:val="21"/>
                <w:szCs w:val="21"/>
              </w:rPr>
              <w:t>当在专用仓库内单独存放，并实</w:t>
            </w:r>
            <w:r>
              <w:rPr>
                <w:rFonts w:ascii="宋体" w:hAnsi="宋体" w:eastAsia="宋体" w:cs="宋体"/>
                <w:spacing w:val="18"/>
                <w:sz w:val="21"/>
                <w:szCs w:val="21"/>
              </w:rPr>
              <w:t>行双人收发、双人保管制度。</w:t>
            </w:r>
            <w:r>
              <w:rPr>
                <w:rFonts w:ascii="宋体" w:hAnsi="宋体" w:eastAsia="宋体" w:cs="宋体"/>
                <w:spacing w:val="20"/>
                <w:sz w:val="21"/>
                <w:szCs w:val="21"/>
              </w:rPr>
              <w:t>危险化学品的储存方式、方</w:t>
            </w:r>
          </w:p>
          <w:p w14:paraId="5AC150CF">
            <w:pPr>
              <w:spacing w:before="56" w:line="193" w:lineRule="auto"/>
              <w:ind w:left="582"/>
              <w:rPr>
                <w:rFonts w:ascii="宋体" w:hAnsi="宋体" w:eastAsia="宋体" w:cs="宋体"/>
                <w:sz w:val="21"/>
                <w:szCs w:val="21"/>
              </w:rPr>
            </w:pPr>
          </w:p>
        </w:tc>
        <w:tc>
          <w:tcPr>
            <w:tcW w:w="2372" w:type="dxa"/>
            <w:noWrap w:val="0"/>
            <w:vAlign w:val="top"/>
          </w:tcPr>
          <w:p w14:paraId="2EBEDFDF">
            <w:pPr>
              <w:rPr>
                <w:rFonts w:ascii="Arial"/>
                <w:sz w:val="21"/>
                <w:szCs w:val="21"/>
              </w:rPr>
            </w:pPr>
          </w:p>
        </w:tc>
        <w:tc>
          <w:tcPr>
            <w:tcW w:w="2838" w:type="dxa"/>
            <w:noWrap w:val="0"/>
            <w:vAlign w:val="top"/>
          </w:tcPr>
          <w:p w14:paraId="7A4EF7BD">
            <w:pPr>
              <w:spacing w:before="110" w:line="250" w:lineRule="auto"/>
              <w:ind w:left="158" w:firstLine="425"/>
              <w:jc w:val="both"/>
              <w:rPr>
                <w:rFonts w:ascii="宋体" w:hAnsi="宋体" w:eastAsia="宋体" w:cs="宋体"/>
                <w:sz w:val="21"/>
                <w:szCs w:val="21"/>
              </w:rPr>
            </w:pPr>
            <w:r>
              <w:rPr>
                <w:rFonts w:ascii="宋体" w:hAnsi="宋体" w:eastAsia="宋体" w:cs="宋体"/>
                <w:spacing w:val="31"/>
                <w:sz w:val="21"/>
                <w:szCs w:val="21"/>
              </w:rPr>
              <w:t>《危险化学品安全</w:t>
            </w:r>
            <w:r>
              <w:rPr>
                <w:rFonts w:ascii="宋体" w:hAnsi="宋体" w:eastAsia="宋体" w:cs="宋体"/>
                <w:spacing w:val="3"/>
                <w:sz w:val="21"/>
                <w:szCs w:val="21"/>
              </w:rPr>
              <w:t>管理条例》第八十条第五</w:t>
            </w:r>
            <w:r>
              <w:rPr>
                <w:rFonts w:ascii="宋体" w:hAnsi="宋体" w:eastAsia="宋体" w:cs="宋体"/>
                <w:spacing w:val="1"/>
                <w:sz w:val="21"/>
                <w:szCs w:val="21"/>
              </w:rPr>
              <w:t>项生产、储存、使用危</w:t>
            </w:r>
            <w:r>
              <w:rPr>
                <w:rFonts w:ascii="宋体" w:hAnsi="宋体" w:eastAsia="宋体" w:cs="宋体"/>
                <w:spacing w:val="23"/>
                <w:sz w:val="21"/>
                <w:szCs w:val="21"/>
              </w:rPr>
              <w:t>险化学品的单位有下列</w:t>
            </w:r>
            <w:r>
              <w:rPr>
                <w:rFonts w:ascii="宋体" w:hAnsi="宋体" w:eastAsia="宋体" w:cs="宋体"/>
                <w:spacing w:val="3"/>
                <w:sz w:val="21"/>
                <w:szCs w:val="21"/>
              </w:rPr>
              <w:t>情形之一的，由安全生产</w:t>
            </w:r>
            <w:r>
              <w:rPr>
                <w:rFonts w:ascii="宋体" w:hAnsi="宋体" w:eastAsia="宋体" w:cs="宋体"/>
                <w:spacing w:val="12"/>
                <w:sz w:val="21"/>
                <w:szCs w:val="21"/>
              </w:rPr>
              <w:t>监督管理部门责令改正，</w:t>
            </w:r>
            <w:r>
              <w:rPr>
                <w:rFonts w:ascii="宋体" w:hAnsi="宋体" w:eastAsia="宋体" w:cs="宋体"/>
                <w:spacing w:val="30"/>
                <w:sz w:val="21"/>
                <w:szCs w:val="21"/>
              </w:rPr>
              <w:t>处5万元以上10万元以</w:t>
            </w:r>
            <w:r>
              <w:rPr>
                <w:rFonts w:ascii="宋体" w:hAnsi="宋体" w:eastAsia="宋体" w:cs="宋体"/>
                <w:spacing w:val="12"/>
                <w:sz w:val="21"/>
                <w:szCs w:val="21"/>
              </w:rPr>
              <w:t>下的罚款；拒不改正的，</w:t>
            </w:r>
            <w:r>
              <w:rPr>
                <w:rFonts w:ascii="宋体" w:hAnsi="宋体" w:eastAsia="宋体" w:cs="宋体"/>
                <w:spacing w:val="20"/>
                <w:sz w:val="21"/>
                <w:szCs w:val="21"/>
              </w:rPr>
              <w:t>责令停产停业整顿直至</w:t>
            </w:r>
            <w:r>
              <w:rPr>
                <w:rFonts w:ascii="宋体" w:hAnsi="宋体" w:eastAsia="宋体" w:cs="宋体"/>
                <w:spacing w:val="23"/>
                <w:sz w:val="21"/>
                <w:szCs w:val="21"/>
              </w:rPr>
              <w:t>由原发证机关吊销其相</w:t>
            </w:r>
          </w:p>
        </w:tc>
        <w:tc>
          <w:tcPr>
            <w:tcW w:w="1254" w:type="dxa"/>
            <w:noWrap w:val="0"/>
            <w:vAlign w:val="top"/>
          </w:tcPr>
          <w:p w14:paraId="6BAF212C">
            <w:pPr>
              <w:spacing w:line="259" w:lineRule="auto"/>
              <w:rPr>
                <w:rFonts w:ascii="Arial"/>
                <w:sz w:val="21"/>
                <w:szCs w:val="21"/>
              </w:rPr>
            </w:pPr>
          </w:p>
          <w:p w14:paraId="22751F9F">
            <w:pPr>
              <w:spacing w:line="260" w:lineRule="auto"/>
              <w:rPr>
                <w:rFonts w:ascii="Arial"/>
                <w:sz w:val="21"/>
                <w:szCs w:val="21"/>
              </w:rPr>
            </w:pPr>
          </w:p>
          <w:p w14:paraId="68C2EFDB">
            <w:pPr>
              <w:spacing w:line="260" w:lineRule="auto"/>
              <w:rPr>
                <w:rFonts w:ascii="Arial"/>
                <w:sz w:val="21"/>
                <w:szCs w:val="21"/>
              </w:rPr>
            </w:pPr>
          </w:p>
          <w:p w14:paraId="3434057A">
            <w:pPr>
              <w:spacing w:line="260" w:lineRule="auto"/>
              <w:rPr>
                <w:rFonts w:ascii="Arial"/>
                <w:sz w:val="21"/>
                <w:szCs w:val="21"/>
              </w:rPr>
            </w:pPr>
          </w:p>
          <w:p w14:paraId="51AB2992">
            <w:pPr>
              <w:spacing w:line="260" w:lineRule="auto"/>
              <w:rPr>
                <w:rFonts w:ascii="Arial"/>
                <w:sz w:val="21"/>
                <w:szCs w:val="21"/>
              </w:rPr>
            </w:pPr>
          </w:p>
          <w:p w14:paraId="5C9B13DD">
            <w:pPr>
              <w:spacing w:before="78" w:line="229" w:lineRule="auto"/>
              <w:ind w:left="149" w:right="109"/>
              <w:rPr>
                <w:rFonts w:ascii="宋体" w:hAnsi="宋体" w:eastAsia="宋体" w:cs="宋体"/>
                <w:sz w:val="21"/>
                <w:szCs w:val="21"/>
              </w:rPr>
            </w:pPr>
            <w:r>
              <w:rPr>
                <w:rFonts w:ascii="宋体" w:hAnsi="宋体" w:eastAsia="宋体" w:cs="宋体"/>
                <w:spacing w:val="6"/>
                <w:sz w:val="21"/>
                <w:szCs w:val="21"/>
              </w:rPr>
              <w:t>重大隐患</w:t>
            </w:r>
            <w:r>
              <w:rPr>
                <w:rFonts w:ascii="宋体" w:hAnsi="宋体" w:eastAsia="宋体" w:cs="宋体"/>
                <w:spacing w:val="4"/>
                <w:sz w:val="21"/>
                <w:szCs w:val="21"/>
              </w:rPr>
              <w:t>管理</w:t>
            </w:r>
          </w:p>
        </w:tc>
      </w:tr>
    </w:tbl>
    <w:p w14:paraId="3353FA8A"/>
    <w:p w14:paraId="664294D0"/>
    <w:p w14:paraId="23197479">
      <w:pPr>
        <w:spacing w:line="79" w:lineRule="exact"/>
      </w:pP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4"/>
        <w:gridCol w:w="2520"/>
        <w:gridCol w:w="3928"/>
        <w:gridCol w:w="2145"/>
        <w:gridCol w:w="2848"/>
        <w:gridCol w:w="1244"/>
      </w:tblGrid>
      <w:tr w14:paraId="2CA70A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jc w:val="center"/>
        </w:trPr>
        <w:tc>
          <w:tcPr>
            <w:tcW w:w="874" w:type="dxa"/>
            <w:noWrap w:val="0"/>
            <w:vAlign w:val="top"/>
          </w:tcPr>
          <w:p w14:paraId="4546AE3A">
            <w:pPr>
              <w:spacing w:before="212" w:line="221" w:lineRule="auto"/>
              <w:ind w:left="188"/>
              <w:rPr>
                <w:rFonts w:ascii="宋体" w:hAnsi="宋体" w:eastAsia="宋体" w:cs="宋体"/>
                <w:b/>
                <w:bCs/>
                <w:sz w:val="24"/>
                <w:szCs w:val="24"/>
              </w:rPr>
            </w:pPr>
            <w:r>
              <w:rPr>
                <w:rFonts w:ascii="宋体" w:hAnsi="宋体" w:eastAsia="宋体" w:cs="宋体"/>
                <w:b/>
                <w:bCs/>
                <w:spacing w:val="-5"/>
                <w:sz w:val="24"/>
                <w:szCs w:val="24"/>
              </w:rPr>
              <w:t>序号</w:t>
            </w:r>
          </w:p>
        </w:tc>
        <w:tc>
          <w:tcPr>
            <w:tcW w:w="2520" w:type="dxa"/>
            <w:noWrap w:val="0"/>
            <w:vAlign w:val="top"/>
          </w:tcPr>
          <w:p w14:paraId="43AED5B9">
            <w:pPr>
              <w:spacing w:before="75" w:line="219" w:lineRule="auto"/>
              <w:ind w:left="620"/>
              <w:rPr>
                <w:rFonts w:ascii="宋体" w:hAnsi="宋体" w:eastAsia="宋体" w:cs="宋体"/>
                <w:b/>
                <w:bCs/>
                <w:sz w:val="24"/>
                <w:szCs w:val="24"/>
              </w:rPr>
            </w:pPr>
            <w:r>
              <w:rPr>
                <w:rFonts w:ascii="宋体" w:hAnsi="宋体" w:eastAsia="宋体" w:cs="宋体"/>
                <w:b/>
                <w:bCs/>
                <w:spacing w:val="3"/>
                <w:sz w:val="24"/>
                <w:szCs w:val="24"/>
              </w:rPr>
              <w:t>执法检查</w:t>
            </w:r>
          </w:p>
          <w:p w14:paraId="0253FDEB">
            <w:pPr>
              <w:spacing w:before="54" w:line="192" w:lineRule="auto"/>
              <w:ind w:left="380"/>
              <w:rPr>
                <w:rFonts w:ascii="宋体" w:hAnsi="宋体" w:eastAsia="宋体" w:cs="宋体"/>
                <w:b/>
                <w:bCs/>
                <w:sz w:val="24"/>
                <w:szCs w:val="24"/>
              </w:rPr>
            </w:pPr>
            <w:r>
              <w:rPr>
                <w:rFonts w:ascii="宋体" w:hAnsi="宋体" w:eastAsia="宋体" w:cs="宋体"/>
                <w:b/>
                <w:bCs/>
                <w:spacing w:val="2"/>
                <w:sz w:val="24"/>
                <w:szCs w:val="24"/>
              </w:rPr>
              <w:t>重点事项内容</w:t>
            </w:r>
          </w:p>
        </w:tc>
        <w:tc>
          <w:tcPr>
            <w:tcW w:w="3928" w:type="dxa"/>
            <w:noWrap w:val="0"/>
            <w:vAlign w:val="top"/>
          </w:tcPr>
          <w:p w14:paraId="5887EFD7">
            <w:pPr>
              <w:spacing w:before="213" w:line="219" w:lineRule="auto"/>
              <w:ind w:left="1052"/>
              <w:rPr>
                <w:rFonts w:ascii="宋体" w:hAnsi="宋体" w:eastAsia="宋体" w:cs="宋体"/>
                <w:b/>
                <w:bCs/>
                <w:sz w:val="24"/>
                <w:szCs w:val="24"/>
              </w:rPr>
            </w:pPr>
            <w:r>
              <w:rPr>
                <w:rFonts w:ascii="宋体" w:hAnsi="宋体" w:eastAsia="宋体" w:cs="宋体"/>
                <w:b/>
                <w:bCs/>
                <w:spacing w:val="2"/>
                <w:sz w:val="24"/>
                <w:szCs w:val="24"/>
              </w:rPr>
              <w:t>执法检查依据</w:t>
            </w:r>
          </w:p>
        </w:tc>
        <w:tc>
          <w:tcPr>
            <w:tcW w:w="2145" w:type="dxa"/>
            <w:noWrap w:val="0"/>
            <w:vAlign w:val="top"/>
          </w:tcPr>
          <w:p w14:paraId="63C39182">
            <w:pPr>
              <w:spacing w:before="85" w:line="220" w:lineRule="auto"/>
              <w:ind w:left="825"/>
              <w:rPr>
                <w:rFonts w:ascii="宋体" w:hAnsi="宋体" w:eastAsia="宋体" w:cs="宋体"/>
                <w:b/>
                <w:bCs/>
                <w:sz w:val="24"/>
                <w:szCs w:val="24"/>
              </w:rPr>
            </w:pPr>
            <w:r>
              <w:rPr>
                <w:rFonts w:ascii="宋体" w:hAnsi="宋体" w:eastAsia="宋体" w:cs="宋体"/>
                <w:b/>
                <w:bCs/>
                <w:spacing w:val="-2"/>
                <w:sz w:val="24"/>
                <w:szCs w:val="24"/>
              </w:rPr>
              <w:t>有关规范性</w:t>
            </w:r>
          </w:p>
          <w:p w14:paraId="3BEDA949">
            <w:pPr>
              <w:spacing w:before="42" w:line="192" w:lineRule="auto"/>
              <w:ind w:left="585"/>
              <w:rPr>
                <w:rFonts w:ascii="宋体" w:hAnsi="宋体" w:eastAsia="宋体" w:cs="宋体"/>
                <w:b/>
                <w:bCs/>
                <w:sz w:val="24"/>
                <w:szCs w:val="24"/>
              </w:rPr>
            </w:pPr>
            <w:r>
              <w:rPr>
                <w:rFonts w:ascii="宋体" w:hAnsi="宋体" w:eastAsia="宋体" w:cs="宋体"/>
                <w:b/>
                <w:bCs/>
                <w:spacing w:val="1"/>
                <w:sz w:val="24"/>
                <w:szCs w:val="24"/>
              </w:rPr>
              <w:t>文件及标准要求</w:t>
            </w:r>
          </w:p>
        </w:tc>
        <w:tc>
          <w:tcPr>
            <w:tcW w:w="2848" w:type="dxa"/>
            <w:noWrap w:val="0"/>
            <w:vAlign w:val="top"/>
          </w:tcPr>
          <w:p w14:paraId="07C82FC5">
            <w:pPr>
              <w:spacing w:before="213" w:line="219" w:lineRule="auto"/>
              <w:ind w:left="977"/>
              <w:rPr>
                <w:rFonts w:ascii="宋体" w:hAnsi="宋体" w:eastAsia="宋体" w:cs="宋体"/>
                <w:b/>
                <w:bCs/>
                <w:sz w:val="24"/>
                <w:szCs w:val="24"/>
              </w:rPr>
            </w:pPr>
            <w:r>
              <w:rPr>
                <w:rFonts w:ascii="宋体" w:hAnsi="宋体" w:eastAsia="宋体" w:cs="宋体"/>
                <w:b/>
                <w:bCs/>
                <w:spacing w:val="3"/>
                <w:sz w:val="24"/>
                <w:szCs w:val="24"/>
              </w:rPr>
              <w:t>处罚依据</w:t>
            </w:r>
          </w:p>
        </w:tc>
        <w:tc>
          <w:tcPr>
            <w:tcW w:w="1244" w:type="dxa"/>
            <w:noWrap w:val="0"/>
            <w:vAlign w:val="top"/>
          </w:tcPr>
          <w:p w14:paraId="7990AD24">
            <w:pPr>
              <w:spacing w:before="216" w:line="221" w:lineRule="auto"/>
              <w:ind w:left="379"/>
              <w:rPr>
                <w:rFonts w:ascii="宋体" w:hAnsi="宋体" w:eastAsia="宋体" w:cs="宋体"/>
                <w:b/>
                <w:bCs/>
                <w:sz w:val="24"/>
                <w:szCs w:val="24"/>
              </w:rPr>
            </w:pPr>
            <w:r>
              <w:rPr>
                <w:rFonts w:ascii="宋体" w:hAnsi="宋体" w:eastAsia="宋体" w:cs="宋体"/>
                <w:b/>
                <w:bCs/>
                <w:spacing w:val="6"/>
                <w:sz w:val="24"/>
                <w:szCs w:val="24"/>
              </w:rPr>
              <w:t>备注</w:t>
            </w:r>
          </w:p>
        </w:tc>
      </w:tr>
      <w:tr w14:paraId="4F233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7" w:hRule="atLeast"/>
          <w:jc w:val="center"/>
        </w:trPr>
        <w:tc>
          <w:tcPr>
            <w:tcW w:w="874" w:type="dxa"/>
            <w:noWrap w:val="0"/>
            <w:vAlign w:val="top"/>
          </w:tcPr>
          <w:p w14:paraId="6F2DCD9C">
            <w:pPr>
              <w:rPr>
                <w:rFonts w:ascii="Arial"/>
                <w:sz w:val="21"/>
              </w:rPr>
            </w:pPr>
          </w:p>
        </w:tc>
        <w:tc>
          <w:tcPr>
            <w:tcW w:w="2520" w:type="dxa"/>
            <w:noWrap w:val="0"/>
            <w:vAlign w:val="top"/>
          </w:tcPr>
          <w:p w14:paraId="5092BD50">
            <w:pPr>
              <w:rPr>
                <w:rFonts w:ascii="Arial"/>
                <w:sz w:val="21"/>
                <w:szCs w:val="21"/>
              </w:rPr>
            </w:pPr>
          </w:p>
        </w:tc>
        <w:tc>
          <w:tcPr>
            <w:tcW w:w="3928" w:type="dxa"/>
            <w:noWrap w:val="0"/>
            <w:vAlign w:val="top"/>
          </w:tcPr>
          <w:p w14:paraId="1B5CDF79">
            <w:pPr>
              <w:spacing w:before="111" w:line="209" w:lineRule="auto"/>
              <w:ind w:left="132"/>
              <w:jc w:val="left"/>
              <w:rPr>
                <w:rFonts w:ascii="宋体" w:hAnsi="宋体" w:eastAsia="宋体" w:cs="宋体"/>
                <w:sz w:val="21"/>
                <w:szCs w:val="21"/>
              </w:rPr>
            </w:pPr>
            <w:r>
              <w:rPr>
                <w:rFonts w:ascii="宋体" w:hAnsi="宋体" w:eastAsia="宋体" w:cs="宋体"/>
                <w:spacing w:val="10"/>
                <w:sz w:val="21"/>
                <w:szCs w:val="21"/>
              </w:rPr>
              <w:t>法以及储存数量应当符合国家标准或者国家有关规定。</w:t>
            </w:r>
          </w:p>
          <w:p w14:paraId="26476E18">
            <w:pPr>
              <w:spacing w:before="28" w:line="219" w:lineRule="auto"/>
              <w:jc w:val="left"/>
              <w:rPr>
                <w:rFonts w:ascii="宋体" w:hAnsi="宋体" w:eastAsia="宋体" w:cs="宋体"/>
                <w:sz w:val="21"/>
                <w:szCs w:val="21"/>
              </w:rPr>
            </w:pPr>
            <w:r>
              <w:rPr>
                <w:rFonts w:ascii="宋体" w:hAnsi="宋体" w:eastAsia="宋体" w:cs="宋体"/>
                <w:spacing w:val="-10"/>
                <w:sz w:val="21"/>
                <w:szCs w:val="21"/>
              </w:rPr>
              <w:t>2.《化工和危险化学品生产</w:t>
            </w:r>
            <w:r>
              <w:rPr>
                <w:rFonts w:ascii="宋体" w:hAnsi="宋体" w:eastAsia="宋体" w:cs="宋体"/>
                <w:spacing w:val="13"/>
                <w:sz w:val="21"/>
                <w:szCs w:val="21"/>
              </w:rPr>
              <w:t>经营单位重大生产安全事故隐</w:t>
            </w:r>
            <w:r>
              <w:rPr>
                <w:rFonts w:ascii="宋体" w:hAnsi="宋体" w:eastAsia="宋体" w:cs="宋体"/>
                <w:spacing w:val="18"/>
                <w:sz w:val="21"/>
                <w:szCs w:val="21"/>
              </w:rPr>
              <w:t>患判定标准(试行)》(安监总</w:t>
            </w:r>
          </w:p>
          <w:p w14:paraId="0C7E8BC7">
            <w:pPr>
              <w:spacing w:before="40" w:line="212" w:lineRule="auto"/>
              <w:ind w:left="132"/>
              <w:jc w:val="left"/>
              <w:rPr>
                <w:rFonts w:ascii="宋体" w:hAnsi="宋体" w:eastAsia="宋体" w:cs="宋体"/>
                <w:sz w:val="21"/>
                <w:szCs w:val="21"/>
              </w:rPr>
            </w:pPr>
            <w:r>
              <w:rPr>
                <w:rFonts w:ascii="宋体" w:hAnsi="宋体" w:eastAsia="宋体" w:cs="宋体"/>
                <w:spacing w:val="10"/>
                <w:sz w:val="21"/>
                <w:szCs w:val="21"/>
              </w:rPr>
              <w:t>管三〔2017〕121号)第二十条未按国家标准分区分类储存危</w:t>
            </w:r>
            <w:r>
              <w:rPr>
                <w:rFonts w:ascii="宋体" w:hAnsi="宋体" w:eastAsia="宋体" w:cs="宋体"/>
                <w:sz w:val="21"/>
                <w:szCs w:val="21"/>
              </w:rPr>
              <w:t>险化学品，超量、超品种储存危险化学品，相互禁配物质混放混</w:t>
            </w:r>
          </w:p>
          <w:p w14:paraId="16337BDF">
            <w:pPr>
              <w:spacing w:before="31" w:line="219" w:lineRule="auto"/>
              <w:ind w:left="132"/>
              <w:jc w:val="left"/>
              <w:rPr>
                <w:rFonts w:ascii="宋体" w:hAnsi="宋体" w:eastAsia="宋体" w:cs="宋体"/>
                <w:sz w:val="21"/>
                <w:szCs w:val="21"/>
              </w:rPr>
            </w:pPr>
            <w:r>
              <w:rPr>
                <w:rFonts w:ascii="宋体" w:hAnsi="宋体" w:eastAsia="宋体" w:cs="宋体"/>
                <w:spacing w:val="-5"/>
                <w:sz w:val="21"/>
                <w:szCs w:val="21"/>
              </w:rPr>
              <w:t>存。</w:t>
            </w:r>
          </w:p>
          <w:p w14:paraId="76B53420">
            <w:pPr>
              <w:spacing w:before="46" w:line="206" w:lineRule="auto"/>
              <w:jc w:val="left"/>
              <w:rPr>
                <w:rFonts w:ascii="宋体" w:hAnsi="宋体" w:eastAsia="宋体" w:cs="宋体"/>
                <w:sz w:val="21"/>
                <w:szCs w:val="21"/>
              </w:rPr>
            </w:pPr>
            <w:r>
              <w:rPr>
                <w:rFonts w:ascii="宋体" w:hAnsi="宋体" w:eastAsia="宋体" w:cs="宋体"/>
                <w:spacing w:val="-10"/>
                <w:sz w:val="21"/>
                <w:szCs w:val="21"/>
              </w:rPr>
              <w:t>3.《危险化学品仓厍储存通</w:t>
            </w:r>
            <w:r>
              <w:rPr>
                <w:rFonts w:ascii="宋体" w:hAnsi="宋体" w:eastAsia="宋体" w:cs="宋体"/>
                <w:spacing w:val="12"/>
                <w:sz w:val="21"/>
                <w:szCs w:val="21"/>
              </w:rPr>
              <w:t>则》(</w:t>
            </w:r>
            <w:r>
              <w:rPr>
                <w:rFonts w:ascii="宋体" w:hAnsi="宋体" w:eastAsia="宋体" w:cs="宋体"/>
                <w:sz w:val="21"/>
                <w:szCs w:val="21"/>
              </w:rPr>
              <w:t>GB</w:t>
            </w:r>
            <w:r>
              <w:rPr>
                <w:rFonts w:ascii="宋体" w:hAnsi="宋体" w:eastAsia="宋体" w:cs="宋体"/>
                <w:spacing w:val="12"/>
                <w:sz w:val="21"/>
                <w:szCs w:val="21"/>
              </w:rPr>
              <w:t>15603-2022,自2023</w:t>
            </w:r>
            <w:r>
              <w:rPr>
                <w:rFonts w:ascii="宋体" w:hAnsi="宋体" w:eastAsia="宋体" w:cs="宋体"/>
                <w:spacing w:val="22"/>
                <w:sz w:val="21"/>
                <w:szCs w:val="21"/>
              </w:rPr>
              <w:t>年7月1日起实施)5.3应根</w:t>
            </w:r>
          </w:p>
          <w:p w14:paraId="239C1C01">
            <w:pPr>
              <w:spacing w:before="43" w:line="209" w:lineRule="auto"/>
              <w:ind w:left="132"/>
              <w:jc w:val="left"/>
              <w:rPr>
                <w:rFonts w:ascii="宋体" w:hAnsi="宋体" w:eastAsia="宋体" w:cs="宋体"/>
                <w:sz w:val="21"/>
                <w:szCs w:val="21"/>
              </w:rPr>
            </w:pPr>
            <w:r>
              <w:rPr>
                <w:rFonts w:ascii="宋体" w:hAnsi="宋体" w:eastAsia="宋体" w:cs="宋体"/>
                <w:spacing w:val="11"/>
                <w:sz w:val="21"/>
                <w:szCs w:val="21"/>
              </w:rPr>
              <w:t>据危险化学品仓库的设计和经</w:t>
            </w:r>
            <w:r>
              <w:rPr>
                <w:rFonts w:ascii="宋体" w:hAnsi="宋体" w:eastAsia="宋体" w:cs="宋体"/>
                <w:sz w:val="21"/>
                <w:szCs w:val="21"/>
              </w:rPr>
              <w:t>营许可要求，严格控制危险化学品的储存品种、数量。5.4危</w:t>
            </w:r>
            <w:r>
              <w:rPr>
                <w:rFonts w:ascii="宋体" w:hAnsi="宋体" w:eastAsia="宋体" w:cs="宋体"/>
                <w:spacing w:val="11"/>
                <w:sz w:val="21"/>
                <w:szCs w:val="21"/>
              </w:rPr>
              <w:t>险化学品储存应满足危险化学</w:t>
            </w:r>
            <w:r>
              <w:rPr>
                <w:rFonts w:ascii="宋体" w:hAnsi="宋体" w:eastAsia="宋体" w:cs="宋体"/>
                <w:sz w:val="21"/>
                <w:szCs w:val="21"/>
              </w:rPr>
              <w:t>品分类，包装，储存方式及消防</w:t>
            </w:r>
            <w:r>
              <w:rPr>
                <w:rFonts w:ascii="宋体" w:hAnsi="宋体" w:eastAsia="宋体" w:cs="宋体"/>
                <w:spacing w:val="-1"/>
                <w:sz w:val="21"/>
                <w:szCs w:val="21"/>
              </w:rPr>
              <w:t>要求。5.5危险化学品的储存</w:t>
            </w:r>
            <w:r>
              <w:rPr>
                <w:rFonts w:ascii="宋体" w:hAnsi="宋体" w:eastAsia="宋体" w:cs="宋体"/>
                <w:spacing w:val="1"/>
                <w:sz w:val="21"/>
                <w:szCs w:val="21"/>
              </w:rPr>
              <w:t>配存，应符合附录A及其化学品</w:t>
            </w:r>
          </w:p>
          <w:p w14:paraId="5AAE79BE">
            <w:pPr>
              <w:spacing w:before="45" w:line="186" w:lineRule="auto"/>
              <w:ind w:left="132"/>
              <w:jc w:val="left"/>
              <w:rPr>
                <w:rFonts w:ascii="宋体" w:hAnsi="宋体" w:eastAsia="宋体" w:cs="宋体"/>
                <w:sz w:val="21"/>
                <w:szCs w:val="21"/>
              </w:rPr>
            </w:pPr>
            <w:r>
              <w:rPr>
                <w:rFonts w:ascii="宋体" w:hAnsi="宋体" w:eastAsia="宋体" w:cs="宋体"/>
                <w:spacing w:val="10"/>
                <w:sz w:val="21"/>
                <w:szCs w:val="21"/>
              </w:rPr>
              <w:t>安全技术说明书的要求。</w:t>
            </w:r>
          </w:p>
        </w:tc>
        <w:tc>
          <w:tcPr>
            <w:tcW w:w="2145" w:type="dxa"/>
            <w:noWrap w:val="0"/>
            <w:vAlign w:val="top"/>
          </w:tcPr>
          <w:p w14:paraId="75205F51">
            <w:pPr>
              <w:rPr>
                <w:rFonts w:ascii="Arial"/>
                <w:sz w:val="21"/>
                <w:szCs w:val="21"/>
              </w:rPr>
            </w:pPr>
          </w:p>
        </w:tc>
        <w:tc>
          <w:tcPr>
            <w:tcW w:w="2848" w:type="dxa"/>
            <w:noWrap w:val="0"/>
            <w:vAlign w:val="top"/>
          </w:tcPr>
          <w:p w14:paraId="1C767481">
            <w:pPr>
              <w:spacing w:before="80" w:line="219" w:lineRule="auto"/>
              <w:ind w:left="148"/>
              <w:rPr>
                <w:rFonts w:ascii="宋体" w:hAnsi="宋体" w:eastAsia="宋体" w:cs="宋体"/>
                <w:spacing w:val="1"/>
                <w:sz w:val="21"/>
                <w:szCs w:val="21"/>
              </w:rPr>
            </w:pPr>
            <w:r>
              <w:rPr>
                <w:rFonts w:ascii="宋体" w:hAnsi="宋体" w:eastAsia="宋体" w:cs="宋体"/>
                <w:spacing w:val="1"/>
                <w:sz w:val="21"/>
                <w:szCs w:val="21"/>
              </w:rPr>
              <w:t>关许可证件，并由工商行</w:t>
            </w:r>
          </w:p>
          <w:p w14:paraId="69B4207C">
            <w:pPr>
              <w:spacing w:before="47" w:line="202" w:lineRule="auto"/>
              <w:ind w:left="148"/>
              <w:rPr>
                <w:rFonts w:ascii="宋体" w:hAnsi="宋体" w:eastAsia="宋体" w:cs="宋体"/>
                <w:sz w:val="21"/>
                <w:szCs w:val="21"/>
              </w:rPr>
            </w:pPr>
            <w:r>
              <w:rPr>
                <w:rFonts w:ascii="宋体" w:hAnsi="宋体" w:eastAsia="宋体" w:cs="宋体"/>
                <w:spacing w:val="20"/>
                <w:sz w:val="21"/>
                <w:szCs w:val="21"/>
              </w:rPr>
              <w:t>政管理部门责令其办理</w:t>
            </w:r>
          </w:p>
          <w:p w14:paraId="122352C0">
            <w:pPr>
              <w:spacing w:before="48" w:line="212" w:lineRule="auto"/>
              <w:ind w:left="148"/>
              <w:rPr>
                <w:rFonts w:ascii="宋体" w:hAnsi="宋体" w:eastAsia="宋体" w:cs="宋体"/>
                <w:sz w:val="21"/>
                <w:szCs w:val="21"/>
              </w:rPr>
            </w:pPr>
            <w:r>
              <w:rPr>
                <w:rFonts w:ascii="宋体" w:hAnsi="宋体" w:eastAsia="宋体" w:cs="宋体"/>
                <w:spacing w:val="21"/>
                <w:sz w:val="21"/>
                <w:szCs w:val="21"/>
              </w:rPr>
              <w:t>经营范围变更登记或者</w:t>
            </w:r>
          </w:p>
          <w:p w14:paraId="1239276F">
            <w:pPr>
              <w:spacing w:before="53" w:line="212" w:lineRule="auto"/>
              <w:ind w:left="148"/>
              <w:rPr>
                <w:rFonts w:ascii="宋体" w:hAnsi="宋体" w:eastAsia="宋体" w:cs="宋体"/>
                <w:sz w:val="21"/>
                <w:szCs w:val="21"/>
              </w:rPr>
            </w:pPr>
            <w:r>
              <w:rPr>
                <w:rFonts w:ascii="宋体" w:hAnsi="宋体" w:eastAsia="宋体" w:cs="宋体"/>
                <w:spacing w:val="1"/>
                <w:sz w:val="21"/>
                <w:szCs w:val="21"/>
              </w:rPr>
              <w:t>吊销其营业执照；有关责</w:t>
            </w:r>
          </w:p>
          <w:p w14:paraId="0CA49A7A">
            <w:pPr>
              <w:spacing w:before="43" w:line="208" w:lineRule="auto"/>
              <w:ind w:left="148"/>
              <w:rPr>
                <w:rFonts w:ascii="宋体" w:hAnsi="宋体" w:eastAsia="宋体" w:cs="宋体"/>
                <w:sz w:val="21"/>
                <w:szCs w:val="21"/>
              </w:rPr>
            </w:pPr>
            <w:r>
              <w:rPr>
                <w:rFonts w:ascii="宋体" w:hAnsi="宋体" w:eastAsia="宋体" w:cs="宋体"/>
                <w:spacing w:val="-1"/>
                <w:sz w:val="21"/>
                <w:szCs w:val="21"/>
              </w:rPr>
              <w:t>任人员构成犯罪的，依法</w:t>
            </w:r>
          </w:p>
          <w:p w14:paraId="44EB4AE4">
            <w:pPr>
              <w:spacing w:before="40" w:line="212" w:lineRule="auto"/>
              <w:ind w:left="148"/>
              <w:rPr>
                <w:rFonts w:ascii="宋体" w:hAnsi="宋体" w:eastAsia="宋体" w:cs="宋体"/>
                <w:sz w:val="21"/>
                <w:szCs w:val="21"/>
              </w:rPr>
            </w:pPr>
            <w:r>
              <w:rPr>
                <w:rFonts w:ascii="宋体" w:hAnsi="宋体" w:eastAsia="宋体" w:cs="宋体"/>
                <w:spacing w:val="17"/>
                <w:sz w:val="21"/>
                <w:szCs w:val="21"/>
              </w:rPr>
              <w:t>追究刑事责任：</w:t>
            </w:r>
          </w:p>
          <w:p w14:paraId="5D844003">
            <w:pPr>
              <w:spacing w:before="45" w:line="214" w:lineRule="auto"/>
              <w:ind w:left="707"/>
              <w:rPr>
                <w:rFonts w:ascii="宋体" w:hAnsi="宋体" w:eastAsia="宋体" w:cs="宋体"/>
                <w:sz w:val="21"/>
                <w:szCs w:val="21"/>
              </w:rPr>
            </w:pPr>
            <w:r>
              <w:rPr>
                <w:rFonts w:ascii="宋体" w:hAnsi="宋体" w:eastAsia="宋体" w:cs="宋体"/>
                <w:spacing w:val="15"/>
                <w:sz w:val="21"/>
                <w:szCs w:val="21"/>
              </w:rPr>
              <w:t>(五)危险化学品的</w:t>
            </w:r>
          </w:p>
          <w:p w14:paraId="77C44859">
            <w:pPr>
              <w:spacing w:before="40" w:line="207" w:lineRule="auto"/>
              <w:ind w:left="148"/>
              <w:rPr>
                <w:rFonts w:ascii="宋体" w:hAnsi="宋体" w:eastAsia="宋体" w:cs="宋体"/>
                <w:sz w:val="21"/>
                <w:szCs w:val="21"/>
              </w:rPr>
            </w:pPr>
            <w:r>
              <w:rPr>
                <w:rFonts w:ascii="宋体" w:hAnsi="宋体" w:eastAsia="宋体" w:cs="宋体"/>
                <w:spacing w:val="-1"/>
                <w:sz w:val="21"/>
                <w:szCs w:val="21"/>
              </w:rPr>
              <w:t>储存方式、方法或者储存</w:t>
            </w:r>
          </w:p>
          <w:p w14:paraId="54657876">
            <w:pPr>
              <w:spacing w:before="50" w:line="200" w:lineRule="auto"/>
              <w:ind w:left="148"/>
              <w:rPr>
                <w:rFonts w:ascii="宋体" w:hAnsi="宋体" w:eastAsia="宋体" w:cs="宋体"/>
                <w:sz w:val="21"/>
                <w:szCs w:val="21"/>
              </w:rPr>
            </w:pPr>
            <w:r>
              <w:rPr>
                <w:rFonts w:ascii="宋体" w:hAnsi="宋体" w:eastAsia="宋体" w:cs="宋体"/>
                <w:spacing w:val="21"/>
                <w:sz w:val="21"/>
                <w:szCs w:val="21"/>
              </w:rPr>
              <w:t>数量不符合国家标准或</w:t>
            </w:r>
          </w:p>
          <w:p w14:paraId="0077C114">
            <w:pPr>
              <w:spacing w:before="71" w:line="210" w:lineRule="auto"/>
              <w:ind w:left="148"/>
              <w:rPr>
                <w:rFonts w:ascii="宋体" w:hAnsi="宋体" w:eastAsia="宋体" w:cs="宋体"/>
                <w:sz w:val="21"/>
                <w:szCs w:val="21"/>
              </w:rPr>
            </w:pPr>
            <w:r>
              <w:rPr>
                <w:rFonts w:ascii="宋体" w:hAnsi="宋体" w:eastAsia="宋体" w:cs="宋体"/>
                <w:spacing w:val="13"/>
                <w:sz w:val="21"/>
                <w:szCs w:val="21"/>
              </w:rPr>
              <w:t>者国家有关规定的。</w:t>
            </w:r>
          </w:p>
        </w:tc>
        <w:tc>
          <w:tcPr>
            <w:tcW w:w="1244" w:type="dxa"/>
            <w:noWrap w:val="0"/>
            <w:vAlign w:val="top"/>
          </w:tcPr>
          <w:p w14:paraId="1AA889BB">
            <w:pPr>
              <w:rPr>
                <w:rFonts w:ascii="Arial"/>
                <w:sz w:val="21"/>
                <w:szCs w:val="21"/>
              </w:rPr>
            </w:pPr>
          </w:p>
        </w:tc>
      </w:tr>
      <w:tr w14:paraId="117540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jc w:val="center"/>
        </w:trPr>
        <w:tc>
          <w:tcPr>
            <w:tcW w:w="874" w:type="dxa"/>
            <w:noWrap w:val="0"/>
            <w:vAlign w:val="top"/>
          </w:tcPr>
          <w:p w14:paraId="5A1CF1DD">
            <w:pPr>
              <w:spacing w:before="43" w:line="209" w:lineRule="auto"/>
              <w:ind w:left="132"/>
              <w:jc w:val="left"/>
              <w:rPr>
                <w:rFonts w:ascii="宋体" w:hAnsi="宋体" w:eastAsia="宋体" w:cs="宋体"/>
                <w:sz w:val="21"/>
                <w:szCs w:val="21"/>
              </w:rPr>
            </w:pPr>
            <w:r>
              <w:rPr>
                <w:rFonts w:ascii="宋体" w:hAnsi="宋体" w:eastAsia="宋体" w:cs="宋体"/>
                <w:sz w:val="21"/>
                <w:szCs w:val="21"/>
              </w:rPr>
              <w:t>2</w:t>
            </w:r>
            <w:r>
              <w:rPr>
                <w:rFonts w:hint="eastAsia" w:ascii="宋体" w:hAnsi="宋体" w:eastAsia="宋体" w:cs="宋体"/>
                <w:sz w:val="21"/>
                <w:szCs w:val="21"/>
                <w:lang w:val="en-US" w:eastAsia="zh-CN"/>
              </w:rPr>
              <w:t>3</w:t>
            </w:r>
          </w:p>
        </w:tc>
        <w:tc>
          <w:tcPr>
            <w:tcW w:w="2520" w:type="dxa"/>
            <w:noWrap w:val="0"/>
            <w:vAlign w:val="top"/>
          </w:tcPr>
          <w:p w14:paraId="7872DC48">
            <w:pPr>
              <w:spacing w:before="43" w:line="209" w:lineRule="auto"/>
              <w:ind w:left="132"/>
              <w:jc w:val="left"/>
              <w:rPr>
                <w:rFonts w:ascii="宋体" w:hAnsi="宋体" w:eastAsia="宋体" w:cs="宋体"/>
                <w:sz w:val="21"/>
                <w:szCs w:val="21"/>
              </w:rPr>
            </w:pPr>
            <w:r>
              <w:rPr>
                <w:rFonts w:ascii="宋体" w:hAnsi="宋体" w:eastAsia="宋体" w:cs="宋体"/>
                <w:sz w:val="21"/>
                <w:szCs w:val="21"/>
              </w:rPr>
              <w:t>企业危险化学品安全生产风险监测预</w:t>
            </w:r>
          </w:p>
        </w:tc>
        <w:tc>
          <w:tcPr>
            <w:tcW w:w="3928" w:type="dxa"/>
            <w:noWrap w:val="0"/>
            <w:vAlign w:val="top"/>
          </w:tcPr>
          <w:p w14:paraId="32739409">
            <w:pPr>
              <w:spacing w:before="43" w:line="209" w:lineRule="auto"/>
              <w:ind w:left="132"/>
              <w:jc w:val="left"/>
              <w:rPr>
                <w:rFonts w:ascii="宋体" w:hAnsi="宋体" w:eastAsia="宋体" w:cs="宋体"/>
                <w:sz w:val="21"/>
                <w:szCs w:val="21"/>
              </w:rPr>
            </w:pPr>
            <w:r>
              <w:rPr>
                <w:rFonts w:ascii="宋体" w:hAnsi="宋体" w:eastAsia="宋体" w:cs="宋体"/>
                <w:sz w:val="21"/>
                <w:szCs w:val="21"/>
              </w:rPr>
              <w:t>1.《中华人民共和国安全生产法》第三十六条第二款生产</w:t>
            </w:r>
          </w:p>
        </w:tc>
        <w:tc>
          <w:tcPr>
            <w:tcW w:w="2145" w:type="dxa"/>
            <w:noWrap w:val="0"/>
            <w:vAlign w:val="top"/>
          </w:tcPr>
          <w:p w14:paraId="13AE93E6">
            <w:pPr>
              <w:spacing w:before="43" w:line="209" w:lineRule="auto"/>
              <w:ind w:left="132"/>
              <w:jc w:val="left"/>
              <w:rPr>
                <w:rFonts w:ascii="宋体" w:hAnsi="宋体" w:eastAsia="宋体" w:cs="宋体"/>
                <w:sz w:val="21"/>
                <w:szCs w:val="21"/>
              </w:rPr>
            </w:pPr>
          </w:p>
        </w:tc>
        <w:tc>
          <w:tcPr>
            <w:tcW w:w="2848" w:type="dxa"/>
            <w:noWrap w:val="0"/>
            <w:vAlign w:val="top"/>
          </w:tcPr>
          <w:p w14:paraId="3210A6AD">
            <w:pPr>
              <w:spacing w:before="43" w:line="209" w:lineRule="auto"/>
              <w:ind w:left="132"/>
              <w:jc w:val="left"/>
              <w:rPr>
                <w:rFonts w:ascii="宋体" w:hAnsi="宋体" w:eastAsia="宋体" w:cs="宋体"/>
                <w:sz w:val="21"/>
                <w:szCs w:val="21"/>
              </w:rPr>
            </w:pPr>
            <w:r>
              <w:rPr>
                <w:rFonts w:ascii="宋体" w:hAnsi="宋体" w:eastAsia="宋体" w:cs="宋体"/>
                <w:sz w:val="21"/>
                <w:szCs w:val="21"/>
              </w:rPr>
              <w:t>《中华人民共和国安全生产法》第九十九条</w:t>
            </w:r>
          </w:p>
        </w:tc>
        <w:tc>
          <w:tcPr>
            <w:tcW w:w="1244" w:type="dxa"/>
            <w:noWrap w:val="0"/>
            <w:vAlign w:val="top"/>
          </w:tcPr>
          <w:p w14:paraId="528EA8C7">
            <w:pPr>
              <w:spacing w:before="43" w:line="209" w:lineRule="auto"/>
              <w:ind w:left="132"/>
              <w:jc w:val="left"/>
              <w:rPr>
                <w:rFonts w:ascii="宋体" w:hAnsi="宋体" w:eastAsia="宋体" w:cs="宋体"/>
                <w:sz w:val="21"/>
                <w:szCs w:val="21"/>
              </w:rPr>
            </w:pPr>
            <w:r>
              <w:rPr>
                <w:rFonts w:ascii="宋体" w:hAnsi="宋体" w:eastAsia="宋体" w:cs="宋体"/>
                <w:sz w:val="21"/>
                <w:szCs w:val="21"/>
              </w:rPr>
              <w:t>危险化学品安全生</w:t>
            </w:r>
          </w:p>
        </w:tc>
      </w:tr>
    </w:tbl>
    <w:p w14:paraId="7333DE85">
      <w:pPr>
        <w:rPr>
          <w:rFonts w:ascii="Arial"/>
          <w:sz w:val="21"/>
        </w:rPr>
      </w:pPr>
    </w:p>
    <w:p w14:paraId="5D083078"/>
    <w:p w14:paraId="5C6B9DEF"/>
    <w:p w14:paraId="2CC8B9C5">
      <w:pPr>
        <w:spacing w:line="39" w:lineRule="exact"/>
      </w:pP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4"/>
        <w:gridCol w:w="1661"/>
        <w:gridCol w:w="4828"/>
        <w:gridCol w:w="2104"/>
        <w:gridCol w:w="3939"/>
        <w:gridCol w:w="912"/>
      </w:tblGrid>
      <w:tr w14:paraId="5A4993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jc w:val="center"/>
        </w:trPr>
        <w:tc>
          <w:tcPr>
            <w:tcW w:w="864" w:type="dxa"/>
            <w:noWrap w:val="0"/>
            <w:vAlign w:val="top"/>
          </w:tcPr>
          <w:p w14:paraId="5027B124">
            <w:pPr>
              <w:spacing w:before="212" w:line="221" w:lineRule="auto"/>
              <w:ind w:left="188"/>
              <w:rPr>
                <w:rFonts w:ascii="宋体" w:hAnsi="宋体" w:eastAsia="宋体" w:cs="宋体"/>
                <w:b/>
                <w:bCs/>
                <w:sz w:val="24"/>
                <w:szCs w:val="24"/>
              </w:rPr>
            </w:pPr>
            <w:r>
              <w:rPr>
                <w:rFonts w:ascii="宋体" w:hAnsi="宋体" w:eastAsia="宋体" w:cs="宋体"/>
                <w:b/>
                <w:bCs/>
                <w:spacing w:val="-5"/>
                <w:sz w:val="24"/>
                <w:szCs w:val="24"/>
              </w:rPr>
              <w:t>序号</w:t>
            </w:r>
          </w:p>
        </w:tc>
        <w:tc>
          <w:tcPr>
            <w:tcW w:w="1661" w:type="dxa"/>
            <w:noWrap w:val="0"/>
            <w:vAlign w:val="top"/>
          </w:tcPr>
          <w:p w14:paraId="6D55508D">
            <w:pPr>
              <w:spacing w:before="61" w:line="219" w:lineRule="auto"/>
              <w:ind w:left="634"/>
              <w:rPr>
                <w:rFonts w:ascii="宋体" w:hAnsi="宋体" w:eastAsia="宋体" w:cs="宋体"/>
                <w:b/>
                <w:bCs/>
                <w:sz w:val="24"/>
                <w:szCs w:val="24"/>
              </w:rPr>
            </w:pPr>
            <w:r>
              <w:rPr>
                <w:rFonts w:ascii="宋体" w:hAnsi="宋体" w:eastAsia="宋体" w:cs="宋体"/>
                <w:b/>
                <w:bCs/>
                <w:spacing w:val="-5"/>
                <w:sz w:val="24"/>
                <w:szCs w:val="24"/>
              </w:rPr>
              <w:t>执法检查</w:t>
            </w:r>
          </w:p>
          <w:p w14:paraId="1C18B91C">
            <w:pPr>
              <w:spacing w:before="44" w:line="210" w:lineRule="auto"/>
              <w:ind w:left="404"/>
              <w:rPr>
                <w:rFonts w:ascii="宋体" w:hAnsi="宋体" w:eastAsia="宋体" w:cs="宋体"/>
                <w:b/>
                <w:bCs/>
                <w:sz w:val="24"/>
                <w:szCs w:val="24"/>
              </w:rPr>
            </w:pPr>
            <w:r>
              <w:rPr>
                <w:rFonts w:ascii="宋体" w:hAnsi="宋体" w:eastAsia="宋体" w:cs="宋体"/>
                <w:b/>
                <w:bCs/>
                <w:spacing w:val="-4"/>
                <w:sz w:val="24"/>
                <w:szCs w:val="24"/>
              </w:rPr>
              <w:t>重点事项内容</w:t>
            </w:r>
          </w:p>
        </w:tc>
        <w:tc>
          <w:tcPr>
            <w:tcW w:w="4828" w:type="dxa"/>
            <w:noWrap w:val="0"/>
            <w:vAlign w:val="top"/>
          </w:tcPr>
          <w:p w14:paraId="59A4653E">
            <w:pPr>
              <w:spacing w:before="209" w:line="219" w:lineRule="auto"/>
              <w:ind w:left="1046"/>
              <w:rPr>
                <w:rFonts w:ascii="宋体" w:hAnsi="宋体" w:eastAsia="宋体" w:cs="宋体"/>
                <w:b/>
                <w:bCs/>
                <w:sz w:val="24"/>
                <w:szCs w:val="24"/>
              </w:rPr>
            </w:pPr>
            <w:r>
              <w:rPr>
                <w:rFonts w:ascii="宋体" w:hAnsi="宋体" w:eastAsia="宋体" w:cs="宋体"/>
                <w:b/>
                <w:bCs/>
                <w:spacing w:val="-4"/>
                <w:sz w:val="24"/>
                <w:szCs w:val="24"/>
              </w:rPr>
              <w:t>执法检查依据</w:t>
            </w:r>
          </w:p>
        </w:tc>
        <w:tc>
          <w:tcPr>
            <w:tcW w:w="2104" w:type="dxa"/>
            <w:noWrap w:val="0"/>
            <w:vAlign w:val="top"/>
          </w:tcPr>
          <w:p w14:paraId="4D443765">
            <w:pPr>
              <w:spacing w:before="85" w:line="220" w:lineRule="auto"/>
              <w:ind w:left="845"/>
              <w:rPr>
                <w:rFonts w:ascii="宋体" w:hAnsi="宋体" w:eastAsia="宋体" w:cs="宋体"/>
                <w:b/>
                <w:bCs/>
                <w:sz w:val="24"/>
                <w:szCs w:val="24"/>
              </w:rPr>
            </w:pPr>
            <w:r>
              <w:rPr>
                <w:rFonts w:ascii="宋体" w:hAnsi="宋体" w:eastAsia="宋体" w:cs="宋体"/>
                <w:b/>
                <w:bCs/>
                <w:spacing w:val="-2"/>
                <w:sz w:val="24"/>
                <w:szCs w:val="24"/>
              </w:rPr>
              <w:t>有关规范性</w:t>
            </w:r>
          </w:p>
          <w:p w14:paraId="34126129">
            <w:pPr>
              <w:spacing w:before="53" w:line="192" w:lineRule="auto"/>
              <w:ind w:left="596"/>
              <w:rPr>
                <w:rFonts w:ascii="宋体" w:hAnsi="宋体" w:eastAsia="宋体" w:cs="宋体"/>
                <w:b/>
                <w:bCs/>
                <w:sz w:val="23"/>
                <w:szCs w:val="23"/>
              </w:rPr>
            </w:pPr>
            <w:r>
              <w:rPr>
                <w:rFonts w:ascii="宋体" w:hAnsi="宋体" w:eastAsia="宋体" w:cs="宋体"/>
                <w:b/>
                <w:bCs/>
                <w:spacing w:val="17"/>
                <w:sz w:val="23"/>
                <w:szCs w:val="23"/>
              </w:rPr>
              <w:t>文件及标准要求</w:t>
            </w:r>
          </w:p>
        </w:tc>
        <w:tc>
          <w:tcPr>
            <w:tcW w:w="3939" w:type="dxa"/>
            <w:noWrap w:val="0"/>
            <w:vAlign w:val="top"/>
          </w:tcPr>
          <w:p w14:paraId="75BB1374">
            <w:pPr>
              <w:spacing w:before="213" w:line="219" w:lineRule="auto"/>
              <w:ind w:left="968"/>
              <w:rPr>
                <w:rFonts w:ascii="宋体" w:hAnsi="宋体" w:eastAsia="宋体" w:cs="宋体"/>
                <w:b/>
                <w:bCs/>
                <w:sz w:val="24"/>
                <w:szCs w:val="24"/>
              </w:rPr>
            </w:pPr>
            <w:r>
              <w:rPr>
                <w:rFonts w:ascii="宋体" w:hAnsi="宋体" w:eastAsia="宋体" w:cs="宋体"/>
                <w:b/>
                <w:bCs/>
                <w:spacing w:val="3"/>
                <w:sz w:val="24"/>
                <w:szCs w:val="24"/>
              </w:rPr>
              <w:t>处罚依据</w:t>
            </w:r>
          </w:p>
        </w:tc>
        <w:tc>
          <w:tcPr>
            <w:tcW w:w="912" w:type="dxa"/>
            <w:noWrap w:val="0"/>
            <w:vAlign w:val="top"/>
          </w:tcPr>
          <w:p w14:paraId="59538E37">
            <w:pPr>
              <w:spacing w:before="212" w:line="221" w:lineRule="auto"/>
              <w:ind w:left="403"/>
              <w:rPr>
                <w:rFonts w:ascii="宋体" w:hAnsi="宋体" w:eastAsia="宋体" w:cs="宋体"/>
                <w:b/>
                <w:bCs/>
                <w:sz w:val="24"/>
                <w:szCs w:val="24"/>
              </w:rPr>
            </w:pPr>
            <w:r>
              <w:rPr>
                <w:rFonts w:ascii="宋体" w:hAnsi="宋体" w:eastAsia="宋体" w:cs="宋体"/>
                <w:b/>
                <w:bCs/>
                <w:spacing w:val="-6"/>
                <w:sz w:val="24"/>
                <w:szCs w:val="24"/>
              </w:rPr>
              <w:t>备注</w:t>
            </w:r>
          </w:p>
        </w:tc>
      </w:tr>
      <w:tr w14:paraId="28D61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7" w:hRule="atLeast"/>
          <w:jc w:val="center"/>
        </w:trPr>
        <w:tc>
          <w:tcPr>
            <w:tcW w:w="864" w:type="dxa"/>
            <w:noWrap w:val="0"/>
            <w:vAlign w:val="top"/>
          </w:tcPr>
          <w:p w14:paraId="710D6A1F">
            <w:pPr>
              <w:rPr>
                <w:rFonts w:ascii="Arial"/>
                <w:sz w:val="21"/>
                <w:szCs w:val="21"/>
              </w:rPr>
            </w:pPr>
          </w:p>
        </w:tc>
        <w:tc>
          <w:tcPr>
            <w:tcW w:w="1661" w:type="dxa"/>
            <w:noWrap w:val="0"/>
            <w:vAlign w:val="top"/>
          </w:tcPr>
          <w:p w14:paraId="7FBC70CF">
            <w:pPr>
              <w:spacing w:before="93" w:line="237" w:lineRule="auto"/>
              <w:ind w:left="121" w:right="154"/>
              <w:jc w:val="both"/>
              <w:rPr>
                <w:rFonts w:ascii="宋体" w:hAnsi="宋体" w:eastAsia="宋体" w:cs="宋体"/>
                <w:sz w:val="21"/>
                <w:szCs w:val="21"/>
              </w:rPr>
            </w:pPr>
            <w:r>
              <w:rPr>
                <w:rFonts w:ascii="宋体" w:hAnsi="宋体" w:eastAsia="宋体" w:cs="宋体"/>
                <w:spacing w:val="1"/>
                <w:sz w:val="21"/>
                <w:szCs w:val="21"/>
              </w:rPr>
              <w:t>警系统现场感知监测监控设备设施未</w:t>
            </w:r>
            <w:r>
              <w:rPr>
                <w:rFonts w:ascii="宋体" w:hAnsi="宋体" w:eastAsia="宋体" w:cs="宋体"/>
                <w:spacing w:val="23"/>
                <w:sz w:val="21"/>
                <w:szCs w:val="21"/>
              </w:rPr>
              <w:t>正常运转。</w:t>
            </w:r>
          </w:p>
        </w:tc>
        <w:tc>
          <w:tcPr>
            <w:tcW w:w="4828" w:type="dxa"/>
            <w:noWrap w:val="0"/>
            <w:vAlign w:val="top"/>
          </w:tcPr>
          <w:p w14:paraId="792EBC41">
            <w:pPr>
              <w:spacing w:before="90" w:line="251" w:lineRule="auto"/>
              <w:ind w:left="122" w:firstLine="9"/>
              <w:rPr>
                <w:rFonts w:ascii="宋体" w:hAnsi="宋体" w:eastAsia="宋体" w:cs="宋体"/>
                <w:sz w:val="21"/>
                <w:szCs w:val="21"/>
              </w:rPr>
            </w:pPr>
            <w:r>
              <w:rPr>
                <w:rFonts w:ascii="宋体" w:hAnsi="宋体" w:eastAsia="宋体" w:cs="宋体"/>
                <w:spacing w:val="13"/>
                <w:sz w:val="21"/>
                <w:szCs w:val="21"/>
              </w:rPr>
              <w:t>经营单位必须对安全设备进行</w:t>
            </w:r>
            <w:r>
              <w:rPr>
                <w:rFonts w:ascii="宋体" w:hAnsi="宋体" w:eastAsia="宋体" w:cs="宋体"/>
                <w:spacing w:val="-6"/>
                <w:sz w:val="21"/>
                <w:szCs w:val="21"/>
              </w:rPr>
              <w:t>经常性维护、保养，并定期检测，</w:t>
            </w:r>
            <w:r>
              <w:rPr>
                <w:rFonts w:ascii="宋体" w:hAnsi="宋体" w:eastAsia="宋体" w:cs="宋体"/>
                <w:spacing w:val="3"/>
                <w:sz w:val="21"/>
                <w:szCs w:val="21"/>
              </w:rPr>
              <w:t>保证正常运转。维护、保养、检</w:t>
            </w:r>
            <w:r>
              <w:rPr>
                <w:rFonts w:ascii="宋体" w:hAnsi="宋体" w:eastAsia="宋体" w:cs="宋体"/>
                <w:spacing w:val="4"/>
                <w:sz w:val="21"/>
                <w:szCs w:val="21"/>
              </w:rPr>
              <w:t>测应当作好记录，并由有关人员</w:t>
            </w:r>
            <w:r>
              <w:rPr>
                <w:rFonts w:ascii="宋体" w:hAnsi="宋体" w:eastAsia="宋体" w:cs="宋体"/>
                <w:spacing w:val="-2"/>
                <w:sz w:val="21"/>
                <w:szCs w:val="21"/>
              </w:rPr>
              <w:t>签字。</w:t>
            </w:r>
          </w:p>
          <w:p w14:paraId="3B22D9FE">
            <w:pPr>
              <w:tabs>
                <w:tab w:val="left" w:pos="222"/>
              </w:tabs>
              <w:spacing w:before="59" w:line="239" w:lineRule="auto"/>
              <w:ind w:left="82" w:right="14" w:firstLine="520"/>
              <w:rPr>
                <w:rFonts w:ascii="宋体" w:hAnsi="宋体" w:eastAsia="宋体" w:cs="宋体"/>
                <w:sz w:val="21"/>
                <w:szCs w:val="21"/>
              </w:rPr>
            </w:pPr>
            <w:r>
              <w:rPr>
                <w:rFonts w:ascii="宋体" w:hAnsi="宋体" w:eastAsia="宋体" w:cs="宋体"/>
                <w:spacing w:val="-11"/>
                <w:sz w:val="21"/>
                <w:szCs w:val="21"/>
              </w:rPr>
              <w:t>2.《危险化学品建设项目安</w:t>
            </w:r>
            <w:r>
              <w:rPr>
                <w:rFonts w:ascii="宋体" w:hAnsi="宋体" w:eastAsia="宋体" w:cs="宋体"/>
                <w:spacing w:val="7"/>
                <w:sz w:val="21"/>
                <w:szCs w:val="21"/>
              </w:rPr>
              <w:t>全设施目录》(安监总危化</w:t>
            </w:r>
            <w:r>
              <w:rPr>
                <w:rFonts w:ascii="宋体" w:hAnsi="宋体" w:eastAsia="宋体" w:cs="宋体"/>
                <w:spacing w:val="11"/>
                <w:sz w:val="21"/>
                <w:szCs w:val="21"/>
              </w:rPr>
              <w:t>〔2007〕225号)预防事故设施</w:t>
            </w:r>
            <w:r>
              <w:rPr>
                <w:rFonts w:ascii="宋体" w:hAnsi="宋体" w:eastAsia="宋体" w:cs="宋体"/>
                <w:sz w:val="21"/>
                <w:szCs w:val="21"/>
              </w:rPr>
              <w:tab/>
            </w:r>
            <w:r>
              <w:rPr>
                <w:rFonts w:ascii="宋体" w:hAnsi="宋体" w:eastAsia="宋体" w:cs="宋体"/>
                <w:spacing w:val="11"/>
                <w:sz w:val="21"/>
                <w:szCs w:val="21"/>
              </w:rPr>
              <w:t>(1)检测、报警设施。压力、</w:t>
            </w:r>
          </w:p>
          <w:p w14:paraId="368B0C04">
            <w:pPr>
              <w:spacing w:before="34" w:line="251" w:lineRule="auto"/>
              <w:ind w:left="132"/>
              <w:rPr>
                <w:rFonts w:ascii="宋体" w:hAnsi="宋体" w:eastAsia="宋体" w:cs="宋体"/>
                <w:sz w:val="21"/>
                <w:szCs w:val="21"/>
              </w:rPr>
            </w:pPr>
            <w:r>
              <w:rPr>
                <w:rFonts w:ascii="宋体" w:hAnsi="宋体" w:eastAsia="宋体" w:cs="宋体"/>
                <w:spacing w:val="2"/>
                <w:sz w:val="21"/>
                <w:szCs w:val="21"/>
              </w:rPr>
              <w:t>温度、液位、流量、组份等报警</w:t>
            </w:r>
            <w:r>
              <w:rPr>
                <w:rFonts w:ascii="宋体" w:hAnsi="宋体" w:eastAsia="宋体" w:cs="宋体"/>
                <w:spacing w:val="-6"/>
                <w:sz w:val="21"/>
                <w:szCs w:val="21"/>
              </w:rPr>
              <w:t>设施，可燃气体、有毒有害气体、</w:t>
            </w:r>
            <w:r>
              <w:rPr>
                <w:rFonts w:ascii="宋体" w:hAnsi="宋体" w:eastAsia="宋体" w:cs="宋体"/>
                <w:spacing w:val="2"/>
                <w:sz w:val="21"/>
                <w:szCs w:val="21"/>
              </w:rPr>
              <w:t>氧气等检测和报警设施，用于安</w:t>
            </w:r>
            <w:r>
              <w:rPr>
                <w:rFonts w:ascii="宋体" w:hAnsi="宋体" w:eastAsia="宋体" w:cs="宋体"/>
                <w:spacing w:val="15"/>
                <w:sz w:val="21"/>
                <w:szCs w:val="21"/>
              </w:rPr>
              <w:t>全检查和安全数据分析等检测</w:t>
            </w:r>
            <w:r>
              <w:rPr>
                <w:rFonts w:ascii="宋体" w:hAnsi="宋体" w:eastAsia="宋体" w:cs="宋体"/>
                <w:spacing w:val="16"/>
                <w:sz w:val="21"/>
                <w:szCs w:val="21"/>
              </w:rPr>
              <w:t>检验设备、仪器。</w:t>
            </w:r>
          </w:p>
        </w:tc>
        <w:tc>
          <w:tcPr>
            <w:tcW w:w="2104" w:type="dxa"/>
            <w:noWrap w:val="0"/>
            <w:vAlign w:val="top"/>
          </w:tcPr>
          <w:p w14:paraId="628D9CA3">
            <w:pPr>
              <w:rPr>
                <w:rFonts w:ascii="Arial"/>
                <w:sz w:val="21"/>
                <w:szCs w:val="21"/>
              </w:rPr>
            </w:pPr>
          </w:p>
        </w:tc>
        <w:tc>
          <w:tcPr>
            <w:tcW w:w="3939" w:type="dxa"/>
            <w:noWrap w:val="0"/>
            <w:vAlign w:val="top"/>
          </w:tcPr>
          <w:p w14:paraId="48B38C1F">
            <w:pPr>
              <w:spacing w:before="87" w:line="256" w:lineRule="auto"/>
              <w:ind w:left="136" w:hanging="9"/>
              <w:jc w:val="both"/>
              <w:rPr>
                <w:rFonts w:ascii="宋体" w:hAnsi="宋体" w:eastAsia="宋体" w:cs="宋体"/>
                <w:sz w:val="21"/>
                <w:szCs w:val="21"/>
              </w:rPr>
            </w:pPr>
            <w:r>
              <w:rPr>
                <w:rFonts w:ascii="宋体" w:hAnsi="宋体" w:eastAsia="宋体" w:cs="宋体"/>
                <w:spacing w:val="17"/>
                <w:sz w:val="21"/>
                <w:szCs w:val="21"/>
              </w:rPr>
              <w:t>第三项生产经营单位</w:t>
            </w:r>
            <w:r>
              <w:rPr>
                <w:rFonts w:ascii="宋体" w:hAnsi="宋体" w:eastAsia="宋体" w:cs="宋体"/>
                <w:spacing w:val="5"/>
                <w:sz w:val="21"/>
                <w:szCs w:val="21"/>
              </w:rPr>
              <w:t>有下列行为之一的，责令</w:t>
            </w:r>
            <w:r>
              <w:rPr>
                <w:rFonts w:ascii="宋体" w:hAnsi="宋体" w:eastAsia="宋体" w:cs="宋体"/>
                <w:spacing w:val="6"/>
                <w:sz w:val="21"/>
                <w:szCs w:val="21"/>
              </w:rPr>
              <w:t>限期改正，处五万元以下</w:t>
            </w:r>
            <w:r>
              <w:rPr>
                <w:rFonts w:ascii="宋体" w:hAnsi="宋体" w:eastAsia="宋体" w:cs="宋体"/>
                <w:spacing w:val="15"/>
                <w:sz w:val="21"/>
                <w:szCs w:val="21"/>
              </w:rPr>
              <w:t>的罚款；逾期未改正的，</w:t>
            </w:r>
            <w:r>
              <w:rPr>
                <w:rFonts w:ascii="宋体" w:hAnsi="宋体" w:eastAsia="宋体" w:cs="宋体"/>
                <w:spacing w:val="25"/>
                <w:sz w:val="21"/>
                <w:szCs w:val="21"/>
              </w:rPr>
              <w:t>处五万元以上二十万元</w:t>
            </w:r>
            <w:r>
              <w:rPr>
                <w:rFonts w:ascii="宋体" w:hAnsi="宋体" w:eastAsia="宋体" w:cs="宋体"/>
                <w:spacing w:val="6"/>
                <w:sz w:val="21"/>
                <w:szCs w:val="21"/>
              </w:rPr>
              <w:t>以下的罚款，对其直接负</w:t>
            </w:r>
            <w:r>
              <w:rPr>
                <w:rFonts w:ascii="宋体" w:hAnsi="宋体" w:eastAsia="宋体" w:cs="宋体"/>
                <w:spacing w:val="25"/>
                <w:sz w:val="21"/>
                <w:szCs w:val="21"/>
              </w:rPr>
              <w:t>责的主管人员和其他直</w:t>
            </w:r>
            <w:r>
              <w:rPr>
                <w:rFonts w:ascii="宋体" w:hAnsi="宋体" w:eastAsia="宋体" w:cs="宋体"/>
                <w:spacing w:val="26"/>
                <w:sz w:val="21"/>
                <w:szCs w:val="21"/>
              </w:rPr>
              <w:t>接责任人员处一万元以</w:t>
            </w:r>
            <w:r>
              <w:rPr>
                <w:rFonts w:ascii="宋体" w:hAnsi="宋体" w:eastAsia="宋体" w:cs="宋体"/>
                <w:spacing w:val="5"/>
                <w:sz w:val="21"/>
                <w:szCs w:val="21"/>
              </w:rPr>
              <w:t>上二万元以下的罚款；情</w:t>
            </w:r>
            <w:r>
              <w:rPr>
                <w:rFonts w:ascii="宋体" w:hAnsi="宋体" w:eastAsia="宋体" w:cs="宋体"/>
                <w:spacing w:val="3"/>
                <w:sz w:val="21"/>
                <w:szCs w:val="21"/>
              </w:rPr>
              <w:t>节严重的，责令停产停业</w:t>
            </w:r>
            <w:r>
              <w:rPr>
                <w:rFonts w:ascii="宋体" w:hAnsi="宋体" w:eastAsia="宋体" w:cs="宋体"/>
                <w:spacing w:val="6"/>
                <w:sz w:val="21"/>
                <w:szCs w:val="21"/>
              </w:rPr>
              <w:t>整顿；构成犯罪的，依照</w:t>
            </w:r>
            <w:r>
              <w:rPr>
                <w:rFonts w:ascii="宋体" w:hAnsi="宋体" w:eastAsia="宋体" w:cs="宋体"/>
                <w:spacing w:val="25"/>
                <w:sz w:val="21"/>
                <w:szCs w:val="21"/>
              </w:rPr>
              <w:t>刑法有关规定追究刑事</w:t>
            </w:r>
            <w:r>
              <w:rPr>
                <w:rFonts w:ascii="宋体" w:hAnsi="宋体" w:eastAsia="宋体" w:cs="宋体"/>
                <w:spacing w:val="-6"/>
                <w:sz w:val="21"/>
                <w:szCs w:val="21"/>
              </w:rPr>
              <w:t>责任：</w:t>
            </w:r>
          </w:p>
          <w:p w14:paraId="617C6B8F">
            <w:pPr>
              <w:spacing w:before="29" w:line="231" w:lineRule="auto"/>
              <w:ind w:left="137" w:right="40" w:firstLine="570"/>
              <w:jc w:val="both"/>
              <w:rPr>
                <w:rFonts w:ascii="宋体" w:hAnsi="宋体" w:eastAsia="宋体" w:cs="宋体"/>
                <w:sz w:val="21"/>
                <w:szCs w:val="21"/>
              </w:rPr>
            </w:pPr>
            <w:r>
              <w:rPr>
                <w:rFonts w:ascii="宋体" w:hAnsi="宋体" w:eastAsia="宋体" w:cs="宋体"/>
                <w:spacing w:val="14"/>
                <w:sz w:val="21"/>
                <w:szCs w:val="21"/>
              </w:rPr>
              <w:t>(三)未对安全设备</w:t>
            </w:r>
            <w:r>
              <w:rPr>
                <w:rFonts w:ascii="宋体" w:hAnsi="宋体" w:eastAsia="宋体" w:cs="宋体"/>
                <w:spacing w:val="1"/>
                <w:sz w:val="21"/>
                <w:szCs w:val="21"/>
              </w:rPr>
              <w:t>进行经常性维护、保养和</w:t>
            </w:r>
            <w:r>
              <w:rPr>
                <w:rFonts w:ascii="宋体" w:hAnsi="宋体" w:eastAsia="宋体" w:cs="宋体"/>
                <w:spacing w:val="19"/>
                <w:sz w:val="21"/>
                <w:szCs w:val="21"/>
              </w:rPr>
              <w:t>定期检测的。</w:t>
            </w:r>
          </w:p>
        </w:tc>
        <w:tc>
          <w:tcPr>
            <w:tcW w:w="912" w:type="dxa"/>
            <w:noWrap w:val="0"/>
            <w:vAlign w:val="top"/>
          </w:tcPr>
          <w:p w14:paraId="1EC289C1">
            <w:pPr>
              <w:spacing w:before="82" w:line="248" w:lineRule="auto"/>
              <w:ind w:left="110" w:right="61" w:firstLine="89"/>
              <w:jc w:val="both"/>
              <w:rPr>
                <w:rFonts w:ascii="宋体" w:hAnsi="宋体" w:eastAsia="宋体" w:cs="宋体"/>
                <w:sz w:val="21"/>
                <w:szCs w:val="21"/>
              </w:rPr>
            </w:pPr>
            <w:r>
              <w:rPr>
                <w:rFonts w:ascii="宋体" w:hAnsi="宋体" w:eastAsia="宋体" w:cs="宋体"/>
                <w:spacing w:val="-3"/>
                <w:sz w:val="21"/>
                <w:szCs w:val="21"/>
              </w:rPr>
              <w:t>产风险监</w:t>
            </w:r>
            <w:r>
              <w:rPr>
                <w:rFonts w:ascii="宋体" w:hAnsi="宋体" w:eastAsia="宋体" w:cs="宋体"/>
                <w:spacing w:val="28"/>
                <w:sz w:val="21"/>
                <w:szCs w:val="21"/>
              </w:rPr>
              <w:t>测预警系</w:t>
            </w:r>
            <w:r>
              <w:rPr>
                <w:rFonts w:ascii="宋体" w:hAnsi="宋体" w:eastAsia="宋体" w:cs="宋体"/>
                <w:spacing w:val="25"/>
                <w:sz w:val="21"/>
                <w:szCs w:val="21"/>
              </w:rPr>
              <w:t>统运行管</w:t>
            </w:r>
            <w:r>
              <w:rPr>
                <w:rFonts w:ascii="宋体" w:hAnsi="宋体" w:eastAsia="宋体" w:cs="宋体"/>
                <w:sz w:val="21"/>
                <w:szCs w:val="21"/>
              </w:rPr>
              <w:t>理</w:t>
            </w:r>
          </w:p>
        </w:tc>
      </w:tr>
      <w:tr w14:paraId="52BA17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jc w:val="center"/>
        </w:trPr>
        <w:tc>
          <w:tcPr>
            <w:tcW w:w="14308" w:type="dxa"/>
            <w:gridSpan w:val="6"/>
            <w:noWrap w:val="0"/>
            <w:vAlign w:val="top"/>
          </w:tcPr>
          <w:p w14:paraId="088D8374">
            <w:pPr>
              <w:spacing w:before="63" w:line="219" w:lineRule="auto"/>
              <w:ind w:left="5938"/>
              <w:rPr>
                <w:rFonts w:ascii="宋体" w:hAnsi="宋体" w:eastAsia="宋体" w:cs="宋体"/>
                <w:b/>
                <w:bCs/>
                <w:spacing w:val="-5"/>
                <w:sz w:val="24"/>
                <w:szCs w:val="24"/>
              </w:rPr>
            </w:pPr>
            <w:r>
              <w:rPr>
                <w:rFonts w:ascii="宋体" w:hAnsi="宋体" w:eastAsia="宋体" w:cs="宋体"/>
                <w:b/>
                <w:bCs/>
                <w:spacing w:val="-5"/>
                <w:sz w:val="24"/>
                <w:szCs w:val="24"/>
              </w:rPr>
              <w:t>高危细分领域类</w:t>
            </w:r>
          </w:p>
          <w:p w14:paraId="39BCA668">
            <w:pPr>
              <w:spacing w:before="63" w:line="219" w:lineRule="auto"/>
              <w:ind w:left="5938"/>
              <w:rPr>
                <w:rFonts w:ascii="宋体" w:hAnsi="宋体" w:eastAsia="宋体" w:cs="宋体"/>
                <w:b/>
                <w:bCs/>
                <w:spacing w:val="-5"/>
                <w:sz w:val="24"/>
                <w:szCs w:val="24"/>
              </w:rPr>
            </w:pPr>
          </w:p>
        </w:tc>
      </w:tr>
      <w:tr w14:paraId="1C60BA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57" w:hRule="atLeast"/>
          <w:jc w:val="center"/>
        </w:trPr>
        <w:tc>
          <w:tcPr>
            <w:tcW w:w="864" w:type="dxa"/>
            <w:noWrap w:val="0"/>
            <w:vAlign w:val="top"/>
          </w:tcPr>
          <w:p w14:paraId="30FFDE88">
            <w:pPr>
              <w:spacing w:line="275" w:lineRule="auto"/>
              <w:rPr>
                <w:rFonts w:ascii="Arial"/>
                <w:sz w:val="21"/>
                <w:szCs w:val="21"/>
              </w:rPr>
            </w:pPr>
          </w:p>
          <w:p w14:paraId="304548CE">
            <w:pPr>
              <w:spacing w:line="275" w:lineRule="auto"/>
              <w:rPr>
                <w:rFonts w:ascii="Arial"/>
                <w:sz w:val="21"/>
                <w:szCs w:val="21"/>
              </w:rPr>
            </w:pPr>
          </w:p>
          <w:p w14:paraId="0E50D5B4">
            <w:pPr>
              <w:spacing w:line="276" w:lineRule="auto"/>
              <w:rPr>
                <w:rFonts w:ascii="Arial"/>
                <w:sz w:val="21"/>
                <w:szCs w:val="21"/>
              </w:rPr>
            </w:pPr>
          </w:p>
          <w:p w14:paraId="12D4F8C6">
            <w:pPr>
              <w:spacing w:before="78" w:line="183" w:lineRule="auto"/>
              <w:ind w:left="305"/>
              <w:rPr>
                <w:rFonts w:ascii="宋体" w:hAnsi="宋体" w:eastAsia="宋体" w:cs="宋体"/>
                <w:sz w:val="21"/>
                <w:szCs w:val="21"/>
              </w:rPr>
            </w:pPr>
            <w:r>
              <w:rPr>
                <w:rFonts w:ascii="宋体" w:hAnsi="宋体" w:eastAsia="宋体" w:cs="宋体"/>
                <w:spacing w:val="-4"/>
                <w:sz w:val="21"/>
                <w:szCs w:val="21"/>
              </w:rPr>
              <w:t>2</w:t>
            </w:r>
            <w:r>
              <w:rPr>
                <w:rFonts w:hint="eastAsia" w:ascii="宋体" w:hAnsi="宋体" w:eastAsia="宋体" w:cs="宋体"/>
                <w:spacing w:val="-4"/>
                <w:sz w:val="21"/>
                <w:szCs w:val="21"/>
                <w:lang w:val="en-US" w:eastAsia="zh-CN"/>
              </w:rPr>
              <w:t>4</w:t>
            </w:r>
          </w:p>
        </w:tc>
        <w:tc>
          <w:tcPr>
            <w:tcW w:w="1661" w:type="dxa"/>
            <w:noWrap w:val="0"/>
            <w:vAlign w:val="top"/>
          </w:tcPr>
          <w:p w14:paraId="2D4DDE23">
            <w:pPr>
              <w:spacing w:line="308" w:lineRule="auto"/>
              <w:rPr>
                <w:rFonts w:ascii="Arial"/>
                <w:sz w:val="21"/>
                <w:szCs w:val="21"/>
              </w:rPr>
            </w:pPr>
          </w:p>
          <w:p w14:paraId="145C2646">
            <w:pPr>
              <w:spacing w:before="78" w:line="237" w:lineRule="auto"/>
              <w:ind w:left="121" w:right="155"/>
              <w:rPr>
                <w:rFonts w:ascii="宋体" w:hAnsi="宋体" w:eastAsia="宋体" w:cs="宋体"/>
                <w:sz w:val="21"/>
                <w:szCs w:val="21"/>
              </w:rPr>
            </w:pPr>
            <w:r>
              <w:rPr>
                <w:rFonts w:ascii="宋体" w:hAnsi="宋体" w:eastAsia="宋体" w:cs="宋体"/>
                <w:spacing w:val="1"/>
                <w:sz w:val="21"/>
                <w:szCs w:val="21"/>
              </w:rPr>
              <w:t>涉及硝化反应的装</w:t>
            </w:r>
            <w:r>
              <w:rPr>
                <w:rFonts w:ascii="宋体" w:hAnsi="宋体" w:eastAsia="宋体" w:cs="宋体"/>
                <w:spacing w:val="4"/>
                <w:sz w:val="21"/>
                <w:szCs w:val="21"/>
              </w:rPr>
              <w:t>置(厂房)同一时</w:t>
            </w:r>
          </w:p>
          <w:p w14:paraId="3FF7FCF5">
            <w:pPr>
              <w:spacing w:before="21"/>
              <w:ind w:left="121" w:right="156"/>
              <w:rPr>
                <w:rFonts w:ascii="宋体" w:hAnsi="宋体" w:eastAsia="宋体" w:cs="宋体"/>
                <w:sz w:val="21"/>
                <w:szCs w:val="21"/>
              </w:rPr>
            </w:pPr>
            <w:r>
              <w:rPr>
                <w:rFonts w:ascii="宋体" w:hAnsi="宋体" w:eastAsia="宋体" w:cs="宋体"/>
                <w:spacing w:val="1"/>
                <w:sz w:val="21"/>
                <w:szCs w:val="21"/>
              </w:rPr>
              <w:t>间现场操作人员超</w:t>
            </w:r>
            <w:r>
              <w:rPr>
                <w:rFonts w:ascii="宋体" w:hAnsi="宋体" w:eastAsia="宋体" w:cs="宋体"/>
                <w:spacing w:val="29"/>
                <w:sz w:val="21"/>
                <w:szCs w:val="21"/>
              </w:rPr>
              <w:t>过3人。</w:t>
            </w:r>
          </w:p>
        </w:tc>
        <w:tc>
          <w:tcPr>
            <w:tcW w:w="4828" w:type="dxa"/>
            <w:noWrap w:val="0"/>
            <w:vAlign w:val="top"/>
          </w:tcPr>
          <w:p w14:paraId="75B0BCDA">
            <w:pPr>
              <w:rPr>
                <w:rFonts w:ascii="Arial"/>
                <w:sz w:val="21"/>
                <w:szCs w:val="21"/>
              </w:rPr>
            </w:pPr>
          </w:p>
        </w:tc>
        <w:tc>
          <w:tcPr>
            <w:tcW w:w="2104" w:type="dxa"/>
            <w:noWrap w:val="0"/>
            <w:vAlign w:val="top"/>
          </w:tcPr>
          <w:p w14:paraId="634F4551">
            <w:pPr>
              <w:spacing w:before="105" w:line="243" w:lineRule="auto"/>
              <w:ind w:left="135" w:firstLine="450"/>
              <w:jc w:val="both"/>
              <w:rPr>
                <w:rFonts w:ascii="宋体" w:hAnsi="宋体" w:eastAsia="宋体" w:cs="宋体"/>
                <w:sz w:val="21"/>
                <w:szCs w:val="21"/>
              </w:rPr>
            </w:pPr>
            <w:r>
              <w:rPr>
                <w:rFonts w:ascii="宋体" w:hAnsi="宋体" w:eastAsia="宋体" w:cs="宋体"/>
                <w:spacing w:val="-6"/>
                <w:sz w:val="21"/>
                <w:szCs w:val="21"/>
              </w:rPr>
              <w:t>1.《硝化企业安全风</w:t>
            </w:r>
            <w:r>
              <w:rPr>
                <w:rFonts w:ascii="宋体" w:hAnsi="宋体" w:eastAsia="宋体" w:cs="宋体"/>
                <w:spacing w:val="15"/>
                <w:sz w:val="21"/>
                <w:szCs w:val="21"/>
              </w:rPr>
              <w:t>险隐患排查指南(试行)》</w:t>
            </w:r>
            <w:r>
              <w:rPr>
                <w:rFonts w:ascii="宋体" w:hAnsi="宋体" w:eastAsia="宋体" w:cs="宋体"/>
                <w:spacing w:val="14"/>
                <w:sz w:val="21"/>
                <w:szCs w:val="21"/>
              </w:rPr>
              <w:t>表2重点检查项安全风</w:t>
            </w:r>
            <w:r>
              <w:rPr>
                <w:rFonts w:ascii="宋体" w:hAnsi="宋体" w:eastAsia="宋体" w:cs="宋体"/>
                <w:spacing w:val="12"/>
                <w:sz w:val="21"/>
                <w:szCs w:val="21"/>
              </w:rPr>
              <w:t>险隐患排查表第9条硝</w:t>
            </w:r>
            <w:r>
              <w:rPr>
                <w:rFonts w:ascii="宋体" w:hAnsi="宋体" w:eastAsia="宋体" w:cs="宋体"/>
                <w:spacing w:val="27"/>
                <w:sz w:val="21"/>
                <w:szCs w:val="21"/>
              </w:rPr>
              <w:t>化车间(装置)、硝化工</w:t>
            </w:r>
            <w:r>
              <w:rPr>
                <w:rFonts w:ascii="宋体" w:hAnsi="宋体" w:eastAsia="宋体" w:cs="宋体"/>
                <w:spacing w:val="6"/>
                <w:sz w:val="21"/>
                <w:szCs w:val="21"/>
              </w:rPr>
              <w:t>艺上下游装置的所有生产</w:t>
            </w:r>
          </w:p>
        </w:tc>
        <w:tc>
          <w:tcPr>
            <w:tcW w:w="3939" w:type="dxa"/>
            <w:noWrap w:val="0"/>
            <w:vAlign w:val="top"/>
          </w:tcPr>
          <w:p w14:paraId="6901AF95">
            <w:pPr>
              <w:rPr>
                <w:rFonts w:ascii="Arial"/>
                <w:sz w:val="21"/>
                <w:szCs w:val="21"/>
              </w:rPr>
            </w:pPr>
          </w:p>
        </w:tc>
        <w:tc>
          <w:tcPr>
            <w:tcW w:w="912" w:type="dxa"/>
            <w:noWrap w:val="0"/>
            <w:vAlign w:val="top"/>
          </w:tcPr>
          <w:p w14:paraId="0BA8EEC4">
            <w:pPr>
              <w:spacing w:line="323" w:lineRule="auto"/>
              <w:rPr>
                <w:rFonts w:ascii="Arial"/>
                <w:sz w:val="21"/>
                <w:szCs w:val="21"/>
              </w:rPr>
            </w:pPr>
          </w:p>
          <w:p w14:paraId="3C178666">
            <w:pPr>
              <w:spacing w:line="324" w:lineRule="auto"/>
              <w:rPr>
                <w:rFonts w:ascii="Arial"/>
                <w:sz w:val="21"/>
                <w:szCs w:val="21"/>
              </w:rPr>
            </w:pPr>
          </w:p>
          <w:p w14:paraId="775B0CAE">
            <w:pPr>
              <w:spacing w:before="78" w:line="232" w:lineRule="auto"/>
              <w:ind w:left="129" w:right="69" w:firstLine="70"/>
              <w:rPr>
                <w:rFonts w:ascii="宋体" w:hAnsi="宋体" w:eastAsia="宋体" w:cs="宋体"/>
                <w:sz w:val="21"/>
                <w:szCs w:val="21"/>
              </w:rPr>
            </w:pPr>
            <w:r>
              <w:rPr>
                <w:rFonts w:ascii="宋体" w:hAnsi="宋体" w:eastAsia="宋体" w:cs="宋体"/>
                <w:spacing w:val="3"/>
                <w:sz w:val="21"/>
                <w:szCs w:val="21"/>
              </w:rPr>
              <w:t>硝化工艺</w:t>
            </w:r>
            <w:r>
              <w:rPr>
                <w:rFonts w:ascii="宋体" w:hAnsi="宋体" w:eastAsia="宋体" w:cs="宋体"/>
                <w:spacing w:val="4"/>
                <w:sz w:val="21"/>
                <w:szCs w:val="21"/>
              </w:rPr>
              <w:t>管理</w:t>
            </w:r>
          </w:p>
        </w:tc>
      </w:tr>
    </w:tbl>
    <w:p w14:paraId="24FE1F24"/>
    <w:p w14:paraId="77353085"/>
    <w:p w14:paraId="251D3BA9"/>
    <w:p w14:paraId="64069FC0"/>
    <w:p w14:paraId="0E37796C">
      <w:pPr>
        <w:spacing w:line="79" w:lineRule="exact"/>
      </w:pP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5"/>
        <w:gridCol w:w="2228"/>
        <w:gridCol w:w="2873"/>
        <w:gridCol w:w="4315"/>
        <w:gridCol w:w="2025"/>
        <w:gridCol w:w="1244"/>
      </w:tblGrid>
      <w:tr w14:paraId="1CE9E9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jc w:val="center"/>
        </w:trPr>
        <w:tc>
          <w:tcPr>
            <w:tcW w:w="875" w:type="dxa"/>
            <w:noWrap w:val="0"/>
            <w:vAlign w:val="top"/>
          </w:tcPr>
          <w:p w14:paraId="3DD020F0">
            <w:pPr>
              <w:spacing w:before="222" w:line="221" w:lineRule="auto"/>
              <w:ind w:left="188"/>
              <w:rPr>
                <w:rFonts w:ascii="宋体" w:hAnsi="宋体" w:eastAsia="宋体" w:cs="宋体"/>
                <w:b/>
                <w:bCs/>
                <w:sz w:val="24"/>
                <w:szCs w:val="24"/>
              </w:rPr>
            </w:pPr>
            <w:r>
              <w:rPr>
                <w:rFonts w:ascii="宋体" w:hAnsi="宋体" w:eastAsia="宋体" w:cs="宋体"/>
                <w:b/>
                <w:bCs/>
                <w:spacing w:val="-5"/>
                <w:sz w:val="24"/>
                <w:szCs w:val="24"/>
              </w:rPr>
              <w:t>序号</w:t>
            </w:r>
          </w:p>
        </w:tc>
        <w:tc>
          <w:tcPr>
            <w:tcW w:w="2228" w:type="dxa"/>
            <w:noWrap w:val="0"/>
            <w:vAlign w:val="top"/>
          </w:tcPr>
          <w:p w14:paraId="56C6963E">
            <w:pPr>
              <w:spacing w:before="65" w:line="219" w:lineRule="auto"/>
              <w:ind w:left="620"/>
              <w:rPr>
                <w:rFonts w:ascii="宋体" w:hAnsi="宋体" w:eastAsia="宋体" w:cs="宋体"/>
                <w:b/>
                <w:bCs/>
                <w:sz w:val="24"/>
                <w:szCs w:val="24"/>
              </w:rPr>
            </w:pPr>
            <w:r>
              <w:rPr>
                <w:rFonts w:ascii="宋体" w:hAnsi="宋体" w:eastAsia="宋体" w:cs="宋体"/>
                <w:b/>
                <w:bCs/>
                <w:spacing w:val="3"/>
                <w:sz w:val="24"/>
                <w:szCs w:val="24"/>
              </w:rPr>
              <w:t>执法检查</w:t>
            </w:r>
          </w:p>
          <w:p w14:paraId="1C1B4761">
            <w:pPr>
              <w:spacing w:before="55" w:line="207" w:lineRule="auto"/>
              <w:ind w:left="380"/>
              <w:rPr>
                <w:rFonts w:ascii="宋体" w:hAnsi="宋体" w:eastAsia="宋体" w:cs="宋体"/>
                <w:b/>
                <w:bCs/>
                <w:sz w:val="24"/>
                <w:szCs w:val="24"/>
              </w:rPr>
            </w:pPr>
            <w:r>
              <w:rPr>
                <w:rFonts w:ascii="宋体" w:hAnsi="宋体" w:eastAsia="宋体" w:cs="宋体"/>
                <w:b/>
                <w:bCs/>
                <w:spacing w:val="2"/>
                <w:sz w:val="24"/>
                <w:szCs w:val="24"/>
              </w:rPr>
              <w:t>重点事项内容</w:t>
            </w:r>
          </w:p>
        </w:tc>
        <w:tc>
          <w:tcPr>
            <w:tcW w:w="2873" w:type="dxa"/>
            <w:noWrap w:val="0"/>
            <w:vAlign w:val="top"/>
          </w:tcPr>
          <w:p w14:paraId="54F6F459">
            <w:pPr>
              <w:spacing w:before="223" w:line="219" w:lineRule="auto"/>
              <w:ind w:left="1032"/>
              <w:rPr>
                <w:rFonts w:ascii="宋体" w:hAnsi="宋体" w:eastAsia="宋体" w:cs="宋体"/>
                <w:b/>
                <w:bCs/>
                <w:sz w:val="24"/>
                <w:szCs w:val="24"/>
              </w:rPr>
            </w:pPr>
            <w:r>
              <w:rPr>
                <w:rFonts w:ascii="宋体" w:hAnsi="宋体" w:eastAsia="宋体" w:cs="宋体"/>
                <w:b/>
                <w:bCs/>
                <w:spacing w:val="9"/>
                <w:sz w:val="24"/>
                <w:szCs w:val="24"/>
              </w:rPr>
              <w:t>执法检查依据</w:t>
            </w:r>
          </w:p>
        </w:tc>
        <w:tc>
          <w:tcPr>
            <w:tcW w:w="4315" w:type="dxa"/>
            <w:noWrap w:val="0"/>
            <w:vAlign w:val="top"/>
          </w:tcPr>
          <w:p w14:paraId="545BCE77">
            <w:pPr>
              <w:spacing w:before="85" w:line="220" w:lineRule="auto"/>
              <w:ind w:left="855"/>
              <w:rPr>
                <w:rFonts w:ascii="宋体" w:hAnsi="宋体" w:eastAsia="宋体" w:cs="宋体"/>
                <w:b/>
                <w:bCs/>
                <w:sz w:val="24"/>
                <w:szCs w:val="24"/>
              </w:rPr>
            </w:pPr>
            <w:r>
              <w:rPr>
                <w:rFonts w:ascii="宋体" w:hAnsi="宋体" w:eastAsia="宋体" w:cs="宋体"/>
                <w:b/>
                <w:bCs/>
                <w:spacing w:val="-2"/>
                <w:sz w:val="24"/>
                <w:szCs w:val="24"/>
              </w:rPr>
              <w:t>有关规范性</w:t>
            </w:r>
          </w:p>
          <w:p w14:paraId="16A9BEC2">
            <w:pPr>
              <w:spacing w:before="52" w:line="192" w:lineRule="auto"/>
              <w:ind w:left="605"/>
              <w:rPr>
                <w:rFonts w:ascii="宋体" w:hAnsi="宋体" w:eastAsia="宋体" w:cs="宋体"/>
                <w:b/>
                <w:bCs/>
                <w:sz w:val="24"/>
                <w:szCs w:val="24"/>
              </w:rPr>
            </w:pPr>
            <w:r>
              <w:rPr>
                <w:rFonts w:ascii="宋体" w:hAnsi="宋体" w:eastAsia="宋体" w:cs="宋体"/>
                <w:b/>
                <w:bCs/>
                <w:spacing w:val="1"/>
                <w:sz w:val="24"/>
                <w:szCs w:val="24"/>
              </w:rPr>
              <w:t>文件及标准要求</w:t>
            </w:r>
          </w:p>
        </w:tc>
        <w:tc>
          <w:tcPr>
            <w:tcW w:w="2025" w:type="dxa"/>
            <w:noWrap w:val="0"/>
            <w:vAlign w:val="top"/>
          </w:tcPr>
          <w:p w14:paraId="7A2C60C1">
            <w:pPr>
              <w:spacing w:before="223" w:line="219" w:lineRule="auto"/>
              <w:ind w:left="947"/>
              <w:rPr>
                <w:rFonts w:ascii="宋体" w:hAnsi="宋体" w:eastAsia="宋体" w:cs="宋体"/>
                <w:b/>
                <w:bCs/>
                <w:sz w:val="24"/>
                <w:szCs w:val="24"/>
              </w:rPr>
            </w:pPr>
            <w:r>
              <w:rPr>
                <w:rFonts w:ascii="宋体" w:hAnsi="宋体" w:eastAsia="宋体" w:cs="宋体"/>
                <w:b/>
                <w:bCs/>
                <w:spacing w:val="13"/>
                <w:sz w:val="24"/>
                <w:szCs w:val="24"/>
              </w:rPr>
              <w:t>处罚依据</w:t>
            </w:r>
          </w:p>
        </w:tc>
        <w:tc>
          <w:tcPr>
            <w:tcW w:w="1244" w:type="dxa"/>
            <w:noWrap w:val="0"/>
            <w:vAlign w:val="top"/>
          </w:tcPr>
          <w:p w14:paraId="32FADDAE">
            <w:pPr>
              <w:spacing w:before="222" w:line="221" w:lineRule="auto"/>
              <w:ind w:left="402"/>
              <w:rPr>
                <w:rFonts w:ascii="宋体" w:hAnsi="宋体" w:eastAsia="宋体" w:cs="宋体"/>
                <w:b/>
                <w:bCs/>
                <w:sz w:val="24"/>
                <w:szCs w:val="24"/>
              </w:rPr>
            </w:pPr>
            <w:r>
              <w:rPr>
                <w:rFonts w:ascii="宋体" w:hAnsi="宋体" w:eastAsia="宋体" w:cs="宋体"/>
                <w:b/>
                <w:bCs/>
                <w:spacing w:val="-6"/>
                <w:sz w:val="24"/>
                <w:szCs w:val="24"/>
              </w:rPr>
              <w:t>备注</w:t>
            </w:r>
          </w:p>
        </w:tc>
      </w:tr>
      <w:tr w14:paraId="671AC7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61" w:hRule="atLeast"/>
          <w:jc w:val="center"/>
        </w:trPr>
        <w:tc>
          <w:tcPr>
            <w:tcW w:w="875" w:type="dxa"/>
            <w:noWrap w:val="0"/>
            <w:vAlign w:val="top"/>
          </w:tcPr>
          <w:p w14:paraId="65678B59">
            <w:pPr>
              <w:rPr>
                <w:rFonts w:ascii="Arial"/>
                <w:sz w:val="21"/>
              </w:rPr>
            </w:pPr>
          </w:p>
        </w:tc>
        <w:tc>
          <w:tcPr>
            <w:tcW w:w="2228" w:type="dxa"/>
            <w:noWrap w:val="0"/>
            <w:vAlign w:val="top"/>
          </w:tcPr>
          <w:p w14:paraId="19B5C708">
            <w:pPr>
              <w:rPr>
                <w:rFonts w:ascii="Arial"/>
                <w:sz w:val="21"/>
              </w:rPr>
            </w:pPr>
          </w:p>
        </w:tc>
        <w:tc>
          <w:tcPr>
            <w:tcW w:w="2873" w:type="dxa"/>
            <w:noWrap w:val="0"/>
            <w:vAlign w:val="top"/>
          </w:tcPr>
          <w:p w14:paraId="06FFBD0A">
            <w:pPr>
              <w:rPr>
                <w:rFonts w:ascii="Arial"/>
                <w:sz w:val="21"/>
                <w:szCs w:val="21"/>
              </w:rPr>
            </w:pPr>
          </w:p>
        </w:tc>
        <w:tc>
          <w:tcPr>
            <w:tcW w:w="4315" w:type="dxa"/>
            <w:noWrap w:val="0"/>
            <w:vAlign w:val="top"/>
          </w:tcPr>
          <w:p w14:paraId="2B0FBC60">
            <w:pPr>
              <w:spacing w:before="93" w:line="235" w:lineRule="auto"/>
              <w:ind w:left="135" w:right="53"/>
              <w:jc w:val="both"/>
              <w:rPr>
                <w:rFonts w:ascii="宋体" w:hAnsi="宋体" w:eastAsia="宋体" w:cs="宋体"/>
                <w:sz w:val="21"/>
                <w:szCs w:val="21"/>
              </w:rPr>
            </w:pPr>
            <w:r>
              <w:rPr>
                <w:rFonts w:ascii="宋体" w:hAnsi="宋体" w:eastAsia="宋体" w:cs="宋体"/>
                <w:sz w:val="21"/>
                <w:szCs w:val="21"/>
              </w:rPr>
              <w:t>工序应实现全流程自动化</w:t>
            </w:r>
            <w:r>
              <w:rPr>
                <w:rFonts w:ascii="宋体" w:hAnsi="宋体" w:eastAsia="宋体" w:cs="宋体"/>
                <w:spacing w:val="-1"/>
                <w:sz w:val="21"/>
                <w:szCs w:val="21"/>
              </w:rPr>
              <w:t>控制，生产装置和储存设</w:t>
            </w:r>
            <w:r>
              <w:rPr>
                <w:rFonts w:ascii="宋体" w:hAnsi="宋体" w:eastAsia="宋体" w:cs="宋体"/>
                <w:spacing w:val="2"/>
                <w:sz w:val="21"/>
                <w:szCs w:val="21"/>
              </w:rPr>
              <w:t>施的自动化系统装备投用</w:t>
            </w:r>
            <w:r>
              <w:rPr>
                <w:rFonts w:ascii="宋体" w:hAnsi="宋体" w:eastAsia="宋体" w:cs="宋体"/>
                <w:spacing w:val="13"/>
                <w:sz w:val="21"/>
                <w:szCs w:val="21"/>
              </w:rPr>
              <w:t>率应达到100%。</w:t>
            </w:r>
          </w:p>
          <w:p w14:paraId="06F63827">
            <w:pPr>
              <w:spacing w:before="52" w:line="250" w:lineRule="auto"/>
              <w:ind w:left="125" w:right="30" w:firstLine="470"/>
              <w:jc w:val="both"/>
              <w:rPr>
                <w:rFonts w:ascii="宋体" w:hAnsi="宋体" w:eastAsia="宋体" w:cs="宋体"/>
                <w:sz w:val="21"/>
                <w:szCs w:val="21"/>
              </w:rPr>
            </w:pPr>
            <w:r>
              <w:rPr>
                <w:rFonts w:ascii="宋体" w:hAnsi="宋体" w:eastAsia="宋体" w:cs="宋体"/>
                <w:spacing w:val="-5"/>
                <w:sz w:val="21"/>
                <w:szCs w:val="21"/>
              </w:rPr>
              <w:t>2.《危险化学品企业</w:t>
            </w:r>
            <w:r>
              <w:rPr>
                <w:rFonts w:ascii="宋体" w:hAnsi="宋体" w:eastAsia="宋体" w:cs="宋体"/>
                <w:spacing w:val="12"/>
                <w:sz w:val="21"/>
                <w:szCs w:val="21"/>
              </w:rPr>
              <w:t>安全风险隐患排查治理导</w:t>
            </w:r>
            <w:r>
              <w:rPr>
                <w:rFonts w:ascii="宋体" w:hAnsi="宋体" w:eastAsia="宋体" w:cs="宋体"/>
                <w:spacing w:val="11"/>
                <w:sz w:val="21"/>
                <w:szCs w:val="21"/>
              </w:rPr>
              <w:t>则》(应急〔2019〕78号)</w:t>
            </w:r>
            <w:r>
              <w:rPr>
                <w:rFonts w:ascii="宋体" w:hAnsi="宋体" w:eastAsia="宋体" w:cs="宋体"/>
                <w:spacing w:val="16"/>
                <w:sz w:val="21"/>
                <w:szCs w:val="21"/>
              </w:rPr>
              <w:t>附件1安全基础管理安</w:t>
            </w:r>
            <w:r>
              <w:rPr>
                <w:rFonts w:ascii="宋体" w:hAnsi="宋体" w:eastAsia="宋体" w:cs="宋体"/>
                <w:spacing w:val="10"/>
                <w:sz w:val="21"/>
                <w:szCs w:val="21"/>
              </w:rPr>
              <w:t>全风险隐患排查表涉及</w:t>
            </w:r>
            <w:r>
              <w:rPr>
                <w:rFonts w:ascii="宋体" w:hAnsi="宋体" w:eastAsia="宋体" w:cs="宋体"/>
                <w:spacing w:val="11"/>
                <w:sz w:val="21"/>
                <w:szCs w:val="21"/>
              </w:rPr>
              <w:t>硝化、加氢、氟化、氯化等重点监管化工工艺及其</w:t>
            </w:r>
            <w:r>
              <w:rPr>
                <w:rFonts w:ascii="宋体" w:hAnsi="宋体" w:eastAsia="宋体" w:cs="宋体"/>
                <w:spacing w:val="18"/>
                <w:sz w:val="21"/>
                <w:szCs w:val="21"/>
              </w:rPr>
              <w:t>他反应工艺危险度2级及</w:t>
            </w:r>
            <w:r>
              <w:rPr>
                <w:rFonts w:ascii="宋体" w:hAnsi="宋体" w:eastAsia="宋体" w:cs="宋体"/>
                <w:spacing w:val="22"/>
                <w:sz w:val="21"/>
                <w:szCs w:val="21"/>
              </w:rPr>
              <w:t>以上的生产车间(区域),</w:t>
            </w:r>
            <w:r>
              <w:rPr>
                <w:rFonts w:ascii="宋体" w:hAnsi="宋体" w:eastAsia="宋体" w:cs="宋体"/>
                <w:spacing w:val="10"/>
                <w:sz w:val="21"/>
                <w:szCs w:val="21"/>
              </w:rPr>
              <w:t>同一时间现场操作人员控</w:t>
            </w:r>
            <w:r>
              <w:rPr>
                <w:rFonts w:ascii="宋体" w:hAnsi="宋体" w:eastAsia="宋体" w:cs="宋体"/>
                <w:spacing w:val="27"/>
                <w:sz w:val="21"/>
                <w:szCs w:val="21"/>
              </w:rPr>
              <w:t>制在3人以下。</w:t>
            </w:r>
          </w:p>
        </w:tc>
        <w:tc>
          <w:tcPr>
            <w:tcW w:w="2025" w:type="dxa"/>
            <w:noWrap w:val="0"/>
            <w:vAlign w:val="top"/>
          </w:tcPr>
          <w:p w14:paraId="37DA64CD">
            <w:pPr>
              <w:rPr>
                <w:rFonts w:ascii="Arial"/>
                <w:sz w:val="21"/>
                <w:szCs w:val="21"/>
              </w:rPr>
            </w:pPr>
          </w:p>
        </w:tc>
        <w:tc>
          <w:tcPr>
            <w:tcW w:w="1244" w:type="dxa"/>
            <w:noWrap w:val="0"/>
            <w:vAlign w:val="top"/>
          </w:tcPr>
          <w:p w14:paraId="004D9759">
            <w:pPr>
              <w:rPr>
                <w:rFonts w:ascii="Arial"/>
                <w:sz w:val="21"/>
              </w:rPr>
            </w:pPr>
          </w:p>
        </w:tc>
      </w:tr>
      <w:tr w14:paraId="13805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7" w:hRule="atLeast"/>
          <w:jc w:val="center"/>
        </w:trPr>
        <w:tc>
          <w:tcPr>
            <w:tcW w:w="875" w:type="dxa"/>
            <w:noWrap w:val="0"/>
            <w:vAlign w:val="top"/>
          </w:tcPr>
          <w:p w14:paraId="3141AE2C">
            <w:pPr>
              <w:spacing w:line="290" w:lineRule="auto"/>
              <w:rPr>
                <w:rFonts w:ascii="Arial"/>
                <w:sz w:val="21"/>
              </w:rPr>
            </w:pPr>
          </w:p>
          <w:p w14:paraId="5F8E284A">
            <w:pPr>
              <w:spacing w:line="291" w:lineRule="auto"/>
              <w:rPr>
                <w:rFonts w:ascii="Arial"/>
                <w:sz w:val="21"/>
              </w:rPr>
            </w:pPr>
          </w:p>
          <w:p w14:paraId="6298EA15">
            <w:pPr>
              <w:spacing w:line="291" w:lineRule="auto"/>
              <w:rPr>
                <w:rFonts w:ascii="Arial"/>
                <w:sz w:val="21"/>
              </w:rPr>
            </w:pPr>
          </w:p>
          <w:p w14:paraId="288DB11B">
            <w:pPr>
              <w:spacing w:line="291" w:lineRule="auto"/>
              <w:rPr>
                <w:rFonts w:ascii="Arial"/>
                <w:sz w:val="21"/>
              </w:rPr>
            </w:pPr>
          </w:p>
          <w:p w14:paraId="3E6AD3DB">
            <w:pPr>
              <w:spacing w:before="78" w:line="183" w:lineRule="auto"/>
              <w:ind w:left="305"/>
              <w:rPr>
                <w:rFonts w:ascii="宋体" w:hAnsi="宋体" w:eastAsia="宋体" w:cs="宋体"/>
                <w:sz w:val="24"/>
                <w:szCs w:val="24"/>
              </w:rPr>
            </w:pPr>
            <w:r>
              <w:rPr>
                <w:rFonts w:ascii="宋体" w:hAnsi="宋体" w:eastAsia="宋体" w:cs="宋体"/>
                <w:spacing w:val="-4"/>
                <w:sz w:val="24"/>
                <w:szCs w:val="24"/>
              </w:rPr>
              <w:t>2</w:t>
            </w:r>
            <w:r>
              <w:rPr>
                <w:rFonts w:hint="eastAsia" w:ascii="宋体" w:hAnsi="宋体" w:eastAsia="宋体" w:cs="宋体"/>
                <w:spacing w:val="-4"/>
                <w:sz w:val="24"/>
                <w:szCs w:val="24"/>
                <w:lang w:val="en-US" w:eastAsia="zh-CN"/>
              </w:rPr>
              <w:t>5</w:t>
            </w:r>
          </w:p>
        </w:tc>
        <w:tc>
          <w:tcPr>
            <w:tcW w:w="2228" w:type="dxa"/>
            <w:noWrap w:val="0"/>
            <w:vAlign w:val="top"/>
          </w:tcPr>
          <w:p w14:paraId="27BBDBAD">
            <w:pPr>
              <w:spacing w:before="125"/>
              <w:ind w:left="130" w:right="37" w:firstLine="9"/>
              <w:rPr>
                <w:rFonts w:ascii="宋体" w:hAnsi="宋体" w:eastAsia="宋体" w:cs="宋体"/>
                <w:sz w:val="21"/>
                <w:szCs w:val="21"/>
              </w:rPr>
            </w:pPr>
            <w:r>
              <w:rPr>
                <w:rFonts w:ascii="宋体" w:hAnsi="宋体" w:eastAsia="宋体" w:cs="宋体"/>
                <w:spacing w:val="15"/>
                <w:sz w:val="21"/>
                <w:szCs w:val="21"/>
              </w:rPr>
              <w:t>硝酸铵储存方式、</w:t>
            </w:r>
            <w:r>
              <w:rPr>
                <w:rFonts w:ascii="宋体" w:hAnsi="宋体" w:eastAsia="宋体" w:cs="宋体"/>
                <w:spacing w:val="-1"/>
                <w:sz w:val="21"/>
                <w:szCs w:val="21"/>
              </w:rPr>
              <w:t>方法以及储存数量</w:t>
            </w:r>
            <w:r>
              <w:rPr>
                <w:rFonts w:ascii="宋体" w:hAnsi="宋体" w:eastAsia="宋体" w:cs="宋体"/>
                <w:spacing w:val="2"/>
                <w:sz w:val="21"/>
                <w:szCs w:val="21"/>
              </w:rPr>
              <w:t>不符合国家标准或者国家有关规定</w:t>
            </w:r>
          </w:p>
          <w:p w14:paraId="6FFA5562">
            <w:pPr>
              <w:spacing w:before="42" w:line="239" w:lineRule="auto"/>
              <w:ind w:left="139" w:right="105" w:firstLine="60"/>
              <w:rPr>
                <w:rFonts w:ascii="宋体" w:hAnsi="宋体" w:eastAsia="宋体" w:cs="宋体"/>
                <w:sz w:val="21"/>
                <w:szCs w:val="21"/>
              </w:rPr>
            </w:pPr>
            <w:r>
              <w:rPr>
                <w:rFonts w:ascii="宋体" w:hAnsi="宋体" w:eastAsia="宋体" w:cs="宋体"/>
                <w:spacing w:val="10"/>
                <w:sz w:val="21"/>
                <w:szCs w:val="21"/>
              </w:rPr>
              <w:t>(包括未根据《危</w:t>
            </w:r>
            <w:r>
              <w:rPr>
                <w:rFonts w:ascii="宋体" w:hAnsi="宋体" w:eastAsia="宋体" w:cs="宋体"/>
                <w:spacing w:val="11"/>
                <w:sz w:val="21"/>
                <w:szCs w:val="21"/>
              </w:rPr>
              <w:t>险化学品生产装置和储存设施风险基</w:t>
            </w:r>
            <w:r>
              <w:rPr>
                <w:rFonts w:ascii="宋体" w:hAnsi="宋体" w:eastAsia="宋体" w:cs="宋体"/>
                <w:spacing w:val="-5"/>
                <w:sz w:val="21"/>
                <w:szCs w:val="21"/>
              </w:rPr>
              <w:t>准》(GB</w:t>
            </w:r>
            <w:r>
              <w:rPr>
                <w:rFonts w:ascii="宋体" w:hAnsi="宋体" w:eastAsia="宋体" w:cs="宋体"/>
                <w:spacing w:val="29"/>
                <w:sz w:val="21"/>
                <w:szCs w:val="21"/>
              </w:rPr>
              <w:t xml:space="preserve"> </w:t>
            </w:r>
            <w:r>
              <w:rPr>
                <w:rFonts w:ascii="宋体" w:hAnsi="宋体" w:eastAsia="宋体" w:cs="宋体"/>
                <w:spacing w:val="-5"/>
                <w:sz w:val="21"/>
                <w:szCs w:val="21"/>
              </w:rPr>
              <w:t>36894)</w:t>
            </w:r>
          </w:p>
        </w:tc>
        <w:tc>
          <w:tcPr>
            <w:tcW w:w="2873" w:type="dxa"/>
            <w:noWrap w:val="0"/>
            <w:vAlign w:val="top"/>
          </w:tcPr>
          <w:p w14:paraId="5898A286">
            <w:pPr>
              <w:spacing w:before="116" w:line="248" w:lineRule="auto"/>
              <w:ind w:left="142" w:firstLine="477"/>
              <w:jc w:val="both"/>
              <w:rPr>
                <w:rFonts w:ascii="宋体" w:hAnsi="宋体" w:eastAsia="宋体" w:cs="宋体"/>
                <w:sz w:val="21"/>
                <w:szCs w:val="21"/>
              </w:rPr>
            </w:pPr>
            <w:r>
              <w:rPr>
                <w:rFonts w:ascii="宋体" w:hAnsi="宋体" w:eastAsia="宋体" w:cs="宋体"/>
                <w:spacing w:val="-2"/>
                <w:sz w:val="21"/>
                <w:szCs w:val="21"/>
              </w:rPr>
              <w:t>1.《危险化学品安全管理条</w:t>
            </w:r>
            <w:r>
              <w:rPr>
                <w:rFonts w:ascii="宋体" w:hAnsi="宋体" w:eastAsia="宋体" w:cs="宋体"/>
                <w:spacing w:val="7"/>
                <w:sz w:val="21"/>
                <w:szCs w:val="21"/>
              </w:rPr>
              <w:t>例》第二十四条第二款危险化</w:t>
            </w:r>
            <w:r>
              <w:rPr>
                <w:rFonts w:ascii="宋体" w:hAnsi="宋体" w:eastAsia="宋体" w:cs="宋体"/>
                <w:spacing w:val="9"/>
                <w:sz w:val="21"/>
                <w:szCs w:val="21"/>
              </w:rPr>
              <w:t>学品的储存方式、方法以及储存</w:t>
            </w:r>
            <w:r>
              <w:rPr>
                <w:rFonts w:ascii="宋体" w:hAnsi="宋体" w:eastAsia="宋体" w:cs="宋体"/>
                <w:spacing w:val="19"/>
                <w:sz w:val="21"/>
                <w:szCs w:val="21"/>
              </w:rPr>
              <w:t>数量应当符合国家标准或者国</w:t>
            </w:r>
            <w:r>
              <w:rPr>
                <w:rFonts w:ascii="宋体" w:hAnsi="宋体" w:eastAsia="宋体" w:cs="宋体"/>
                <w:spacing w:val="28"/>
                <w:sz w:val="21"/>
                <w:szCs w:val="21"/>
              </w:rPr>
              <w:t>家有关规定。</w:t>
            </w:r>
          </w:p>
          <w:p w14:paraId="60A45257">
            <w:pPr>
              <w:spacing w:before="33" w:line="244" w:lineRule="auto"/>
              <w:ind w:left="142" w:right="44" w:firstLine="429"/>
              <w:jc w:val="both"/>
              <w:rPr>
                <w:rFonts w:ascii="宋体" w:hAnsi="宋体" w:eastAsia="宋体" w:cs="宋体"/>
                <w:sz w:val="21"/>
                <w:szCs w:val="21"/>
              </w:rPr>
            </w:pPr>
            <w:r>
              <w:rPr>
                <w:rFonts w:ascii="宋体" w:hAnsi="宋体" w:eastAsia="宋体" w:cs="宋体"/>
                <w:spacing w:val="-1"/>
                <w:sz w:val="21"/>
                <w:szCs w:val="21"/>
              </w:rPr>
              <w:t>2.《化工和危险化学品生产</w:t>
            </w:r>
            <w:r>
              <w:rPr>
                <w:rFonts w:ascii="宋体" w:hAnsi="宋体" w:eastAsia="宋体" w:cs="宋体"/>
                <w:spacing w:val="21"/>
                <w:sz w:val="21"/>
                <w:szCs w:val="21"/>
              </w:rPr>
              <w:t>经营单位重大生产安全事故隐</w:t>
            </w:r>
            <w:r>
              <w:rPr>
                <w:rFonts w:ascii="宋体" w:hAnsi="宋体" w:eastAsia="宋体" w:cs="宋体"/>
                <w:spacing w:val="27"/>
                <w:sz w:val="21"/>
                <w:szCs w:val="21"/>
              </w:rPr>
              <w:t>患判定标准(试行)》(安监总</w:t>
            </w:r>
          </w:p>
        </w:tc>
        <w:tc>
          <w:tcPr>
            <w:tcW w:w="4315" w:type="dxa"/>
            <w:noWrap w:val="0"/>
            <w:vAlign w:val="top"/>
          </w:tcPr>
          <w:p w14:paraId="47548542">
            <w:pPr>
              <w:spacing w:before="105" w:line="251" w:lineRule="auto"/>
              <w:ind w:left="135" w:firstLine="458"/>
              <w:jc w:val="both"/>
              <w:rPr>
                <w:rFonts w:ascii="宋体" w:hAnsi="宋体" w:eastAsia="宋体" w:cs="宋体"/>
                <w:sz w:val="21"/>
                <w:szCs w:val="21"/>
              </w:rPr>
            </w:pPr>
            <w:r>
              <w:rPr>
                <w:rFonts w:ascii="宋体" w:hAnsi="宋体" w:eastAsia="宋体" w:cs="宋体"/>
                <w:spacing w:val="20"/>
                <w:sz w:val="21"/>
                <w:szCs w:val="21"/>
              </w:rPr>
              <w:t>《硝酸铵生产企业专</w:t>
            </w:r>
            <w:r>
              <w:rPr>
                <w:rFonts w:ascii="宋体" w:hAnsi="宋体" w:eastAsia="宋体" w:cs="宋体"/>
                <w:spacing w:val="10"/>
                <w:sz w:val="21"/>
                <w:szCs w:val="21"/>
              </w:rPr>
              <w:t>项安全风险隐患排查指南</w:t>
            </w:r>
            <w:r>
              <w:rPr>
                <w:rFonts w:ascii="宋体" w:hAnsi="宋体" w:eastAsia="宋体" w:cs="宋体"/>
                <w:spacing w:val="34"/>
                <w:sz w:val="21"/>
                <w:szCs w:val="21"/>
              </w:rPr>
              <w:t>(试行)》表1硝酸铵</w:t>
            </w:r>
            <w:r>
              <w:rPr>
                <w:rFonts w:ascii="宋体" w:hAnsi="宋体" w:eastAsia="宋体" w:cs="宋体"/>
                <w:spacing w:val="10"/>
                <w:sz w:val="21"/>
                <w:szCs w:val="21"/>
              </w:rPr>
              <w:t>企业重点检查项安全风险</w:t>
            </w:r>
            <w:r>
              <w:rPr>
                <w:rFonts w:ascii="宋体" w:hAnsi="宋体" w:eastAsia="宋体" w:cs="宋体"/>
                <w:spacing w:val="29"/>
                <w:sz w:val="21"/>
                <w:szCs w:val="21"/>
              </w:rPr>
              <w:t>隐患排查表第11条</w:t>
            </w:r>
            <w:r>
              <w:rPr>
                <w:rFonts w:ascii="宋体" w:hAnsi="宋体" w:eastAsia="宋体" w:cs="宋体"/>
                <w:spacing w:val="12"/>
                <w:sz w:val="21"/>
                <w:szCs w:val="21"/>
              </w:rPr>
              <w:t>固体硝酸铵应储存在专用</w:t>
            </w:r>
            <w:r>
              <w:rPr>
                <w:rFonts w:ascii="宋体" w:hAnsi="宋体" w:eastAsia="宋体" w:cs="宋体"/>
                <w:spacing w:val="-4"/>
                <w:sz w:val="21"/>
                <w:szCs w:val="21"/>
              </w:rPr>
              <w:t>仓库内，严禁与易燃物、可</w:t>
            </w:r>
            <w:r>
              <w:rPr>
                <w:rFonts w:ascii="宋体" w:hAnsi="宋体" w:eastAsia="宋体" w:cs="宋体"/>
                <w:spacing w:val="10"/>
                <w:sz w:val="21"/>
                <w:szCs w:val="21"/>
              </w:rPr>
              <w:t>燃物、还原剂、强酸、强</w:t>
            </w:r>
          </w:p>
        </w:tc>
        <w:tc>
          <w:tcPr>
            <w:tcW w:w="2025" w:type="dxa"/>
            <w:noWrap w:val="0"/>
            <w:vAlign w:val="top"/>
          </w:tcPr>
          <w:p w14:paraId="0CBFC06B">
            <w:pPr>
              <w:spacing w:before="125" w:line="249" w:lineRule="auto"/>
              <w:ind w:left="157" w:firstLine="445"/>
              <w:jc w:val="both"/>
              <w:rPr>
                <w:rFonts w:ascii="宋体" w:hAnsi="宋体" w:eastAsia="宋体" w:cs="宋体"/>
                <w:sz w:val="21"/>
                <w:szCs w:val="21"/>
              </w:rPr>
            </w:pPr>
            <w:r>
              <w:rPr>
                <w:rFonts w:ascii="宋体" w:hAnsi="宋体" w:eastAsia="宋体" w:cs="宋体"/>
                <w:spacing w:val="28"/>
                <w:sz w:val="21"/>
                <w:szCs w:val="21"/>
              </w:rPr>
              <w:t>《危险化学品安全</w:t>
            </w:r>
            <w:r>
              <w:rPr>
                <w:rFonts w:ascii="宋体" w:hAnsi="宋体" w:eastAsia="宋体" w:cs="宋体"/>
                <w:spacing w:val="3"/>
                <w:sz w:val="21"/>
                <w:szCs w:val="21"/>
              </w:rPr>
              <w:t>管理条例》第八十条第五</w:t>
            </w:r>
            <w:r>
              <w:rPr>
                <w:rFonts w:ascii="宋体" w:hAnsi="宋体" w:eastAsia="宋体" w:cs="宋体"/>
                <w:spacing w:val="1"/>
                <w:sz w:val="21"/>
                <w:szCs w:val="21"/>
              </w:rPr>
              <w:t>项生产、储存、使用危</w:t>
            </w:r>
            <w:r>
              <w:rPr>
                <w:rFonts w:ascii="宋体" w:hAnsi="宋体" w:eastAsia="宋体" w:cs="宋体"/>
                <w:spacing w:val="23"/>
                <w:sz w:val="21"/>
                <w:szCs w:val="21"/>
              </w:rPr>
              <w:t>险化学品的单位有下列</w:t>
            </w:r>
            <w:r>
              <w:rPr>
                <w:rFonts w:ascii="宋体" w:hAnsi="宋体" w:eastAsia="宋体" w:cs="宋体"/>
                <w:spacing w:val="3"/>
                <w:sz w:val="21"/>
                <w:szCs w:val="21"/>
              </w:rPr>
              <w:t>情形之一的，由安全生产</w:t>
            </w:r>
            <w:r>
              <w:rPr>
                <w:rFonts w:ascii="宋体" w:hAnsi="宋体" w:eastAsia="宋体" w:cs="宋体"/>
                <w:spacing w:val="12"/>
                <w:sz w:val="21"/>
                <w:szCs w:val="21"/>
              </w:rPr>
              <w:t>监督管理部门责令改正，</w:t>
            </w:r>
            <w:r>
              <w:rPr>
                <w:rFonts w:ascii="宋体" w:hAnsi="宋体" w:eastAsia="宋体" w:cs="宋体"/>
                <w:spacing w:val="30"/>
                <w:sz w:val="21"/>
                <w:szCs w:val="21"/>
              </w:rPr>
              <w:t>处5万元以上10万元以</w:t>
            </w:r>
            <w:r>
              <w:rPr>
                <w:rFonts w:ascii="宋体" w:hAnsi="宋体" w:eastAsia="宋体" w:cs="宋体"/>
                <w:spacing w:val="12"/>
                <w:sz w:val="21"/>
                <w:szCs w:val="21"/>
              </w:rPr>
              <w:t>下的罚款；拒不改正的，</w:t>
            </w:r>
          </w:p>
        </w:tc>
        <w:tc>
          <w:tcPr>
            <w:tcW w:w="1244" w:type="dxa"/>
            <w:noWrap w:val="0"/>
            <w:vAlign w:val="top"/>
          </w:tcPr>
          <w:p w14:paraId="502C98F9">
            <w:pPr>
              <w:spacing w:line="317" w:lineRule="auto"/>
              <w:rPr>
                <w:rFonts w:ascii="Arial"/>
                <w:sz w:val="21"/>
              </w:rPr>
            </w:pPr>
          </w:p>
          <w:p w14:paraId="1D8D10DE">
            <w:pPr>
              <w:spacing w:line="317" w:lineRule="auto"/>
              <w:rPr>
                <w:rFonts w:ascii="Arial"/>
                <w:sz w:val="21"/>
              </w:rPr>
            </w:pPr>
          </w:p>
          <w:p w14:paraId="22509381">
            <w:pPr>
              <w:spacing w:line="317" w:lineRule="auto"/>
              <w:rPr>
                <w:rFonts w:ascii="Arial"/>
                <w:sz w:val="21"/>
              </w:rPr>
            </w:pPr>
          </w:p>
          <w:p w14:paraId="15FF7AF8">
            <w:pPr>
              <w:spacing w:before="78" w:line="251" w:lineRule="auto"/>
              <w:ind w:left="119" w:right="141"/>
              <w:rPr>
                <w:rFonts w:ascii="宋体" w:hAnsi="宋体" w:eastAsia="宋体" w:cs="宋体"/>
                <w:sz w:val="24"/>
                <w:szCs w:val="24"/>
              </w:rPr>
            </w:pPr>
            <w:r>
              <w:rPr>
                <w:rFonts w:ascii="宋体" w:hAnsi="宋体" w:eastAsia="宋体" w:cs="宋体"/>
                <w:spacing w:val="3"/>
                <w:sz w:val="24"/>
                <w:szCs w:val="24"/>
              </w:rPr>
              <w:t>硝酸铵管</w:t>
            </w:r>
            <w:r>
              <w:rPr>
                <w:rFonts w:ascii="宋体" w:hAnsi="宋体" w:eastAsia="宋体" w:cs="宋体"/>
                <w:sz w:val="24"/>
                <w:szCs w:val="24"/>
              </w:rPr>
              <w:t>理</w:t>
            </w:r>
          </w:p>
        </w:tc>
      </w:tr>
    </w:tbl>
    <w:p w14:paraId="1AC5F7E2"/>
    <w:p w14:paraId="2F319FD7"/>
    <w:p w14:paraId="44BECD4C"/>
    <w:p w14:paraId="781DEC4C">
      <w:pPr>
        <w:spacing w:line="49" w:lineRule="exact"/>
      </w:pP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4"/>
        <w:gridCol w:w="2238"/>
        <w:gridCol w:w="3497"/>
        <w:gridCol w:w="2868"/>
        <w:gridCol w:w="2848"/>
        <w:gridCol w:w="1244"/>
      </w:tblGrid>
      <w:tr w14:paraId="50B5F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jc w:val="center"/>
        </w:trPr>
        <w:tc>
          <w:tcPr>
            <w:tcW w:w="854" w:type="dxa"/>
            <w:noWrap w:val="0"/>
            <w:vAlign w:val="top"/>
          </w:tcPr>
          <w:p w14:paraId="63118E05">
            <w:pPr>
              <w:spacing w:before="222" w:line="221" w:lineRule="auto"/>
              <w:ind w:left="178"/>
              <w:rPr>
                <w:rFonts w:ascii="宋体" w:hAnsi="宋体" w:eastAsia="宋体" w:cs="宋体"/>
                <w:sz w:val="24"/>
                <w:szCs w:val="24"/>
              </w:rPr>
            </w:pPr>
            <w:r>
              <w:rPr>
                <w:rFonts w:ascii="宋体" w:hAnsi="宋体" w:eastAsia="宋体" w:cs="宋体"/>
                <w:b/>
                <w:bCs/>
                <w:spacing w:val="-5"/>
                <w:sz w:val="24"/>
                <w:szCs w:val="24"/>
              </w:rPr>
              <w:t>序号</w:t>
            </w:r>
          </w:p>
        </w:tc>
        <w:tc>
          <w:tcPr>
            <w:tcW w:w="2238" w:type="dxa"/>
            <w:noWrap w:val="0"/>
            <w:vAlign w:val="top"/>
          </w:tcPr>
          <w:p w14:paraId="2DF743C4">
            <w:pPr>
              <w:spacing w:before="91" w:line="219" w:lineRule="auto"/>
              <w:ind w:left="644"/>
              <w:rPr>
                <w:rFonts w:ascii="宋体" w:hAnsi="宋体" w:eastAsia="宋体" w:cs="宋体"/>
                <w:sz w:val="24"/>
                <w:szCs w:val="24"/>
              </w:rPr>
            </w:pPr>
            <w:r>
              <w:rPr>
                <w:rFonts w:ascii="宋体" w:hAnsi="宋体" w:eastAsia="宋体" w:cs="宋体"/>
                <w:b/>
                <w:bCs/>
                <w:spacing w:val="-5"/>
                <w:sz w:val="24"/>
                <w:szCs w:val="24"/>
              </w:rPr>
              <w:t>执法检查</w:t>
            </w:r>
          </w:p>
          <w:p w14:paraId="27594FAF">
            <w:pPr>
              <w:spacing w:before="35" w:line="202" w:lineRule="auto"/>
              <w:ind w:left="414"/>
              <w:rPr>
                <w:rFonts w:ascii="宋体" w:hAnsi="宋体" w:eastAsia="宋体" w:cs="宋体"/>
                <w:sz w:val="24"/>
                <w:szCs w:val="24"/>
              </w:rPr>
            </w:pPr>
            <w:r>
              <w:rPr>
                <w:rFonts w:ascii="宋体" w:hAnsi="宋体" w:eastAsia="宋体" w:cs="宋体"/>
                <w:b/>
                <w:bCs/>
                <w:spacing w:val="-4"/>
                <w:sz w:val="24"/>
                <w:szCs w:val="24"/>
              </w:rPr>
              <w:t>重点事项内容</w:t>
            </w:r>
          </w:p>
        </w:tc>
        <w:tc>
          <w:tcPr>
            <w:tcW w:w="3497" w:type="dxa"/>
            <w:noWrap w:val="0"/>
            <w:vAlign w:val="top"/>
          </w:tcPr>
          <w:p w14:paraId="570117AF">
            <w:pPr>
              <w:spacing w:before="219" w:line="219" w:lineRule="auto"/>
              <w:ind w:left="1046"/>
              <w:rPr>
                <w:rFonts w:ascii="宋体" w:hAnsi="宋体" w:eastAsia="宋体" w:cs="宋体"/>
                <w:sz w:val="24"/>
                <w:szCs w:val="24"/>
              </w:rPr>
            </w:pPr>
            <w:r>
              <w:rPr>
                <w:rFonts w:ascii="宋体" w:hAnsi="宋体" w:eastAsia="宋体" w:cs="宋体"/>
                <w:b/>
                <w:bCs/>
                <w:spacing w:val="-4"/>
                <w:sz w:val="24"/>
                <w:szCs w:val="24"/>
              </w:rPr>
              <w:t>执法检查依据</w:t>
            </w:r>
          </w:p>
        </w:tc>
        <w:tc>
          <w:tcPr>
            <w:tcW w:w="2868" w:type="dxa"/>
            <w:noWrap w:val="0"/>
            <w:vAlign w:val="top"/>
          </w:tcPr>
          <w:p w14:paraId="335C61E2">
            <w:pPr>
              <w:spacing w:before="82" w:line="220" w:lineRule="auto"/>
              <w:ind w:left="849"/>
              <w:rPr>
                <w:rFonts w:ascii="宋体" w:hAnsi="宋体" w:eastAsia="宋体" w:cs="宋体"/>
                <w:sz w:val="24"/>
                <w:szCs w:val="24"/>
              </w:rPr>
            </w:pPr>
            <w:r>
              <w:rPr>
                <w:rFonts w:ascii="宋体" w:hAnsi="宋体" w:eastAsia="宋体" w:cs="宋体"/>
                <w:b/>
                <w:bCs/>
                <w:spacing w:val="-5"/>
                <w:sz w:val="24"/>
                <w:szCs w:val="24"/>
              </w:rPr>
              <w:t>有关规范性</w:t>
            </w:r>
          </w:p>
          <w:p w14:paraId="222321D7">
            <w:pPr>
              <w:spacing w:before="22" w:line="218" w:lineRule="auto"/>
              <w:ind w:left="609"/>
              <w:rPr>
                <w:rFonts w:ascii="宋体" w:hAnsi="宋体" w:eastAsia="宋体" w:cs="宋体"/>
                <w:sz w:val="24"/>
                <w:szCs w:val="24"/>
              </w:rPr>
            </w:pPr>
            <w:r>
              <w:rPr>
                <w:rFonts w:ascii="宋体" w:hAnsi="宋体" w:eastAsia="宋体" w:cs="宋体"/>
                <w:b/>
                <w:bCs/>
                <w:spacing w:val="-4"/>
                <w:sz w:val="24"/>
                <w:szCs w:val="24"/>
              </w:rPr>
              <w:t>文件及标准要求</w:t>
            </w:r>
          </w:p>
        </w:tc>
        <w:tc>
          <w:tcPr>
            <w:tcW w:w="2848" w:type="dxa"/>
            <w:noWrap w:val="0"/>
            <w:vAlign w:val="top"/>
          </w:tcPr>
          <w:p w14:paraId="01FBA2DE">
            <w:pPr>
              <w:spacing w:before="219" w:line="219" w:lineRule="auto"/>
              <w:ind w:left="961"/>
              <w:rPr>
                <w:rFonts w:ascii="宋体" w:hAnsi="宋体" w:eastAsia="宋体" w:cs="宋体"/>
                <w:sz w:val="24"/>
                <w:szCs w:val="24"/>
              </w:rPr>
            </w:pPr>
            <w:r>
              <w:rPr>
                <w:rFonts w:ascii="宋体" w:hAnsi="宋体" w:eastAsia="宋体" w:cs="宋体"/>
                <w:b/>
                <w:bCs/>
                <w:spacing w:val="4"/>
                <w:sz w:val="24"/>
                <w:szCs w:val="24"/>
              </w:rPr>
              <w:t>处罚依据</w:t>
            </w:r>
          </w:p>
        </w:tc>
        <w:tc>
          <w:tcPr>
            <w:tcW w:w="1244" w:type="dxa"/>
            <w:noWrap w:val="0"/>
            <w:vAlign w:val="top"/>
          </w:tcPr>
          <w:p w14:paraId="5601D9F5">
            <w:pPr>
              <w:spacing w:before="222" w:line="221" w:lineRule="auto"/>
              <w:ind w:left="383"/>
              <w:rPr>
                <w:rFonts w:ascii="宋体" w:hAnsi="宋体" w:eastAsia="宋体" w:cs="宋体"/>
                <w:sz w:val="24"/>
                <w:szCs w:val="24"/>
              </w:rPr>
            </w:pPr>
            <w:r>
              <w:rPr>
                <w:rFonts w:ascii="宋体" w:hAnsi="宋体" w:eastAsia="宋体" w:cs="宋体"/>
                <w:b/>
                <w:bCs/>
                <w:spacing w:val="-6"/>
                <w:sz w:val="24"/>
                <w:szCs w:val="24"/>
              </w:rPr>
              <w:t>备注</w:t>
            </w:r>
          </w:p>
        </w:tc>
      </w:tr>
      <w:tr w14:paraId="0B9DC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854" w:type="dxa"/>
            <w:noWrap w:val="0"/>
            <w:vAlign w:val="top"/>
          </w:tcPr>
          <w:p w14:paraId="2DDA806C">
            <w:pPr>
              <w:rPr>
                <w:rFonts w:ascii="Arial"/>
                <w:sz w:val="21"/>
                <w:szCs w:val="21"/>
              </w:rPr>
            </w:pPr>
          </w:p>
        </w:tc>
        <w:tc>
          <w:tcPr>
            <w:tcW w:w="2238" w:type="dxa"/>
            <w:noWrap w:val="0"/>
            <w:vAlign w:val="top"/>
          </w:tcPr>
          <w:p w14:paraId="4E40E95E">
            <w:pPr>
              <w:spacing w:before="93" w:line="255" w:lineRule="auto"/>
              <w:ind w:left="131" w:firstLine="79"/>
              <w:jc w:val="both"/>
              <w:rPr>
                <w:rFonts w:ascii="宋体" w:hAnsi="宋体" w:eastAsia="宋体" w:cs="宋体"/>
                <w:sz w:val="21"/>
                <w:szCs w:val="21"/>
              </w:rPr>
            </w:pPr>
            <w:r>
              <w:rPr>
                <w:rFonts w:ascii="宋体" w:hAnsi="宋体" w:eastAsia="宋体" w:cs="宋体"/>
                <w:spacing w:val="9"/>
                <w:sz w:val="21"/>
                <w:szCs w:val="21"/>
              </w:rPr>
              <w:t>等标准要求确定硝</w:t>
            </w:r>
            <w:r>
              <w:rPr>
                <w:rFonts w:ascii="宋体" w:hAnsi="宋体" w:eastAsia="宋体" w:cs="宋体"/>
                <w:spacing w:val="31"/>
                <w:sz w:val="21"/>
                <w:szCs w:val="21"/>
              </w:rPr>
              <w:t>酸铵最大储存量。</w:t>
            </w:r>
            <w:r>
              <w:rPr>
                <w:rFonts w:ascii="宋体" w:hAnsi="宋体" w:eastAsia="宋体" w:cs="宋体"/>
                <w:spacing w:val="19"/>
                <w:sz w:val="21"/>
                <w:szCs w:val="21"/>
              </w:rPr>
              <w:t>硝酸铵库房间距离</w:t>
            </w:r>
            <w:r>
              <w:rPr>
                <w:rFonts w:ascii="宋体" w:hAnsi="宋体" w:eastAsia="宋体" w:cs="宋体"/>
                <w:spacing w:val="17"/>
                <w:sz w:val="21"/>
                <w:szCs w:val="21"/>
              </w:rPr>
              <w:t>不足50米；固体硝</w:t>
            </w:r>
            <w:r>
              <w:rPr>
                <w:rFonts w:ascii="宋体" w:hAnsi="宋体" w:eastAsia="宋体" w:cs="宋体"/>
                <w:spacing w:val="16"/>
                <w:sz w:val="21"/>
                <w:szCs w:val="21"/>
              </w:rPr>
              <w:t>酸铵仓库周边50米</w:t>
            </w:r>
            <w:r>
              <w:rPr>
                <w:rFonts w:ascii="宋体" w:hAnsi="宋体" w:eastAsia="宋体" w:cs="宋体"/>
                <w:spacing w:val="18"/>
                <w:sz w:val="21"/>
                <w:szCs w:val="21"/>
              </w:rPr>
              <w:t>内，存放易燃易爆</w:t>
            </w:r>
            <w:r>
              <w:rPr>
                <w:rFonts w:ascii="宋体" w:hAnsi="宋体" w:eastAsia="宋体" w:cs="宋体"/>
                <w:spacing w:val="20"/>
                <w:sz w:val="21"/>
                <w:szCs w:val="21"/>
              </w:rPr>
              <w:t>物品，建有涉及易</w:t>
            </w:r>
            <w:r>
              <w:rPr>
                <w:rFonts w:ascii="宋体" w:hAnsi="宋体" w:eastAsia="宋体" w:cs="宋体"/>
                <w:spacing w:val="19"/>
                <w:sz w:val="21"/>
                <w:szCs w:val="21"/>
              </w:rPr>
              <w:t>燃易爆物品的生产</w:t>
            </w:r>
            <w:r>
              <w:rPr>
                <w:rFonts w:ascii="宋体" w:hAnsi="宋体" w:eastAsia="宋体" w:cs="宋体"/>
                <w:spacing w:val="31"/>
                <w:sz w:val="21"/>
                <w:szCs w:val="21"/>
              </w:rPr>
              <w:t>装置和储存设施。</w:t>
            </w:r>
            <w:r>
              <w:rPr>
                <w:rFonts w:ascii="宋体" w:hAnsi="宋体" w:eastAsia="宋体" w:cs="宋体"/>
                <w:spacing w:val="16"/>
                <w:sz w:val="21"/>
                <w:szCs w:val="21"/>
              </w:rPr>
              <w:t>散装储存和露天存</w:t>
            </w:r>
            <w:r>
              <w:rPr>
                <w:rFonts w:ascii="宋体" w:hAnsi="宋体" w:eastAsia="宋体" w:cs="宋体"/>
                <w:spacing w:val="19"/>
                <w:sz w:val="21"/>
                <w:szCs w:val="21"/>
              </w:rPr>
              <w:t>放固体硝酸铵等相</w:t>
            </w:r>
            <w:r>
              <w:rPr>
                <w:rFonts w:ascii="宋体" w:hAnsi="宋体" w:eastAsia="宋体" w:cs="宋体"/>
                <w:spacing w:val="29"/>
                <w:sz w:val="21"/>
                <w:szCs w:val="21"/>
              </w:rPr>
              <w:t>关情形)。</w:t>
            </w:r>
          </w:p>
        </w:tc>
        <w:tc>
          <w:tcPr>
            <w:tcW w:w="3497" w:type="dxa"/>
            <w:noWrap w:val="0"/>
            <w:vAlign w:val="top"/>
          </w:tcPr>
          <w:p w14:paraId="6F919D79">
            <w:pPr>
              <w:spacing w:before="92" w:line="249" w:lineRule="auto"/>
              <w:ind w:left="132"/>
              <w:jc w:val="both"/>
              <w:rPr>
                <w:rFonts w:ascii="宋体" w:hAnsi="宋体" w:eastAsia="宋体" w:cs="宋体"/>
                <w:sz w:val="21"/>
                <w:szCs w:val="21"/>
              </w:rPr>
            </w:pPr>
            <w:r>
              <w:rPr>
                <w:rFonts w:ascii="宋体" w:hAnsi="宋体" w:eastAsia="宋体" w:cs="宋体"/>
                <w:spacing w:val="15"/>
                <w:sz w:val="21"/>
                <w:szCs w:val="21"/>
              </w:rPr>
              <w:t>管三〔2017〕121号)第二十条</w:t>
            </w:r>
            <w:r>
              <w:rPr>
                <w:rFonts w:ascii="宋体" w:hAnsi="宋体" w:eastAsia="宋体" w:cs="宋体"/>
                <w:spacing w:val="20"/>
                <w:sz w:val="21"/>
                <w:szCs w:val="21"/>
              </w:rPr>
              <w:t>未按国家标准分区分类储存危</w:t>
            </w:r>
            <w:r>
              <w:rPr>
                <w:rFonts w:ascii="宋体" w:hAnsi="宋体" w:eastAsia="宋体" w:cs="宋体"/>
                <w:spacing w:val="9"/>
                <w:sz w:val="21"/>
                <w:szCs w:val="21"/>
              </w:rPr>
              <w:t>险化学品，超量、超品种储存危险化学品，相互禁配物质混放混</w:t>
            </w:r>
            <w:r>
              <w:rPr>
                <w:rFonts w:ascii="宋体" w:hAnsi="宋体" w:eastAsia="宋体" w:cs="宋体"/>
                <w:sz w:val="21"/>
                <w:szCs w:val="21"/>
              </w:rPr>
              <w:t>存。</w:t>
            </w:r>
          </w:p>
          <w:p w14:paraId="16568E88">
            <w:pPr>
              <w:spacing w:before="60" w:line="254" w:lineRule="auto"/>
              <w:ind w:left="113" w:firstLine="454"/>
              <w:rPr>
                <w:rFonts w:ascii="宋体" w:hAnsi="宋体" w:eastAsia="宋体" w:cs="宋体"/>
                <w:sz w:val="21"/>
                <w:szCs w:val="21"/>
              </w:rPr>
            </w:pPr>
            <w:r>
              <w:rPr>
                <w:rFonts w:ascii="宋体" w:hAnsi="宋体" w:eastAsia="宋体" w:cs="宋体"/>
                <w:spacing w:val="-8"/>
                <w:sz w:val="21"/>
                <w:szCs w:val="21"/>
              </w:rPr>
              <w:t>3.《关于进一步加强硝酸铵</w:t>
            </w:r>
            <w:r>
              <w:rPr>
                <w:rFonts w:ascii="宋体" w:hAnsi="宋体" w:eastAsia="宋体" w:cs="宋体"/>
                <w:spacing w:val="2"/>
                <w:sz w:val="21"/>
                <w:szCs w:val="21"/>
              </w:rPr>
              <w:t>安全管理的通知》(应急〔2021〕</w:t>
            </w:r>
            <w:r>
              <w:rPr>
                <w:rFonts w:ascii="宋体" w:hAnsi="宋体" w:eastAsia="宋体" w:cs="宋体"/>
                <w:spacing w:val="23"/>
                <w:sz w:val="21"/>
                <w:szCs w:val="21"/>
              </w:rPr>
              <w:t>64号)三、完善硝酸铵储存安</w:t>
            </w:r>
            <w:r>
              <w:rPr>
                <w:rFonts w:ascii="宋体" w:hAnsi="宋体" w:eastAsia="宋体" w:cs="宋体"/>
                <w:spacing w:val="3"/>
                <w:sz w:val="21"/>
                <w:szCs w:val="21"/>
              </w:rPr>
              <w:t>全管理措施硝酸铵生产、经营</w:t>
            </w:r>
            <w:r>
              <w:rPr>
                <w:rFonts w:ascii="宋体" w:hAnsi="宋体" w:eastAsia="宋体" w:cs="宋体"/>
                <w:spacing w:val="7"/>
                <w:sz w:val="21"/>
                <w:szCs w:val="21"/>
              </w:rPr>
              <w:t>(带储存)企业和使用硝酸铵的</w:t>
            </w:r>
            <w:r>
              <w:rPr>
                <w:rFonts w:ascii="宋体" w:hAnsi="宋体" w:eastAsia="宋体" w:cs="宋体"/>
                <w:spacing w:val="13"/>
                <w:sz w:val="21"/>
                <w:szCs w:val="21"/>
              </w:rPr>
              <w:t>化工企业要进一步提升固体硝</w:t>
            </w:r>
            <w:r>
              <w:rPr>
                <w:rFonts w:ascii="宋体" w:hAnsi="宋体" w:eastAsia="宋体" w:cs="宋体"/>
                <w:spacing w:val="4"/>
                <w:sz w:val="21"/>
                <w:szCs w:val="21"/>
              </w:rPr>
              <w:t>酸库房储存条件，比照《民爆物</w:t>
            </w:r>
            <w:r>
              <w:rPr>
                <w:rFonts w:ascii="宋体" w:hAnsi="宋体" w:eastAsia="宋体" w:cs="宋体"/>
                <w:spacing w:val="-12"/>
                <w:sz w:val="21"/>
                <w:szCs w:val="21"/>
              </w:rPr>
              <w:t>品工程设计安全标准(G</w:t>
            </w:r>
            <w:r>
              <w:rPr>
                <w:rFonts w:ascii="宋体" w:hAnsi="宋体" w:eastAsia="宋体" w:cs="宋体"/>
                <w:spacing w:val="-41"/>
                <w:sz w:val="21"/>
                <w:szCs w:val="21"/>
              </w:rPr>
              <w:t xml:space="preserve"> </w:t>
            </w:r>
            <w:r>
              <w:rPr>
                <w:rFonts w:ascii="宋体" w:hAnsi="宋体" w:eastAsia="宋体" w:cs="宋体"/>
                <w:spacing w:val="-12"/>
                <w:sz w:val="21"/>
                <w:szCs w:val="21"/>
              </w:rPr>
              <w:t>B</w:t>
            </w:r>
            <w:r>
              <w:rPr>
                <w:rFonts w:ascii="宋体" w:hAnsi="宋体" w:eastAsia="宋体" w:cs="宋体"/>
                <w:sz w:val="21"/>
                <w:szCs w:val="21"/>
              </w:rPr>
              <w:t xml:space="preserve"> </w:t>
            </w:r>
            <w:r>
              <w:rPr>
                <w:rFonts w:ascii="宋体" w:hAnsi="宋体" w:eastAsia="宋体" w:cs="宋体"/>
                <w:spacing w:val="9"/>
                <w:sz w:val="21"/>
                <w:szCs w:val="21"/>
              </w:rPr>
              <w:t>50089)》7.13规定，单个库房</w:t>
            </w:r>
            <w:r>
              <w:rPr>
                <w:rFonts w:ascii="宋体" w:hAnsi="宋体" w:eastAsia="宋体" w:cs="宋体"/>
                <w:spacing w:val="4"/>
                <w:sz w:val="21"/>
                <w:szCs w:val="21"/>
              </w:rPr>
              <w:t>存储量应不大于500吨，库房周</w:t>
            </w:r>
            <w:r>
              <w:rPr>
                <w:rFonts w:ascii="宋体" w:hAnsi="宋体" w:eastAsia="宋体" w:cs="宋体"/>
                <w:spacing w:val="21"/>
                <w:sz w:val="21"/>
                <w:szCs w:val="21"/>
              </w:rPr>
              <w:t>边(50m)不得存放易燃易爆物</w:t>
            </w:r>
            <w:r>
              <w:rPr>
                <w:rFonts w:ascii="宋体" w:hAnsi="宋体" w:eastAsia="宋体" w:cs="宋体"/>
                <w:spacing w:val="5"/>
                <w:sz w:val="21"/>
                <w:szCs w:val="21"/>
              </w:rPr>
              <w:t>品、不得建有涉及易燃易爆物品</w:t>
            </w:r>
            <w:r>
              <w:rPr>
                <w:rFonts w:ascii="宋体" w:hAnsi="宋体" w:eastAsia="宋体" w:cs="宋体"/>
                <w:spacing w:val="4"/>
                <w:sz w:val="21"/>
                <w:szCs w:val="21"/>
              </w:rPr>
              <w:t>的生产装置和储存设施。固体硝</w:t>
            </w:r>
            <w:r>
              <w:rPr>
                <w:rFonts w:ascii="宋体" w:hAnsi="宋体" w:eastAsia="宋体" w:cs="宋体"/>
                <w:spacing w:val="2"/>
                <w:sz w:val="21"/>
                <w:szCs w:val="21"/>
              </w:rPr>
              <w:t>酸铵库房应按照《建筑设计防火</w:t>
            </w:r>
            <w:r>
              <w:rPr>
                <w:rFonts w:ascii="宋体" w:hAnsi="宋体" w:eastAsia="宋体" w:cs="宋体"/>
                <w:spacing w:val="11"/>
                <w:sz w:val="21"/>
                <w:szCs w:val="21"/>
              </w:rPr>
              <w:t>规范(2018年版)》(</w:t>
            </w:r>
            <w:r>
              <w:rPr>
                <w:rFonts w:ascii="宋体" w:hAnsi="宋体" w:eastAsia="宋体" w:cs="宋体"/>
                <w:sz w:val="21"/>
                <w:szCs w:val="21"/>
              </w:rPr>
              <w:t>GB</w:t>
            </w:r>
            <w:r>
              <w:rPr>
                <w:rFonts w:ascii="宋体" w:hAnsi="宋体" w:eastAsia="宋体" w:cs="宋体"/>
                <w:spacing w:val="52"/>
                <w:sz w:val="21"/>
                <w:szCs w:val="21"/>
              </w:rPr>
              <w:t xml:space="preserve"> </w:t>
            </w:r>
            <w:r>
              <w:rPr>
                <w:rFonts w:ascii="宋体" w:hAnsi="宋体" w:eastAsia="宋体" w:cs="宋体"/>
                <w:spacing w:val="11"/>
                <w:sz w:val="21"/>
                <w:szCs w:val="21"/>
              </w:rPr>
              <w:t>50016)</w:t>
            </w:r>
            <w:r>
              <w:rPr>
                <w:rFonts w:ascii="宋体" w:hAnsi="宋体" w:eastAsia="宋体" w:cs="宋体"/>
                <w:spacing w:val="4"/>
                <w:sz w:val="21"/>
                <w:szCs w:val="21"/>
              </w:rPr>
              <w:t>要求，按甲类仓库设计，单层独立建造，采用封闭结构，耐火等</w:t>
            </w:r>
            <w:r>
              <w:rPr>
                <w:rFonts w:ascii="宋体" w:hAnsi="宋体" w:eastAsia="宋体" w:cs="宋体"/>
                <w:spacing w:val="5"/>
                <w:sz w:val="21"/>
                <w:szCs w:val="21"/>
              </w:rPr>
              <w:t>级不低于二级；设置甲级防火门</w:t>
            </w:r>
          </w:p>
        </w:tc>
        <w:tc>
          <w:tcPr>
            <w:tcW w:w="2868" w:type="dxa"/>
            <w:noWrap w:val="0"/>
            <w:vAlign w:val="top"/>
          </w:tcPr>
          <w:p w14:paraId="4ED819D8">
            <w:pPr>
              <w:spacing w:before="95" w:line="253" w:lineRule="auto"/>
              <w:ind w:left="155"/>
              <w:jc w:val="both"/>
              <w:rPr>
                <w:rFonts w:ascii="宋体" w:hAnsi="宋体" w:eastAsia="宋体" w:cs="宋体"/>
                <w:sz w:val="21"/>
                <w:szCs w:val="21"/>
              </w:rPr>
            </w:pPr>
            <w:r>
              <w:rPr>
                <w:rFonts w:ascii="宋体" w:hAnsi="宋体" w:eastAsia="宋体" w:cs="宋体"/>
                <w:spacing w:val="9"/>
                <w:sz w:val="21"/>
                <w:szCs w:val="21"/>
              </w:rPr>
              <w:t>碱、亚硝酸盐、金属粉末等禁忌物质混存混放或接触；严禁露天存放、散装</w:t>
            </w:r>
            <w:r>
              <w:rPr>
                <w:rFonts w:ascii="宋体" w:hAnsi="宋体" w:eastAsia="宋体" w:cs="宋体"/>
                <w:spacing w:val="20"/>
                <w:sz w:val="21"/>
                <w:szCs w:val="21"/>
              </w:rPr>
              <w:t>储存(不带外包装的净货</w:t>
            </w:r>
            <w:r>
              <w:rPr>
                <w:rFonts w:ascii="宋体" w:hAnsi="宋体" w:eastAsia="宋体" w:cs="宋体"/>
                <w:spacing w:val="-6"/>
                <w:sz w:val="21"/>
                <w:szCs w:val="21"/>
              </w:rPr>
              <w:t>储存)。第13条固体</w:t>
            </w:r>
            <w:r>
              <w:rPr>
                <w:rFonts w:ascii="宋体" w:hAnsi="宋体" w:eastAsia="宋体" w:cs="宋体"/>
                <w:spacing w:val="23"/>
                <w:sz w:val="21"/>
                <w:szCs w:val="21"/>
              </w:rPr>
              <w:t>硝酸铵仓库周边50m内，</w:t>
            </w:r>
            <w:r>
              <w:rPr>
                <w:rFonts w:ascii="宋体" w:hAnsi="宋体" w:eastAsia="宋体" w:cs="宋体"/>
                <w:spacing w:val="9"/>
                <w:sz w:val="21"/>
                <w:szCs w:val="21"/>
              </w:rPr>
              <w:t>不应存放任何易燃易爆物</w:t>
            </w:r>
            <w:r>
              <w:rPr>
                <w:rFonts w:ascii="宋体" w:hAnsi="宋体" w:eastAsia="宋体" w:cs="宋体"/>
                <w:spacing w:val="10"/>
                <w:sz w:val="21"/>
                <w:szCs w:val="21"/>
              </w:rPr>
              <w:t>品，不应建有涉及易燃易</w:t>
            </w:r>
            <w:r>
              <w:rPr>
                <w:rFonts w:ascii="宋体" w:hAnsi="宋体" w:eastAsia="宋体" w:cs="宋体"/>
                <w:spacing w:val="7"/>
                <w:sz w:val="21"/>
                <w:szCs w:val="21"/>
              </w:rPr>
              <w:t>爆物品的生产装置和储存</w:t>
            </w:r>
            <w:r>
              <w:rPr>
                <w:rFonts w:ascii="宋体" w:hAnsi="宋体" w:eastAsia="宋体" w:cs="宋体"/>
                <w:spacing w:val="-2"/>
                <w:sz w:val="21"/>
                <w:szCs w:val="21"/>
              </w:rPr>
              <w:t>设施。</w:t>
            </w:r>
          </w:p>
          <w:p w14:paraId="7A35CAEA">
            <w:pPr>
              <w:spacing w:before="71" w:line="252" w:lineRule="auto"/>
              <w:ind w:left="155" w:right="28" w:firstLine="449"/>
              <w:jc w:val="both"/>
              <w:rPr>
                <w:rFonts w:ascii="宋体" w:hAnsi="宋体" w:eastAsia="宋体" w:cs="宋体"/>
                <w:sz w:val="21"/>
                <w:szCs w:val="21"/>
              </w:rPr>
            </w:pPr>
            <w:r>
              <w:rPr>
                <w:rFonts w:ascii="宋体" w:hAnsi="宋体" w:eastAsia="宋体" w:cs="宋体"/>
                <w:spacing w:val="18"/>
                <w:sz w:val="21"/>
                <w:szCs w:val="21"/>
              </w:rPr>
              <w:t>表2硝酸铵生产企</w:t>
            </w:r>
            <w:r>
              <w:rPr>
                <w:rFonts w:ascii="宋体" w:hAnsi="宋体" w:eastAsia="宋体" w:cs="宋体"/>
                <w:spacing w:val="11"/>
                <w:sz w:val="21"/>
                <w:szCs w:val="21"/>
              </w:rPr>
              <w:t>业重点检查项安全风险隐</w:t>
            </w:r>
            <w:r>
              <w:rPr>
                <w:rFonts w:ascii="宋体" w:hAnsi="宋体" w:eastAsia="宋体" w:cs="宋体"/>
                <w:spacing w:val="26"/>
                <w:sz w:val="21"/>
                <w:szCs w:val="21"/>
              </w:rPr>
              <w:t>患排查表第5条新</w:t>
            </w:r>
            <w:r>
              <w:rPr>
                <w:rFonts w:ascii="宋体" w:hAnsi="宋体" w:eastAsia="宋体" w:cs="宋体"/>
                <w:spacing w:val="10"/>
                <w:sz w:val="21"/>
                <w:szCs w:val="21"/>
              </w:rPr>
              <w:t>建、改建、扩建硝酸铵建</w:t>
            </w:r>
            <w:r>
              <w:rPr>
                <w:rFonts w:ascii="宋体" w:hAnsi="宋体" w:eastAsia="宋体" w:cs="宋体"/>
                <w:spacing w:val="7"/>
                <w:sz w:val="21"/>
                <w:szCs w:val="21"/>
              </w:rPr>
              <w:t>设项目应按照</w:t>
            </w:r>
            <w:r>
              <w:rPr>
                <w:rFonts w:ascii="宋体" w:hAnsi="宋体" w:eastAsia="宋体" w:cs="宋体"/>
                <w:sz w:val="21"/>
                <w:szCs w:val="21"/>
              </w:rPr>
              <w:t>GB</w:t>
            </w:r>
            <w:r>
              <w:rPr>
                <w:rFonts w:ascii="宋体" w:hAnsi="宋体" w:eastAsia="宋体" w:cs="宋体"/>
                <w:spacing w:val="7"/>
                <w:sz w:val="21"/>
                <w:szCs w:val="21"/>
              </w:rPr>
              <w:t>/T</w:t>
            </w:r>
            <w:r>
              <w:rPr>
                <w:rFonts w:ascii="宋体" w:hAnsi="宋体" w:eastAsia="宋体" w:cs="宋体"/>
                <w:spacing w:val="33"/>
                <w:sz w:val="21"/>
                <w:szCs w:val="21"/>
              </w:rPr>
              <w:t xml:space="preserve"> </w:t>
            </w:r>
            <w:r>
              <w:rPr>
                <w:rFonts w:ascii="宋体" w:hAnsi="宋体" w:eastAsia="宋体" w:cs="宋体"/>
                <w:spacing w:val="7"/>
                <w:sz w:val="21"/>
                <w:szCs w:val="21"/>
              </w:rPr>
              <w:t>37243</w:t>
            </w:r>
            <w:r>
              <w:rPr>
                <w:rFonts w:ascii="宋体" w:hAnsi="宋体" w:eastAsia="宋体" w:cs="宋体"/>
                <w:spacing w:val="11"/>
                <w:sz w:val="21"/>
                <w:szCs w:val="21"/>
              </w:rPr>
              <w:t>中的定量风险评价法确定</w:t>
            </w:r>
            <w:r>
              <w:rPr>
                <w:rFonts w:ascii="宋体" w:hAnsi="宋体" w:eastAsia="宋体" w:cs="宋体"/>
                <w:spacing w:val="10"/>
                <w:sz w:val="21"/>
                <w:szCs w:val="21"/>
              </w:rPr>
              <w:t>其外部安全防护距离，个人风险和社会风险应满足</w:t>
            </w:r>
            <w:r>
              <w:rPr>
                <w:rFonts w:ascii="宋体" w:hAnsi="宋体" w:eastAsia="宋体" w:cs="宋体"/>
                <w:sz w:val="21"/>
                <w:szCs w:val="21"/>
              </w:rPr>
              <w:t>GB</w:t>
            </w:r>
            <w:r>
              <w:rPr>
                <w:rFonts w:ascii="宋体" w:hAnsi="宋体" w:eastAsia="宋体" w:cs="宋体"/>
                <w:spacing w:val="34"/>
                <w:sz w:val="21"/>
                <w:szCs w:val="21"/>
              </w:rPr>
              <w:t xml:space="preserve"> </w:t>
            </w:r>
            <w:r>
              <w:rPr>
                <w:rFonts w:ascii="宋体" w:hAnsi="宋体" w:eastAsia="宋体" w:cs="宋体"/>
                <w:spacing w:val="9"/>
                <w:sz w:val="21"/>
                <w:szCs w:val="21"/>
              </w:rPr>
              <w:t>36894要求。确定外部</w:t>
            </w:r>
            <w:r>
              <w:rPr>
                <w:rFonts w:ascii="宋体" w:hAnsi="宋体" w:eastAsia="宋体" w:cs="宋体"/>
                <w:spacing w:val="10"/>
                <w:sz w:val="21"/>
                <w:szCs w:val="21"/>
              </w:rPr>
              <w:t>安全防护距离时，应将企</w:t>
            </w:r>
            <w:r>
              <w:rPr>
                <w:rFonts w:ascii="宋体" w:hAnsi="宋体" w:eastAsia="宋体" w:cs="宋体"/>
                <w:spacing w:val="9"/>
                <w:sz w:val="21"/>
                <w:szCs w:val="21"/>
              </w:rPr>
              <w:t>业内所有的危险化学品生</w:t>
            </w:r>
            <w:r>
              <w:rPr>
                <w:rFonts w:ascii="宋体" w:hAnsi="宋体" w:eastAsia="宋体" w:cs="宋体"/>
                <w:spacing w:val="11"/>
                <w:sz w:val="21"/>
                <w:szCs w:val="21"/>
              </w:rPr>
              <w:t>产装置和储存设施作为一</w:t>
            </w:r>
            <w:r>
              <w:rPr>
                <w:rFonts w:ascii="宋体" w:hAnsi="宋体" w:eastAsia="宋体" w:cs="宋体"/>
                <w:spacing w:val="34"/>
                <w:sz w:val="21"/>
                <w:szCs w:val="21"/>
              </w:rPr>
              <w:t>个整体进行定量风险评</w:t>
            </w:r>
          </w:p>
        </w:tc>
        <w:tc>
          <w:tcPr>
            <w:tcW w:w="2848" w:type="dxa"/>
            <w:noWrap w:val="0"/>
            <w:vAlign w:val="top"/>
          </w:tcPr>
          <w:p w14:paraId="42514827">
            <w:pPr>
              <w:spacing w:before="86" w:line="244" w:lineRule="auto"/>
              <w:ind w:left="147" w:right="34"/>
              <w:jc w:val="both"/>
              <w:rPr>
                <w:rFonts w:ascii="宋体" w:hAnsi="宋体" w:eastAsia="宋体" w:cs="宋体"/>
                <w:sz w:val="21"/>
                <w:szCs w:val="21"/>
              </w:rPr>
            </w:pPr>
            <w:r>
              <w:rPr>
                <w:rFonts w:ascii="宋体" w:hAnsi="宋体" w:eastAsia="宋体" w:cs="宋体"/>
                <w:spacing w:val="21"/>
                <w:sz w:val="21"/>
                <w:szCs w:val="21"/>
              </w:rPr>
              <w:t>责令停产停业整顿直至由原发证机关吊销其相</w:t>
            </w:r>
            <w:r>
              <w:rPr>
                <w:rFonts w:ascii="宋体" w:hAnsi="宋体" w:eastAsia="宋体" w:cs="宋体"/>
                <w:spacing w:val="1"/>
                <w:sz w:val="21"/>
                <w:szCs w:val="21"/>
              </w:rPr>
              <w:t>关许可证件，并由工商行</w:t>
            </w:r>
            <w:r>
              <w:rPr>
                <w:rFonts w:ascii="宋体" w:hAnsi="宋体" w:eastAsia="宋体" w:cs="宋体"/>
                <w:spacing w:val="20"/>
                <w:sz w:val="21"/>
                <w:szCs w:val="21"/>
              </w:rPr>
              <w:t>政管理部门责令其办理</w:t>
            </w:r>
            <w:r>
              <w:rPr>
                <w:rFonts w:ascii="宋体" w:hAnsi="宋体" w:eastAsia="宋体" w:cs="宋体"/>
                <w:spacing w:val="21"/>
                <w:sz w:val="21"/>
                <w:szCs w:val="21"/>
              </w:rPr>
              <w:t>经营范围变更登记或者</w:t>
            </w:r>
            <w:r>
              <w:rPr>
                <w:rFonts w:ascii="宋体" w:hAnsi="宋体" w:eastAsia="宋体" w:cs="宋体"/>
                <w:spacing w:val="1"/>
                <w:sz w:val="21"/>
                <w:szCs w:val="21"/>
              </w:rPr>
              <w:t>吊销其营业执照；有关责</w:t>
            </w:r>
            <w:r>
              <w:rPr>
                <w:rFonts w:ascii="宋体" w:hAnsi="宋体" w:eastAsia="宋体" w:cs="宋体"/>
                <w:spacing w:val="-1"/>
                <w:sz w:val="21"/>
                <w:szCs w:val="21"/>
              </w:rPr>
              <w:t>任人员构成犯罪的，依法</w:t>
            </w:r>
            <w:r>
              <w:rPr>
                <w:rFonts w:ascii="宋体" w:hAnsi="宋体" w:eastAsia="宋体" w:cs="宋体"/>
                <w:spacing w:val="17"/>
                <w:sz w:val="21"/>
                <w:szCs w:val="21"/>
              </w:rPr>
              <w:t>追究刑事责任：</w:t>
            </w:r>
          </w:p>
          <w:p w14:paraId="25FBB0F2">
            <w:pPr>
              <w:spacing w:before="55" w:line="238" w:lineRule="auto"/>
              <w:ind w:left="147" w:right="58" w:firstLine="560"/>
              <w:jc w:val="both"/>
              <w:rPr>
                <w:rFonts w:ascii="宋体" w:hAnsi="宋体" w:eastAsia="宋体" w:cs="宋体"/>
                <w:sz w:val="21"/>
                <w:szCs w:val="21"/>
              </w:rPr>
            </w:pPr>
            <w:r>
              <w:rPr>
                <w:rFonts w:ascii="宋体" w:hAnsi="宋体" w:eastAsia="宋体" w:cs="宋体"/>
                <w:spacing w:val="15"/>
                <w:sz w:val="21"/>
                <w:szCs w:val="21"/>
              </w:rPr>
              <w:t>(五)危险化学品的</w:t>
            </w:r>
            <w:r>
              <w:rPr>
                <w:rFonts w:ascii="宋体" w:hAnsi="宋体" w:eastAsia="宋体" w:cs="宋体"/>
                <w:spacing w:val="-1"/>
                <w:sz w:val="21"/>
                <w:szCs w:val="21"/>
              </w:rPr>
              <w:t>储存方式、方法或者储存</w:t>
            </w:r>
            <w:r>
              <w:rPr>
                <w:rFonts w:ascii="宋体" w:hAnsi="宋体" w:eastAsia="宋体" w:cs="宋体"/>
                <w:spacing w:val="21"/>
                <w:sz w:val="21"/>
                <w:szCs w:val="21"/>
              </w:rPr>
              <w:t>数量不符合国家标准或</w:t>
            </w:r>
            <w:r>
              <w:rPr>
                <w:rFonts w:ascii="宋体" w:hAnsi="宋体" w:eastAsia="宋体" w:cs="宋体"/>
                <w:spacing w:val="13"/>
                <w:sz w:val="21"/>
                <w:szCs w:val="21"/>
              </w:rPr>
              <w:t>者国家有关规定的。</w:t>
            </w:r>
          </w:p>
        </w:tc>
        <w:tc>
          <w:tcPr>
            <w:tcW w:w="1244" w:type="dxa"/>
            <w:noWrap w:val="0"/>
            <w:vAlign w:val="top"/>
          </w:tcPr>
          <w:p w14:paraId="7C221F30">
            <w:pPr>
              <w:rPr>
                <w:rFonts w:ascii="Arial"/>
                <w:sz w:val="21"/>
                <w:szCs w:val="21"/>
              </w:rPr>
            </w:pPr>
          </w:p>
        </w:tc>
      </w:tr>
    </w:tbl>
    <w:p w14:paraId="0B8B4176"/>
    <w:p w14:paraId="666D54F6"/>
    <w:p w14:paraId="3D3C5D0E"/>
    <w:p w14:paraId="2223C54C"/>
    <w:p w14:paraId="098957F2">
      <w:pPr>
        <w:spacing w:line="19" w:lineRule="exact"/>
      </w:pPr>
    </w:p>
    <w:tbl>
      <w:tblPr>
        <w:tblStyle w:val="12"/>
        <w:tblpPr w:leftFromText="180" w:rightFromText="180" w:vertAnchor="text" w:horzAnchor="page" w:tblpX="1609" w:tblpY="44"/>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4"/>
        <w:gridCol w:w="2239"/>
        <w:gridCol w:w="3979"/>
        <w:gridCol w:w="3480"/>
        <w:gridCol w:w="1744"/>
        <w:gridCol w:w="1244"/>
      </w:tblGrid>
      <w:tr w14:paraId="43449F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trPr>
        <w:tc>
          <w:tcPr>
            <w:tcW w:w="864" w:type="dxa"/>
            <w:noWrap w:val="0"/>
            <w:vAlign w:val="top"/>
          </w:tcPr>
          <w:p w14:paraId="02335798">
            <w:pPr>
              <w:spacing w:before="222" w:line="221" w:lineRule="auto"/>
              <w:ind w:left="188"/>
              <w:rPr>
                <w:rFonts w:ascii="宋体" w:hAnsi="宋体" w:eastAsia="宋体" w:cs="宋体"/>
                <w:b/>
                <w:bCs/>
                <w:sz w:val="24"/>
                <w:szCs w:val="24"/>
              </w:rPr>
            </w:pPr>
            <w:r>
              <w:rPr>
                <w:rFonts w:ascii="宋体" w:hAnsi="宋体" w:eastAsia="宋体" w:cs="宋体"/>
                <w:b/>
                <w:bCs/>
                <w:spacing w:val="-5"/>
                <w:sz w:val="24"/>
                <w:szCs w:val="24"/>
              </w:rPr>
              <w:t>序号</w:t>
            </w:r>
          </w:p>
        </w:tc>
        <w:tc>
          <w:tcPr>
            <w:tcW w:w="2239" w:type="dxa"/>
            <w:noWrap w:val="0"/>
            <w:vAlign w:val="top"/>
          </w:tcPr>
          <w:p w14:paraId="4DA16E01">
            <w:pPr>
              <w:spacing w:before="101" w:line="219" w:lineRule="auto"/>
              <w:ind w:left="634"/>
              <w:rPr>
                <w:rFonts w:ascii="宋体" w:hAnsi="宋体" w:eastAsia="宋体" w:cs="宋体"/>
                <w:b/>
                <w:bCs/>
                <w:sz w:val="24"/>
                <w:szCs w:val="24"/>
              </w:rPr>
            </w:pPr>
            <w:r>
              <w:rPr>
                <w:rFonts w:ascii="宋体" w:hAnsi="宋体" w:eastAsia="宋体" w:cs="宋体"/>
                <w:b/>
                <w:bCs/>
                <w:spacing w:val="-5"/>
                <w:sz w:val="24"/>
                <w:szCs w:val="24"/>
              </w:rPr>
              <w:t>执法检查</w:t>
            </w:r>
          </w:p>
          <w:p w14:paraId="26A023F8">
            <w:pPr>
              <w:spacing w:before="14" w:line="210" w:lineRule="auto"/>
              <w:ind w:left="394"/>
              <w:rPr>
                <w:rFonts w:ascii="宋体" w:hAnsi="宋体" w:eastAsia="宋体" w:cs="宋体"/>
                <w:b/>
                <w:bCs/>
                <w:sz w:val="24"/>
                <w:szCs w:val="24"/>
              </w:rPr>
            </w:pPr>
            <w:r>
              <w:rPr>
                <w:rFonts w:ascii="宋体" w:hAnsi="宋体" w:eastAsia="宋体" w:cs="宋体"/>
                <w:b/>
                <w:bCs/>
                <w:spacing w:val="-4"/>
                <w:sz w:val="24"/>
                <w:szCs w:val="24"/>
              </w:rPr>
              <w:t>重点事项内容</w:t>
            </w:r>
          </w:p>
        </w:tc>
        <w:tc>
          <w:tcPr>
            <w:tcW w:w="3979" w:type="dxa"/>
            <w:noWrap w:val="0"/>
            <w:vAlign w:val="top"/>
          </w:tcPr>
          <w:p w14:paraId="3D76FE66">
            <w:pPr>
              <w:spacing w:before="219" w:line="219" w:lineRule="auto"/>
              <w:ind w:left="1035"/>
              <w:rPr>
                <w:rFonts w:ascii="宋体" w:hAnsi="宋体" w:eastAsia="宋体" w:cs="宋体"/>
                <w:b/>
                <w:bCs/>
                <w:sz w:val="24"/>
                <w:szCs w:val="24"/>
              </w:rPr>
            </w:pPr>
            <w:r>
              <w:rPr>
                <w:rFonts w:ascii="宋体" w:hAnsi="宋体" w:eastAsia="宋体" w:cs="宋体"/>
                <w:b/>
                <w:bCs/>
                <w:spacing w:val="-4"/>
                <w:sz w:val="24"/>
                <w:szCs w:val="24"/>
              </w:rPr>
              <w:t>执法检查依据</w:t>
            </w:r>
          </w:p>
        </w:tc>
        <w:tc>
          <w:tcPr>
            <w:tcW w:w="3480" w:type="dxa"/>
            <w:noWrap w:val="0"/>
            <w:vAlign w:val="top"/>
          </w:tcPr>
          <w:p w14:paraId="6EBAB142">
            <w:pPr>
              <w:spacing w:before="85" w:line="220" w:lineRule="auto"/>
              <w:ind w:left="845"/>
              <w:rPr>
                <w:rFonts w:ascii="宋体" w:hAnsi="宋体" w:eastAsia="宋体" w:cs="宋体"/>
                <w:b/>
                <w:bCs/>
                <w:sz w:val="24"/>
                <w:szCs w:val="24"/>
              </w:rPr>
            </w:pPr>
            <w:r>
              <w:rPr>
                <w:rFonts w:ascii="宋体" w:hAnsi="宋体" w:eastAsia="宋体" w:cs="宋体"/>
                <w:b/>
                <w:bCs/>
                <w:spacing w:val="-2"/>
                <w:sz w:val="24"/>
                <w:szCs w:val="24"/>
              </w:rPr>
              <w:t>有关规范性</w:t>
            </w:r>
          </w:p>
          <w:p w14:paraId="67083008">
            <w:pPr>
              <w:spacing w:before="42" w:line="200" w:lineRule="auto"/>
              <w:ind w:left="585"/>
              <w:rPr>
                <w:rFonts w:ascii="宋体" w:hAnsi="宋体" w:eastAsia="宋体" w:cs="宋体"/>
                <w:b/>
                <w:bCs/>
                <w:sz w:val="24"/>
                <w:szCs w:val="24"/>
              </w:rPr>
            </w:pPr>
            <w:r>
              <w:rPr>
                <w:rFonts w:ascii="宋体" w:hAnsi="宋体" w:eastAsia="宋体" w:cs="宋体"/>
                <w:b/>
                <w:bCs/>
                <w:spacing w:val="1"/>
                <w:sz w:val="24"/>
                <w:szCs w:val="24"/>
              </w:rPr>
              <w:t>文件及标准要求</w:t>
            </w:r>
          </w:p>
        </w:tc>
        <w:tc>
          <w:tcPr>
            <w:tcW w:w="1744" w:type="dxa"/>
            <w:noWrap w:val="0"/>
            <w:vAlign w:val="top"/>
          </w:tcPr>
          <w:p w14:paraId="4DFC0463">
            <w:pPr>
              <w:spacing w:before="223" w:line="219" w:lineRule="auto"/>
              <w:ind w:left="937"/>
              <w:rPr>
                <w:rFonts w:ascii="宋体" w:hAnsi="宋体" w:eastAsia="宋体" w:cs="宋体"/>
                <w:b/>
                <w:bCs/>
                <w:sz w:val="24"/>
                <w:szCs w:val="24"/>
              </w:rPr>
            </w:pPr>
            <w:r>
              <w:rPr>
                <w:rFonts w:ascii="宋体" w:hAnsi="宋体" w:eastAsia="宋体" w:cs="宋体"/>
                <w:b/>
                <w:bCs/>
                <w:spacing w:val="3"/>
                <w:sz w:val="24"/>
                <w:szCs w:val="24"/>
              </w:rPr>
              <w:t>处罚依据</w:t>
            </w:r>
          </w:p>
        </w:tc>
        <w:tc>
          <w:tcPr>
            <w:tcW w:w="1244" w:type="dxa"/>
            <w:noWrap w:val="0"/>
            <w:vAlign w:val="top"/>
          </w:tcPr>
          <w:p w14:paraId="5D7E36E5">
            <w:pPr>
              <w:spacing w:before="222" w:line="221" w:lineRule="auto"/>
              <w:ind w:left="382"/>
              <w:rPr>
                <w:rFonts w:ascii="宋体" w:hAnsi="宋体" w:eastAsia="宋体" w:cs="宋体"/>
                <w:b/>
                <w:bCs/>
                <w:sz w:val="24"/>
                <w:szCs w:val="24"/>
              </w:rPr>
            </w:pPr>
            <w:r>
              <w:rPr>
                <w:rFonts w:ascii="宋体" w:hAnsi="宋体" w:eastAsia="宋体" w:cs="宋体"/>
                <w:b/>
                <w:bCs/>
                <w:spacing w:val="-6"/>
                <w:sz w:val="24"/>
                <w:szCs w:val="24"/>
              </w:rPr>
              <w:t>备注</w:t>
            </w:r>
          </w:p>
        </w:tc>
      </w:tr>
      <w:tr w14:paraId="42BCD1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20" w:hRule="atLeast"/>
        </w:trPr>
        <w:tc>
          <w:tcPr>
            <w:tcW w:w="864" w:type="dxa"/>
            <w:noWrap w:val="0"/>
            <w:vAlign w:val="top"/>
          </w:tcPr>
          <w:p w14:paraId="746A0813">
            <w:pPr>
              <w:rPr>
                <w:rFonts w:ascii="Arial"/>
                <w:sz w:val="21"/>
              </w:rPr>
            </w:pPr>
          </w:p>
        </w:tc>
        <w:tc>
          <w:tcPr>
            <w:tcW w:w="2239" w:type="dxa"/>
            <w:noWrap w:val="0"/>
            <w:vAlign w:val="top"/>
          </w:tcPr>
          <w:p w14:paraId="5183EFE0">
            <w:pPr>
              <w:rPr>
                <w:rFonts w:ascii="Arial"/>
                <w:sz w:val="21"/>
                <w:szCs w:val="21"/>
              </w:rPr>
            </w:pPr>
          </w:p>
        </w:tc>
        <w:tc>
          <w:tcPr>
            <w:tcW w:w="3979" w:type="dxa"/>
            <w:noWrap w:val="0"/>
            <w:vAlign w:val="top"/>
          </w:tcPr>
          <w:p w14:paraId="5ED971B1">
            <w:pPr>
              <w:spacing w:before="110" w:line="212" w:lineRule="auto"/>
              <w:ind w:left="102"/>
              <w:jc w:val="left"/>
              <w:rPr>
                <w:rFonts w:ascii="宋体" w:hAnsi="宋体" w:eastAsia="宋体" w:cs="宋体"/>
                <w:sz w:val="21"/>
                <w:szCs w:val="21"/>
              </w:rPr>
            </w:pPr>
            <w:r>
              <w:rPr>
                <w:rFonts w:ascii="宋体" w:hAnsi="宋体" w:eastAsia="宋体" w:cs="宋体"/>
                <w:sz w:val="21"/>
                <w:szCs w:val="21"/>
              </w:rPr>
              <w:t>窗。库房内须完善强制通风、远红外热成像监测报警、喷淋降温</w:t>
            </w:r>
            <w:r>
              <w:rPr>
                <w:rFonts w:ascii="宋体" w:hAnsi="宋体" w:eastAsia="宋体" w:cs="宋体"/>
                <w:spacing w:val="1"/>
                <w:sz w:val="21"/>
                <w:szCs w:val="21"/>
              </w:rPr>
              <w:t>和视频监控等安全设施，库房外</w:t>
            </w:r>
            <w:r>
              <w:rPr>
                <w:rFonts w:ascii="宋体" w:hAnsi="宋体" w:eastAsia="宋体" w:cs="宋体"/>
                <w:spacing w:val="11"/>
                <w:sz w:val="21"/>
                <w:szCs w:val="21"/>
              </w:rPr>
              <w:t>须设置火焰视频识别报警等安</w:t>
            </w:r>
            <w:r>
              <w:rPr>
                <w:rFonts w:ascii="宋体" w:hAnsi="宋体" w:eastAsia="宋体" w:cs="宋体"/>
                <w:spacing w:val="-1"/>
                <w:sz w:val="21"/>
                <w:szCs w:val="21"/>
              </w:rPr>
              <w:t>全设施，有关监测报警和视频监</w:t>
            </w:r>
            <w:r>
              <w:rPr>
                <w:rFonts w:ascii="宋体" w:hAnsi="宋体" w:eastAsia="宋体" w:cs="宋体"/>
                <w:spacing w:val="10"/>
                <w:sz w:val="21"/>
                <w:szCs w:val="21"/>
              </w:rPr>
              <w:t>控信号接入危险化学品安全生</w:t>
            </w:r>
            <w:r>
              <w:rPr>
                <w:rFonts w:ascii="宋体" w:hAnsi="宋体" w:eastAsia="宋体" w:cs="宋体"/>
                <w:sz w:val="21"/>
                <w:szCs w:val="21"/>
              </w:rPr>
              <w:t>产风险监测预警系统。硝酸铵生</w:t>
            </w:r>
            <w:r>
              <w:rPr>
                <w:rFonts w:ascii="宋体" w:hAnsi="宋体" w:eastAsia="宋体" w:cs="宋体"/>
                <w:spacing w:val="12"/>
                <w:sz w:val="21"/>
                <w:szCs w:val="21"/>
              </w:rPr>
              <w:t>产、经营(带储存)企业和使用</w:t>
            </w:r>
            <w:r>
              <w:rPr>
                <w:rFonts w:ascii="宋体" w:hAnsi="宋体" w:eastAsia="宋体" w:cs="宋体"/>
                <w:spacing w:val="13"/>
                <w:sz w:val="21"/>
                <w:szCs w:val="21"/>
              </w:rPr>
              <w:t>硝酸铵的化工企业的固体硝酸</w:t>
            </w:r>
            <w:r>
              <w:rPr>
                <w:rFonts w:ascii="宋体" w:hAnsi="宋体" w:eastAsia="宋体" w:cs="宋体"/>
                <w:spacing w:val="10"/>
                <w:sz w:val="21"/>
                <w:szCs w:val="21"/>
              </w:rPr>
              <w:t>铵库房在满足上述储存条件的</w:t>
            </w:r>
            <w:r>
              <w:rPr>
                <w:rFonts w:ascii="宋体" w:hAnsi="宋体" w:eastAsia="宋体" w:cs="宋体"/>
                <w:sz w:val="21"/>
                <w:szCs w:val="21"/>
              </w:rPr>
              <w:t>情况下方可储存。固体硝酸铵应严格按照《常用化学危险品贮存</w:t>
            </w:r>
            <w:r>
              <w:rPr>
                <w:rFonts w:ascii="宋体" w:hAnsi="宋体" w:eastAsia="宋体" w:cs="宋体"/>
                <w:spacing w:val="14"/>
                <w:sz w:val="21"/>
                <w:szCs w:val="21"/>
              </w:rPr>
              <w:t>通则》(</w:t>
            </w:r>
            <w:r>
              <w:rPr>
                <w:rFonts w:ascii="宋体" w:hAnsi="宋体" w:eastAsia="宋体" w:cs="宋体"/>
                <w:sz w:val="21"/>
                <w:szCs w:val="21"/>
              </w:rPr>
              <w:t>GB</w:t>
            </w:r>
            <w:r>
              <w:rPr>
                <w:rFonts w:ascii="宋体" w:hAnsi="宋体" w:eastAsia="宋体" w:cs="宋体"/>
                <w:spacing w:val="14"/>
                <w:sz w:val="21"/>
                <w:szCs w:val="21"/>
              </w:rPr>
              <w:t>15603)6.5条要求，</w:t>
            </w:r>
            <w:r>
              <w:rPr>
                <w:rFonts w:ascii="宋体" w:hAnsi="宋体" w:eastAsia="宋体" w:cs="宋体"/>
                <w:sz w:val="21"/>
                <w:szCs w:val="21"/>
              </w:rPr>
              <w:t>不准与其他类物品同储，必须单</w:t>
            </w:r>
          </w:p>
          <w:p w14:paraId="7F7EEB21">
            <w:pPr>
              <w:spacing w:before="49" w:line="208" w:lineRule="auto"/>
              <w:ind w:left="102"/>
              <w:jc w:val="left"/>
              <w:rPr>
                <w:rFonts w:ascii="宋体" w:hAnsi="宋体" w:eastAsia="宋体" w:cs="宋体"/>
                <w:sz w:val="21"/>
                <w:szCs w:val="21"/>
              </w:rPr>
            </w:pPr>
            <w:r>
              <w:rPr>
                <w:rFonts w:ascii="宋体" w:hAnsi="宋体" w:eastAsia="宋体" w:cs="宋体"/>
                <w:spacing w:val="11"/>
                <w:sz w:val="21"/>
                <w:szCs w:val="21"/>
              </w:rPr>
              <w:t>独隔离限量储存，严禁超量储</w:t>
            </w:r>
            <w:r>
              <w:rPr>
                <w:rFonts w:ascii="宋体" w:hAnsi="宋体" w:eastAsia="宋体" w:cs="宋体"/>
                <w:spacing w:val="-1"/>
                <w:sz w:val="21"/>
                <w:szCs w:val="21"/>
              </w:rPr>
              <w:t>存。固体硝酸铵严禁与可燃物粉</w:t>
            </w:r>
            <w:r>
              <w:rPr>
                <w:rFonts w:ascii="宋体" w:hAnsi="宋体" w:eastAsia="宋体" w:cs="宋体"/>
                <w:spacing w:val="13"/>
                <w:sz w:val="21"/>
                <w:szCs w:val="21"/>
              </w:rPr>
              <w:t>末、性质不相容的有机物及金</w:t>
            </w:r>
            <w:r>
              <w:rPr>
                <w:rFonts w:ascii="宋体" w:hAnsi="宋体" w:eastAsia="宋体" w:cs="宋体"/>
                <w:sz w:val="21"/>
                <w:szCs w:val="21"/>
              </w:rPr>
              <w:t>属、强酸、强碱接触，严禁露天</w:t>
            </w:r>
            <w:r>
              <w:rPr>
                <w:rFonts w:ascii="宋体" w:hAnsi="宋体" w:eastAsia="宋体" w:cs="宋体"/>
                <w:spacing w:val="-6"/>
                <w:sz w:val="21"/>
                <w:szCs w:val="21"/>
              </w:rPr>
              <w:t>储存。</w:t>
            </w:r>
          </w:p>
        </w:tc>
        <w:tc>
          <w:tcPr>
            <w:tcW w:w="3480" w:type="dxa"/>
            <w:noWrap w:val="0"/>
            <w:vAlign w:val="top"/>
          </w:tcPr>
          <w:p w14:paraId="45FB0031">
            <w:pPr>
              <w:spacing w:before="109" w:line="213" w:lineRule="auto"/>
              <w:ind w:left="115"/>
              <w:jc w:val="left"/>
              <w:rPr>
                <w:rFonts w:ascii="宋体" w:hAnsi="宋体" w:eastAsia="宋体" w:cs="宋体"/>
                <w:spacing w:val="1"/>
                <w:sz w:val="21"/>
                <w:szCs w:val="21"/>
              </w:rPr>
            </w:pPr>
            <w:r>
              <w:rPr>
                <w:rFonts w:ascii="宋体" w:hAnsi="宋体" w:eastAsia="宋体" w:cs="宋体"/>
                <w:spacing w:val="1"/>
                <w:sz w:val="21"/>
                <w:szCs w:val="21"/>
              </w:rPr>
              <w:t>价。储存危险性类别属于</w:t>
            </w:r>
          </w:p>
          <w:p w14:paraId="5AE7A0D9">
            <w:pPr>
              <w:spacing w:before="43" w:line="213" w:lineRule="auto"/>
              <w:ind w:left="115"/>
              <w:jc w:val="left"/>
              <w:rPr>
                <w:rFonts w:ascii="宋体" w:hAnsi="宋体" w:eastAsia="宋体" w:cs="宋体"/>
                <w:sz w:val="21"/>
                <w:szCs w:val="21"/>
              </w:rPr>
            </w:pPr>
            <w:r>
              <w:rPr>
                <w:rFonts w:ascii="宋体" w:hAnsi="宋体" w:eastAsia="宋体" w:cs="宋体"/>
                <w:spacing w:val="-1"/>
                <w:sz w:val="21"/>
                <w:szCs w:val="21"/>
              </w:rPr>
              <w:t>爆炸物的硝酸铵仓库和储</w:t>
            </w:r>
          </w:p>
          <w:p w14:paraId="4050AA72">
            <w:pPr>
              <w:spacing w:before="44" w:line="212" w:lineRule="auto"/>
              <w:ind w:left="115"/>
              <w:jc w:val="left"/>
              <w:rPr>
                <w:rFonts w:ascii="宋体" w:hAnsi="宋体" w:eastAsia="宋体" w:cs="宋体"/>
                <w:sz w:val="21"/>
                <w:szCs w:val="21"/>
              </w:rPr>
            </w:pPr>
            <w:r>
              <w:rPr>
                <w:rFonts w:ascii="宋体" w:hAnsi="宋体" w:eastAsia="宋体" w:cs="宋体"/>
                <w:spacing w:val="20"/>
                <w:sz w:val="21"/>
                <w:szCs w:val="21"/>
              </w:rPr>
              <w:t>存硝酸铵不合格品的仓</w:t>
            </w:r>
          </w:p>
          <w:p w14:paraId="0FEA59F7">
            <w:pPr>
              <w:spacing w:before="44" w:line="212" w:lineRule="auto"/>
              <w:ind w:left="115"/>
              <w:jc w:val="left"/>
              <w:rPr>
                <w:rFonts w:ascii="宋体" w:hAnsi="宋体" w:eastAsia="宋体" w:cs="宋体"/>
                <w:sz w:val="21"/>
                <w:szCs w:val="21"/>
              </w:rPr>
            </w:pPr>
            <w:r>
              <w:rPr>
                <w:rFonts w:ascii="宋体" w:hAnsi="宋体" w:eastAsia="宋体" w:cs="宋体"/>
                <w:sz w:val="21"/>
                <w:szCs w:val="21"/>
              </w:rPr>
              <w:t>库，应按照GB/T</w:t>
            </w:r>
            <w:r>
              <w:rPr>
                <w:rFonts w:ascii="宋体" w:hAnsi="宋体" w:eastAsia="宋体" w:cs="宋体"/>
                <w:spacing w:val="25"/>
                <w:sz w:val="21"/>
                <w:szCs w:val="21"/>
              </w:rPr>
              <w:t xml:space="preserve"> </w:t>
            </w:r>
            <w:r>
              <w:rPr>
                <w:rFonts w:ascii="宋体" w:hAnsi="宋体" w:eastAsia="宋体" w:cs="宋体"/>
                <w:sz w:val="21"/>
                <w:szCs w:val="21"/>
              </w:rPr>
              <w:t>37243中</w:t>
            </w:r>
          </w:p>
          <w:p w14:paraId="32AD7724">
            <w:pPr>
              <w:spacing w:before="44" w:line="204" w:lineRule="auto"/>
              <w:ind w:left="115"/>
              <w:jc w:val="left"/>
              <w:rPr>
                <w:rFonts w:ascii="宋体" w:hAnsi="宋体" w:eastAsia="宋体" w:cs="宋体"/>
                <w:sz w:val="21"/>
                <w:szCs w:val="21"/>
              </w:rPr>
            </w:pPr>
            <w:r>
              <w:rPr>
                <w:rFonts w:ascii="宋体" w:hAnsi="宋体" w:eastAsia="宋体" w:cs="宋体"/>
                <w:spacing w:val="1"/>
                <w:sz w:val="21"/>
                <w:szCs w:val="21"/>
              </w:rPr>
              <w:t>的事故后果法确定外部安</w:t>
            </w:r>
          </w:p>
          <w:p w14:paraId="1F1E457F">
            <w:pPr>
              <w:spacing w:before="35" w:line="220" w:lineRule="auto"/>
              <w:ind w:left="115"/>
              <w:jc w:val="left"/>
              <w:rPr>
                <w:rFonts w:ascii="宋体" w:hAnsi="宋体" w:eastAsia="宋体" w:cs="宋体"/>
                <w:sz w:val="21"/>
                <w:szCs w:val="21"/>
              </w:rPr>
            </w:pPr>
            <w:r>
              <w:rPr>
                <w:rFonts w:ascii="宋体" w:hAnsi="宋体" w:eastAsia="宋体" w:cs="宋体"/>
                <w:spacing w:val="19"/>
                <w:sz w:val="21"/>
                <w:szCs w:val="21"/>
              </w:rPr>
              <w:t>全防护距离。</w:t>
            </w:r>
          </w:p>
        </w:tc>
        <w:tc>
          <w:tcPr>
            <w:tcW w:w="1744" w:type="dxa"/>
            <w:noWrap w:val="0"/>
            <w:vAlign w:val="top"/>
          </w:tcPr>
          <w:p w14:paraId="6D439DCC">
            <w:pPr>
              <w:rPr>
                <w:rFonts w:ascii="Arial"/>
                <w:sz w:val="21"/>
                <w:szCs w:val="21"/>
              </w:rPr>
            </w:pPr>
          </w:p>
        </w:tc>
        <w:tc>
          <w:tcPr>
            <w:tcW w:w="1244" w:type="dxa"/>
            <w:noWrap w:val="0"/>
            <w:vAlign w:val="top"/>
          </w:tcPr>
          <w:p w14:paraId="467C341A">
            <w:pPr>
              <w:rPr>
                <w:rFonts w:ascii="Arial"/>
                <w:sz w:val="21"/>
                <w:szCs w:val="21"/>
              </w:rPr>
            </w:pPr>
          </w:p>
        </w:tc>
      </w:tr>
      <w:tr w14:paraId="40B8AF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8" w:hRule="atLeast"/>
        </w:trPr>
        <w:tc>
          <w:tcPr>
            <w:tcW w:w="864" w:type="dxa"/>
            <w:noWrap w:val="0"/>
            <w:vAlign w:val="top"/>
          </w:tcPr>
          <w:p w14:paraId="7CD63604">
            <w:pPr>
              <w:spacing w:line="264" w:lineRule="auto"/>
              <w:rPr>
                <w:rFonts w:ascii="Arial"/>
                <w:sz w:val="21"/>
                <w:szCs w:val="21"/>
              </w:rPr>
            </w:pPr>
          </w:p>
          <w:p w14:paraId="12B55369">
            <w:pPr>
              <w:spacing w:line="265" w:lineRule="auto"/>
              <w:rPr>
                <w:rFonts w:ascii="Arial"/>
                <w:sz w:val="21"/>
                <w:szCs w:val="21"/>
              </w:rPr>
            </w:pPr>
          </w:p>
          <w:p w14:paraId="560FECE6">
            <w:pPr>
              <w:spacing w:before="78" w:line="183" w:lineRule="auto"/>
              <w:ind w:left="305"/>
              <w:rPr>
                <w:rFonts w:ascii="宋体" w:hAnsi="宋体" w:eastAsia="宋体" w:cs="宋体"/>
                <w:sz w:val="21"/>
                <w:szCs w:val="21"/>
              </w:rPr>
            </w:pPr>
            <w:r>
              <w:rPr>
                <w:rFonts w:ascii="宋体" w:hAnsi="宋体" w:eastAsia="宋体" w:cs="宋体"/>
                <w:spacing w:val="-4"/>
                <w:sz w:val="21"/>
                <w:szCs w:val="21"/>
              </w:rPr>
              <w:t>2</w:t>
            </w:r>
            <w:r>
              <w:rPr>
                <w:rFonts w:hint="eastAsia" w:ascii="宋体" w:hAnsi="宋体" w:eastAsia="宋体" w:cs="宋体"/>
                <w:spacing w:val="-4"/>
                <w:sz w:val="21"/>
                <w:szCs w:val="21"/>
                <w:lang w:val="en-US" w:eastAsia="zh-CN"/>
              </w:rPr>
              <w:t>6</w:t>
            </w:r>
          </w:p>
        </w:tc>
        <w:tc>
          <w:tcPr>
            <w:tcW w:w="2239" w:type="dxa"/>
            <w:noWrap w:val="0"/>
            <w:vAlign w:val="top"/>
          </w:tcPr>
          <w:p w14:paraId="3395C592">
            <w:pPr>
              <w:spacing w:before="127" w:line="241" w:lineRule="auto"/>
              <w:ind w:left="150" w:right="144"/>
              <w:jc w:val="both"/>
              <w:rPr>
                <w:rFonts w:ascii="宋体" w:hAnsi="宋体" w:eastAsia="宋体" w:cs="宋体"/>
                <w:sz w:val="21"/>
                <w:szCs w:val="21"/>
              </w:rPr>
            </w:pPr>
            <w:r>
              <w:rPr>
                <w:rFonts w:ascii="宋体" w:hAnsi="宋体" w:eastAsia="宋体" w:cs="宋体"/>
                <w:spacing w:val="11"/>
                <w:sz w:val="21"/>
                <w:szCs w:val="21"/>
              </w:rPr>
              <w:t>苯乙烯、丁二烯储</w:t>
            </w:r>
            <w:r>
              <w:rPr>
                <w:rFonts w:ascii="宋体" w:hAnsi="宋体" w:eastAsia="宋体" w:cs="宋体"/>
                <w:spacing w:val="8"/>
                <w:sz w:val="21"/>
                <w:szCs w:val="21"/>
              </w:rPr>
              <w:t>运系统未采取降温</w:t>
            </w:r>
            <w:r>
              <w:rPr>
                <w:rFonts w:ascii="宋体" w:hAnsi="宋体" w:eastAsia="宋体" w:cs="宋体"/>
                <w:spacing w:val="11"/>
                <w:sz w:val="21"/>
                <w:szCs w:val="21"/>
              </w:rPr>
              <w:t>设施，苯乙烯储存</w:t>
            </w:r>
            <w:r>
              <w:rPr>
                <w:rFonts w:ascii="宋体" w:hAnsi="宋体" w:eastAsia="宋体" w:cs="宋体"/>
                <w:spacing w:val="10"/>
                <w:sz w:val="21"/>
                <w:szCs w:val="21"/>
              </w:rPr>
              <w:t>温度超过20℃、丁</w:t>
            </w:r>
          </w:p>
        </w:tc>
        <w:tc>
          <w:tcPr>
            <w:tcW w:w="3979" w:type="dxa"/>
            <w:noWrap w:val="0"/>
            <w:vAlign w:val="top"/>
          </w:tcPr>
          <w:p w14:paraId="3F070FA2">
            <w:pPr>
              <w:rPr>
                <w:rFonts w:ascii="Arial"/>
                <w:sz w:val="21"/>
                <w:szCs w:val="21"/>
              </w:rPr>
            </w:pPr>
          </w:p>
        </w:tc>
        <w:tc>
          <w:tcPr>
            <w:tcW w:w="3480" w:type="dxa"/>
            <w:noWrap w:val="0"/>
            <w:vAlign w:val="top"/>
          </w:tcPr>
          <w:p w14:paraId="7EE10949">
            <w:pPr>
              <w:spacing w:before="117" w:line="243" w:lineRule="auto"/>
              <w:ind w:left="115" w:right="78" w:firstLine="459"/>
              <w:jc w:val="both"/>
              <w:rPr>
                <w:rFonts w:ascii="宋体" w:hAnsi="宋体" w:eastAsia="宋体" w:cs="宋体"/>
                <w:sz w:val="21"/>
                <w:szCs w:val="21"/>
              </w:rPr>
            </w:pPr>
            <w:r>
              <w:rPr>
                <w:rFonts w:ascii="宋体" w:hAnsi="宋体" w:eastAsia="宋体" w:cs="宋体"/>
                <w:spacing w:val="-5"/>
                <w:sz w:val="21"/>
                <w:szCs w:val="21"/>
              </w:rPr>
              <w:t>1.《丁二烯企业安全</w:t>
            </w:r>
            <w:r>
              <w:rPr>
                <w:rFonts w:ascii="宋体" w:hAnsi="宋体" w:eastAsia="宋体" w:cs="宋体"/>
                <w:spacing w:val="44"/>
                <w:sz w:val="21"/>
                <w:szCs w:val="21"/>
              </w:rPr>
              <w:t>风险隐患排查指南(试</w:t>
            </w:r>
            <w:r>
              <w:rPr>
                <w:rFonts w:ascii="宋体" w:hAnsi="宋体" w:eastAsia="宋体" w:cs="宋体"/>
                <w:spacing w:val="7"/>
                <w:sz w:val="21"/>
                <w:szCs w:val="21"/>
              </w:rPr>
              <w:t>行)》2.2丁二烯储存安</w:t>
            </w:r>
            <w:r>
              <w:rPr>
                <w:rFonts w:ascii="宋体" w:hAnsi="宋体" w:eastAsia="宋体" w:cs="宋体"/>
                <w:spacing w:val="16"/>
                <w:sz w:val="21"/>
                <w:szCs w:val="21"/>
              </w:rPr>
              <w:t>全管理排查重点第2条</w:t>
            </w:r>
          </w:p>
        </w:tc>
        <w:tc>
          <w:tcPr>
            <w:tcW w:w="1744" w:type="dxa"/>
            <w:noWrap w:val="0"/>
            <w:vAlign w:val="top"/>
          </w:tcPr>
          <w:p w14:paraId="330B546C">
            <w:pPr>
              <w:rPr>
                <w:rFonts w:ascii="Arial"/>
                <w:sz w:val="21"/>
                <w:szCs w:val="21"/>
              </w:rPr>
            </w:pPr>
          </w:p>
        </w:tc>
        <w:tc>
          <w:tcPr>
            <w:tcW w:w="1244" w:type="dxa"/>
            <w:noWrap w:val="0"/>
            <w:vAlign w:val="top"/>
          </w:tcPr>
          <w:p w14:paraId="18D4B3E7">
            <w:pPr>
              <w:spacing w:before="248" w:line="244" w:lineRule="auto"/>
              <w:ind w:left="119" w:right="34"/>
              <w:jc w:val="both"/>
              <w:rPr>
                <w:rFonts w:ascii="宋体" w:hAnsi="宋体" w:eastAsia="宋体" w:cs="宋体"/>
                <w:sz w:val="21"/>
                <w:szCs w:val="21"/>
              </w:rPr>
            </w:pPr>
            <w:r>
              <w:rPr>
                <w:rFonts w:ascii="宋体" w:hAnsi="宋体" w:eastAsia="宋体" w:cs="宋体"/>
                <w:spacing w:val="16"/>
                <w:sz w:val="21"/>
                <w:szCs w:val="21"/>
              </w:rPr>
              <w:t>苯乙烯、</w:t>
            </w:r>
            <w:r>
              <w:rPr>
                <w:rFonts w:ascii="宋体" w:hAnsi="宋体" w:eastAsia="宋体" w:cs="宋体"/>
                <w:spacing w:val="3"/>
                <w:sz w:val="21"/>
                <w:szCs w:val="21"/>
              </w:rPr>
              <w:t>丁二烯管</w:t>
            </w:r>
            <w:r>
              <w:rPr>
                <w:rFonts w:ascii="宋体" w:hAnsi="宋体" w:eastAsia="宋体" w:cs="宋体"/>
                <w:sz w:val="21"/>
                <w:szCs w:val="21"/>
              </w:rPr>
              <w:t>理</w:t>
            </w:r>
          </w:p>
        </w:tc>
      </w:tr>
    </w:tbl>
    <w:p w14:paraId="176D4C1F"/>
    <w:p w14:paraId="7C5DAA16"/>
    <w:p w14:paraId="0728EC30"/>
    <w:p w14:paraId="240FA845"/>
    <w:p w14:paraId="3F0C6936">
      <w:pPr>
        <w:spacing w:line="19" w:lineRule="exact"/>
      </w:pPr>
    </w:p>
    <w:tbl>
      <w:tblPr>
        <w:tblStyle w:val="12"/>
        <w:tblW w:w="135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4"/>
        <w:gridCol w:w="2229"/>
        <w:gridCol w:w="3517"/>
        <w:gridCol w:w="3286"/>
        <w:gridCol w:w="2660"/>
        <w:gridCol w:w="1004"/>
      </w:tblGrid>
      <w:tr w14:paraId="1E5049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jc w:val="center"/>
        </w:trPr>
        <w:tc>
          <w:tcPr>
            <w:tcW w:w="864" w:type="dxa"/>
            <w:noWrap w:val="0"/>
            <w:vAlign w:val="top"/>
          </w:tcPr>
          <w:p w14:paraId="45647E02">
            <w:pPr>
              <w:spacing w:before="226" w:line="221" w:lineRule="auto"/>
              <w:ind w:left="185"/>
              <w:rPr>
                <w:rFonts w:ascii="宋体" w:hAnsi="宋体" w:eastAsia="宋体" w:cs="宋体"/>
                <w:b/>
                <w:bCs/>
                <w:sz w:val="24"/>
                <w:szCs w:val="24"/>
              </w:rPr>
            </w:pPr>
            <w:r>
              <w:rPr>
                <w:rFonts w:ascii="宋体" w:hAnsi="宋体" w:eastAsia="宋体" w:cs="宋体"/>
                <w:b/>
                <w:bCs/>
                <w:spacing w:val="7"/>
                <w:sz w:val="24"/>
                <w:szCs w:val="24"/>
              </w:rPr>
              <w:t>序号</w:t>
            </w:r>
          </w:p>
        </w:tc>
        <w:tc>
          <w:tcPr>
            <w:tcW w:w="2229" w:type="dxa"/>
            <w:noWrap w:val="0"/>
            <w:vAlign w:val="top"/>
          </w:tcPr>
          <w:p w14:paraId="64C8D84D">
            <w:pPr>
              <w:spacing w:before="95" w:line="219" w:lineRule="auto"/>
              <w:ind w:left="621"/>
              <w:rPr>
                <w:rFonts w:ascii="宋体" w:hAnsi="宋体" w:eastAsia="宋体" w:cs="宋体"/>
                <w:b/>
                <w:bCs/>
                <w:sz w:val="24"/>
                <w:szCs w:val="24"/>
              </w:rPr>
            </w:pPr>
            <w:r>
              <w:rPr>
                <w:rFonts w:ascii="宋体" w:hAnsi="宋体" w:eastAsia="宋体" w:cs="宋体"/>
                <w:b/>
                <w:bCs/>
                <w:spacing w:val="3"/>
                <w:sz w:val="24"/>
                <w:szCs w:val="24"/>
              </w:rPr>
              <w:t>执法检查</w:t>
            </w:r>
          </w:p>
          <w:p w14:paraId="169525DB">
            <w:pPr>
              <w:spacing w:before="25" w:line="207" w:lineRule="auto"/>
              <w:ind w:left="381"/>
              <w:rPr>
                <w:rFonts w:ascii="宋体" w:hAnsi="宋体" w:eastAsia="宋体" w:cs="宋体"/>
                <w:b/>
                <w:bCs/>
                <w:sz w:val="24"/>
                <w:szCs w:val="24"/>
              </w:rPr>
            </w:pPr>
            <w:r>
              <w:rPr>
                <w:rFonts w:ascii="宋体" w:hAnsi="宋体" w:eastAsia="宋体" w:cs="宋体"/>
                <w:b/>
                <w:bCs/>
                <w:spacing w:val="2"/>
                <w:sz w:val="24"/>
                <w:szCs w:val="24"/>
              </w:rPr>
              <w:t>重点事项内容</w:t>
            </w:r>
          </w:p>
        </w:tc>
        <w:tc>
          <w:tcPr>
            <w:tcW w:w="3517" w:type="dxa"/>
            <w:noWrap w:val="0"/>
            <w:vAlign w:val="top"/>
          </w:tcPr>
          <w:p w14:paraId="4D505051">
            <w:pPr>
              <w:spacing w:before="223" w:line="219" w:lineRule="auto"/>
              <w:ind w:left="1032"/>
              <w:rPr>
                <w:rFonts w:ascii="宋体" w:hAnsi="宋体" w:eastAsia="宋体" w:cs="宋体"/>
                <w:b/>
                <w:bCs/>
                <w:sz w:val="24"/>
                <w:szCs w:val="24"/>
              </w:rPr>
            </w:pPr>
            <w:r>
              <w:rPr>
                <w:rFonts w:ascii="宋体" w:hAnsi="宋体" w:eastAsia="宋体" w:cs="宋体"/>
                <w:b/>
                <w:bCs/>
                <w:spacing w:val="2"/>
                <w:sz w:val="24"/>
                <w:szCs w:val="24"/>
              </w:rPr>
              <w:t>执法检查依据</w:t>
            </w:r>
          </w:p>
        </w:tc>
        <w:tc>
          <w:tcPr>
            <w:tcW w:w="3286" w:type="dxa"/>
            <w:noWrap w:val="0"/>
            <w:vAlign w:val="top"/>
          </w:tcPr>
          <w:p w14:paraId="273DD0A2">
            <w:pPr>
              <w:spacing w:before="95" w:line="220" w:lineRule="auto"/>
              <w:ind w:left="835"/>
              <w:rPr>
                <w:rFonts w:ascii="宋体" w:hAnsi="宋体" w:eastAsia="宋体" w:cs="宋体"/>
                <w:b/>
                <w:bCs/>
                <w:sz w:val="24"/>
                <w:szCs w:val="24"/>
              </w:rPr>
            </w:pPr>
            <w:r>
              <w:rPr>
                <w:rFonts w:ascii="宋体" w:hAnsi="宋体" w:eastAsia="宋体" w:cs="宋体"/>
                <w:b/>
                <w:bCs/>
                <w:spacing w:val="-2"/>
                <w:sz w:val="24"/>
                <w:szCs w:val="24"/>
              </w:rPr>
              <w:t>有关规范性</w:t>
            </w:r>
          </w:p>
          <w:p w14:paraId="7E6E1155">
            <w:pPr>
              <w:spacing w:before="42" w:line="192" w:lineRule="auto"/>
              <w:ind w:left="595"/>
              <w:rPr>
                <w:rFonts w:ascii="宋体" w:hAnsi="宋体" w:eastAsia="宋体" w:cs="宋体"/>
                <w:b/>
                <w:bCs/>
                <w:sz w:val="24"/>
                <w:szCs w:val="24"/>
              </w:rPr>
            </w:pPr>
            <w:r>
              <w:rPr>
                <w:rFonts w:ascii="宋体" w:hAnsi="宋体" w:eastAsia="宋体" w:cs="宋体"/>
                <w:b/>
                <w:bCs/>
                <w:spacing w:val="1"/>
                <w:sz w:val="24"/>
                <w:szCs w:val="24"/>
              </w:rPr>
              <w:t>文件及标准要求</w:t>
            </w:r>
          </w:p>
        </w:tc>
        <w:tc>
          <w:tcPr>
            <w:tcW w:w="2660" w:type="dxa"/>
            <w:noWrap w:val="0"/>
            <w:vAlign w:val="top"/>
          </w:tcPr>
          <w:p w14:paraId="7E4054FC">
            <w:pPr>
              <w:spacing w:before="223" w:line="219" w:lineRule="auto"/>
              <w:ind w:left="947"/>
              <w:rPr>
                <w:rFonts w:ascii="宋体" w:hAnsi="宋体" w:eastAsia="宋体" w:cs="宋体"/>
                <w:b/>
                <w:bCs/>
                <w:sz w:val="24"/>
                <w:szCs w:val="24"/>
              </w:rPr>
            </w:pPr>
            <w:r>
              <w:rPr>
                <w:rFonts w:ascii="宋体" w:hAnsi="宋体" w:eastAsia="宋体" w:cs="宋体"/>
                <w:b/>
                <w:bCs/>
                <w:spacing w:val="3"/>
                <w:sz w:val="24"/>
                <w:szCs w:val="24"/>
              </w:rPr>
              <w:t>处罚依据</w:t>
            </w:r>
          </w:p>
        </w:tc>
        <w:tc>
          <w:tcPr>
            <w:tcW w:w="1004" w:type="dxa"/>
            <w:noWrap w:val="0"/>
            <w:vAlign w:val="top"/>
          </w:tcPr>
          <w:p w14:paraId="779D5F63">
            <w:pPr>
              <w:spacing w:before="222" w:line="221" w:lineRule="auto"/>
              <w:ind w:left="382"/>
              <w:rPr>
                <w:rFonts w:ascii="宋体" w:hAnsi="宋体" w:eastAsia="宋体" w:cs="宋体"/>
                <w:b/>
                <w:bCs/>
                <w:sz w:val="24"/>
                <w:szCs w:val="24"/>
              </w:rPr>
            </w:pPr>
            <w:r>
              <w:rPr>
                <w:rFonts w:ascii="宋体" w:hAnsi="宋体" w:eastAsia="宋体" w:cs="宋体"/>
                <w:b/>
                <w:bCs/>
                <w:spacing w:val="-6"/>
                <w:sz w:val="24"/>
                <w:szCs w:val="24"/>
              </w:rPr>
              <w:t>备注</w:t>
            </w:r>
          </w:p>
        </w:tc>
      </w:tr>
      <w:tr w14:paraId="0CBD69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9" w:hRule="atLeast"/>
          <w:jc w:val="center"/>
        </w:trPr>
        <w:tc>
          <w:tcPr>
            <w:tcW w:w="864" w:type="dxa"/>
            <w:noWrap w:val="0"/>
            <w:vAlign w:val="top"/>
          </w:tcPr>
          <w:p w14:paraId="4DAA1159">
            <w:pPr>
              <w:rPr>
                <w:rFonts w:ascii="Arial"/>
                <w:sz w:val="21"/>
              </w:rPr>
            </w:pPr>
          </w:p>
        </w:tc>
        <w:tc>
          <w:tcPr>
            <w:tcW w:w="2229" w:type="dxa"/>
            <w:noWrap w:val="0"/>
            <w:vAlign w:val="top"/>
          </w:tcPr>
          <w:p w14:paraId="3F9B0460">
            <w:pPr>
              <w:spacing w:before="78" w:line="242" w:lineRule="auto"/>
              <w:ind w:left="101" w:right="140" w:firstLine="39"/>
              <w:jc w:val="both"/>
              <w:rPr>
                <w:rFonts w:ascii="宋体" w:hAnsi="宋体" w:eastAsia="宋体" w:cs="宋体"/>
                <w:sz w:val="21"/>
                <w:szCs w:val="21"/>
              </w:rPr>
            </w:pPr>
            <w:r>
              <w:rPr>
                <w:rFonts w:ascii="宋体" w:hAnsi="宋体" w:eastAsia="宋体" w:cs="宋体"/>
                <w:spacing w:val="1"/>
                <w:sz w:val="21"/>
                <w:szCs w:val="21"/>
              </w:rPr>
              <w:t>二烯储存温度超过</w:t>
            </w:r>
            <w:r>
              <w:rPr>
                <w:rFonts w:ascii="宋体" w:hAnsi="宋体" w:eastAsia="宋体" w:cs="宋体"/>
                <w:spacing w:val="5"/>
                <w:sz w:val="21"/>
                <w:szCs w:val="21"/>
              </w:rPr>
              <w:t>27℃。苯乙烯、丁</w:t>
            </w:r>
            <w:r>
              <w:rPr>
                <w:rFonts w:ascii="宋体" w:hAnsi="宋体" w:eastAsia="宋体" w:cs="宋体"/>
                <w:spacing w:val="6"/>
                <w:sz w:val="21"/>
                <w:szCs w:val="21"/>
              </w:rPr>
              <w:t>二烯的聚合装置紧</w:t>
            </w:r>
            <w:r>
              <w:rPr>
                <w:rFonts w:ascii="宋体" w:hAnsi="宋体" w:eastAsia="宋体" w:cs="宋体"/>
                <w:spacing w:val="7"/>
                <w:sz w:val="21"/>
                <w:szCs w:val="21"/>
              </w:rPr>
              <w:t>急终止剂加入管线</w:t>
            </w:r>
            <w:r>
              <w:rPr>
                <w:rFonts w:ascii="宋体" w:hAnsi="宋体" w:eastAsia="宋体" w:cs="宋体"/>
                <w:spacing w:val="6"/>
                <w:sz w:val="21"/>
                <w:szCs w:val="21"/>
              </w:rPr>
              <w:t>上手动阀门处于关</w:t>
            </w:r>
            <w:r>
              <w:rPr>
                <w:rFonts w:ascii="宋体" w:hAnsi="宋体" w:eastAsia="宋体" w:cs="宋体"/>
                <w:spacing w:val="23"/>
                <w:sz w:val="21"/>
                <w:szCs w:val="21"/>
              </w:rPr>
              <w:t>闭状态。</w:t>
            </w:r>
          </w:p>
        </w:tc>
        <w:tc>
          <w:tcPr>
            <w:tcW w:w="3517" w:type="dxa"/>
            <w:noWrap w:val="0"/>
            <w:vAlign w:val="top"/>
          </w:tcPr>
          <w:p w14:paraId="145D5431">
            <w:pPr>
              <w:rPr>
                <w:rFonts w:ascii="Arial"/>
                <w:sz w:val="21"/>
                <w:szCs w:val="21"/>
              </w:rPr>
            </w:pPr>
          </w:p>
        </w:tc>
        <w:tc>
          <w:tcPr>
            <w:tcW w:w="3286" w:type="dxa"/>
            <w:noWrap w:val="0"/>
            <w:vAlign w:val="top"/>
          </w:tcPr>
          <w:p w14:paraId="4584271A">
            <w:pPr>
              <w:spacing w:before="94" w:line="254" w:lineRule="auto"/>
              <w:ind w:left="125"/>
              <w:jc w:val="both"/>
              <w:rPr>
                <w:rFonts w:ascii="宋体" w:hAnsi="宋体" w:eastAsia="宋体" w:cs="宋体"/>
                <w:sz w:val="21"/>
                <w:szCs w:val="21"/>
              </w:rPr>
            </w:pPr>
            <w:r>
              <w:rPr>
                <w:rFonts w:ascii="宋体" w:hAnsi="宋体" w:eastAsia="宋体" w:cs="宋体"/>
                <w:spacing w:val="7"/>
                <w:sz w:val="21"/>
                <w:szCs w:val="21"/>
              </w:rPr>
              <w:t>丁二烯球形储罐应采取以</w:t>
            </w:r>
            <w:r>
              <w:rPr>
                <w:rFonts w:ascii="宋体" w:hAnsi="宋体" w:eastAsia="宋体" w:cs="宋体"/>
                <w:spacing w:val="8"/>
                <w:sz w:val="21"/>
                <w:szCs w:val="21"/>
              </w:rPr>
              <w:t>下措施：储存周期在两周</w:t>
            </w:r>
            <w:r>
              <w:rPr>
                <w:rFonts w:ascii="宋体" w:hAnsi="宋体" w:eastAsia="宋体" w:cs="宋体"/>
                <w:spacing w:val="6"/>
                <w:sz w:val="21"/>
                <w:szCs w:val="21"/>
              </w:rPr>
              <w:t>以下时，应设置水喷淋冷</w:t>
            </w:r>
            <w:r>
              <w:rPr>
                <w:rFonts w:ascii="宋体" w:hAnsi="宋体" w:eastAsia="宋体" w:cs="宋体"/>
                <w:spacing w:val="8"/>
                <w:sz w:val="21"/>
                <w:szCs w:val="21"/>
              </w:rPr>
              <w:t>却系统；储存周期在两周</w:t>
            </w:r>
            <w:r>
              <w:rPr>
                <w:rFonts w:ascii="宋体" w:hAnsi="宋体" w:eastAsia="宋体" w:cs="宋体"/>
                <w:spacing w:val="7"/>
                <w:sz w:val="21"/>
                <w:szCs w:val="21"/>
              </w:rPr>
              <w:t>以上时，应设置冷冻循环</w:t>
            </w:r>
            <w:r>
              <w:rPr>
                <w:rFonts w:ascii="宋体" w:hAnsi="宋体" w:eastAsia="宋体" w:cs="宋体"/>
                <w:spacing w:val="16"/>
                <w:sz w:val="21"/>
                <w:szCs w:val="21"/>
              </w:rPr>
              <w:t>系统和阻聚剂添加系统；</w:t>
            </w:r>
            <w:r>
              <w:rPr>
                <w:rFonts w:ascii="宋体" w:hAnsi="宋体" w:eastAsia="宋体" w:cs="宋体"/>
                <w:spacing w:val="8"/>
                <w:sz w:val="21"/>
                <w:szCs w:val="21"/>
              </w:rPr>
              <w:t>第4条降低丁二烯物料</w:t>
            </w:r>
            <w:r>
              <w:rPr>
                <w:rFonts w:ascii="宋体" w:hAnsi="宋体" w:eastAsia="宋体" w:cs="宋体"/>
                <w:spacing w:val="4"/>
                <w:sz w:val="21"/>
                <w:szCs w:val="21"/>
              </w:rPr>
              <w:t>温度。丁二烯储运系统温</w:t>
            </w:r>
            <w:r>
              <w:rPr>
                <w:rFonts w:ascii="宋体" w:hAnsi="宋体" w:eastAsia="宋体" w:cs="宋体"/>
                <w:spacing w:val="15"/>
                <w:sz w:val="21"/>
                <w:szCs w:val="21"/>
              </w:rPr>
              <w:t>度不大于27℃,确保冷回</w:t>
            </w:r>
            <w:r>
              <w:rPr>
                <w:rFonts w:ascii="宋体" w:hAnsi="宋体" w:eastAsia="宋体" w:cs="宋体"/>
                <w:spacing w:val="4"/>
                <w:sz w:val="21"/>
                <w:szCs w:val="21"/>
              </w:rPr>
              <w:t>流、冷剂、循环水系统运</w:t>
            </w:r>
            <w:r>
              <w:rPr>
                <w:rFonts w:ascii="宋体" w:hAnsi="宋体" w:eastAsia="宋体" w:cs="宋体"/>
                <w:spacing w:val="28"/>
                <w:sz w:val="21"/>
                <w:szCs w:val="21"/>
              </w:rPr>
              <w:t>行正常。</w:t>
            </w:r>
          </w:p>
          <w:p w14:paraId="13861061">
            <w:pPr>
              <w:spacing w:before="52" w:line="265" w:lineRule="auto"/>
              <w:ind w:left="125" w:firstLine="411"/>
              <w:jc w:val="both"/>
              <w:rPr>
                <w:rFonts w:ascii="宋体" w:hAnsi="宋体" w:eastAsia="宋体" w:cs="宋体"/>
                <w:sz w:val="21"/>
                <w:szCs w:val="21"/>
              </w:rPr>
            </w:pPr>
            <w:r>
              <w:rPr>
                <w:rFonts w:ascii="宋体" w:hAnsi="宋体" w:eastAsia="宋体" w:cs="宋体"/>
                <w:spacing w:val="17"/>
                <w:sz w:val="21"/>
                <w:szCs w:val="21"/>
              </w:rPr>
              <w:t>2.5丁二烯生产工</w:t>
            </w:r>
            <w:r>
              <w:rPr>
                <w:rFonts w:ascii="宋体" w:hAnsi="宋体" w:eastAsia="宋体" w:cs="宋体"/>
                <w:spacing w:val="9"/>
                <w:sz w:val="21"/>
                <w:szCs w:val="21"/>
              </w:rPr>
              <w:t>艺安全管理排查重点第</w:t>
            </w:r>
            <w:r>
              <w:rPr>
                <w:rFonts w:ascii="宋体" w:hAnsi="宋体" w:eastAsia="宋体" w:cs="宋体"/>
                <w:spacing w:val="12"/>
                <w:sz w:val="21"/>
                <w:szCs w:val="21"/>
              </w:rPr>
              <w:t>12条以丁二烯为原料</w:t>
            </w:r>
            <w:r>
              <w:rPr>
                <w:rFonts w:ascii="宋体" w:hAnsi="宋体" w:eastAsia="宋体" w:cs="宋体"/>
                <w:spacing w:val="11"/>
                <w:sz w:val="21"/>
                <w:szCs w:val="21"/>
              </w:rPr>
              <w:t>的聚合工艺，应设置紧急</w:t>
            </w:r>
            <w:r>
              <w:rPr>
                <w:rFonts w:ascii="宋体" w:hAnsi="宋体" w:eastAsia="宋体" w:cs="宋体"/>
                <w:spacing w:val="5"/>
                <w:sz w:val="21"/>
                <w:szCs w:val="21"/>
              </w:rPr>
              <w:t>冷却系统、紧急停车系统、</w:t>
            </w:r>
            <w:r>
              <w:rPr>
                <w:rFonts w:ascii="宋体" w:hAnsi="宋体" w:eastAsia="宋体" w:cs="宋体"/>
                <w:spacing w:val="10"/>
                <w:sz w:val="21"/>
                <w:szCs w:val="21"/>
              </w:rPr>
              <w:t>安全泄放系统。当聚合反</w:t>
            </w:r>
            <w:r>
              <w:rPr>
                <w:rFonts w:ascii="宋体" w:hAnsi="宋体" w:eastAsia="宋体" w:cs="宋体"/>
                <w:spacing w:val="11"/>
                <w:sz w:val="21"/>
                <w:szCs w:val="21"/>
              </w:rPr>
              <w:t>应超温、搅拌失效或冷却</w:t>
            </w:r>
            <w:r>
              <w:rPr>
                <w:rFonts w:ascii="宋体" w:hAnsi="宋体" w:eastAsia="宋体" w:cs="宋体"/>
                <w:spacing w:val="10"/>
                <w:sz w:val="21"/>
                <w:szCs w:val="21"/>
              </w:rPr>
              <w:t>失效时，能及时加入聚合</w:t>
            </w:r>
            <w:r>
              <w:rPr>
                <w:rFonts w:ascii="宋体" w:hAnsi="宋体" w:eastAsia="宋体" w:cs="宋体"/>
                <w:spacing w:val="28"/>
                <w:sz w:val="21"/>
                <w:szCs w:val="21"/>
              </w:rPr>
              <w:t>反应终止剂。</w:t>
            </w:r>
          </w:p>
          <w:p w14:paraId="6B1AF6D9">
            <w:pPr>
              <w:spacing w:before="40" w:line="235" w:lineRule="auto"/>
              <w:ind w:left="125" w:right="58" w:firstLine="449"/>
              <w:jc w:val="both"/>
              <w:rPr>
                <w:rFonts w:ascii="宋体" w:hAnsi="宋体" w:eastAsia="宋体" w:cs="宋体"/>
                <w:sz w:val="21"/>
                <w:szCs w:val="21"/>
              </w:rPr>
            </w:pPr>
            <w:r>
              <w:rPr>
                <w:rFonts w:ascii="宋体" w:hAnsi="宋体" w:eastAsia="宋体" w:cs="宋体"/>
                <w:spacing w:val="-3"/>
                <w:sz w:val="21"/>
                <w:szCs w:val="21"/>
              </w:rPr>
              <w:t>2.《苯乙烯企业安全</w:t>
            </w:r>
            <w:r>
              <w:rPr>
                <w:rFonts w:ascii="宋体" w:hAnsi="宋体" w:eastAsia="宋体" w:cs="宋体"/>
                <w:spacing w:val="46"/>
                <w:sz w:val="21"/>
                <w:szCs w:val="21"/>
              </w:rPr>
              <w:t>风险隐患排查指南(试</w:t>
            </w:r>
            <w:r>
              <w:rPr>
                <w:rFonts w:ascii="宋体" w:hAnsi="宋体" w:eastAsia="宋体" w:cs="宋体"/>
                <w:spacing w:val="29"/>
                <w:sz w:val="21"/>
                <w:szCs w:val="21"/>
              </w:rPr>
              <w:t>行)》2.2苯乙烯储存安</w:t>
            </w:r>
          </w:p>
        </w:tc>
        <w:tc>
          <w:tcPr>
            <w:tcW w:w="2660" w:type="dxa"/>
            <w:noWrap w:val="0"/>
            <w:vAlign w:val="top"/>
          </w:tcPr>
          <w:p w14:paraId="0F2590F3">
            <w:pPr>
              <w:rPr>
                <w:rFonts w:ascii="Arial"/>
                <w:sz w:val="21"/>
                <w:szCs w:val="21"/>
              </w:rPr>
            </w:pPr>
          </w:p>
        </w:tc>
        <w:tc>
          <w:tcPr>
            <w:tcW w:w="1004" w:type="dxa"/>
            <w:noWrap w:val="0"/>
            <w:vAlign w:val="top"/>
          </w:tcPr>
          <w:p w14:paraId="5FD12CB8">
            <w:pPr>
              <w:rPr>
                <w:rFonts w:ascii="Arial"/>
                <w:sz w:val="21"/>
              </w:rPr>
            </w:pPr>
          </w:p>
        </w:tc>
      </w:tr>
    </w:tbl>
    <w:p w14:paraId="5A2F5CE1"/>
    <w:p w14:paraId="68DDE2F6"/>
    <w:p w14:paraId="1E80C751"/>
    <w:p w14:paraId="084F3FAC"/>
    <w:p w14:paraId="53D623D0">
      <w:pPr>
        <w:spacing w:line="49" w:lineRule="exact"/>
      </w:pPr>
    </w:p>
    <w:tbl>
      <w:tblPr>
        <w:tblStyle w:val="12"/>
        <w:tblW w:w="1366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4"/>
        <w:gridCol w:w="2239"/>
        <w:gridCol w:w="3507"/>
        <w:gridCol w:w="2858"/>
        <w:gridCol w:w="3072"/>
        <w:gridCol w:w="1129"/>
      </w:tblGrid>
      <w:tr w14:paraId="47537B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jc w:val="center"/>
        </w:trPr>
        <w:tc>
          <w:tcPr>
            <w:tcW w:w="864" w:type="dxa"/>
            <w:noWrap w:val="0"/>
            <w:vAlign w:val="top"/>
          </w:tcPr>
          <w:p w14:paraId="59B9FADD">
            <w:pPr>
              <w:spacing w:before="225" w:line="221" w:lineRule="auto"/>
              <w:ind w:left="195"/>
              <w:rPr>
                <w:rFonts w:ascii="宋体" w:hAnsi="宋体" w:eastAsia="宋体" w:cs="宋体"/>
                <w:b/>
                <w:bCs/>
                <w:sz w:val="23"/>
                <w:szCs w:val="23"/>
              </w:rPr>
            </w:pPr>
            <w:r>
              <w:rPr>
                <w:rFonts w:ascii="宋体" w:hAnsi="宋体" w:eastAsia="宋体" w:cs="宋体"/>
                <w:b/>
                <w:bCs/>
                <w:spacing w:val="7"/>
                <w:sz w:val="23"/>
                <w:szCs w:val="23"/>
              </w:rPr>
              <w:t>序号</w:t>
            </w:r>
          </w:p>
        </w:tc>
        <w:tc>
          <w:tcPr>
            <w:tcW w:w="2239" w:type="dxa"/>
            <w:noWrap w:val="0"/>
            <w:vAlign w:val="top"/>
          </w:tcPr>
          <w:p w14:paraId="0ABA343B">
            <w:pPr>
              <w:spacing w:before="74" w:line="219" w:lineRule="auto"/>
              <w:ind w:left="650"/>
              <w:rPr>
                <w:rFonts w:ascii="宋体" w:hAnsi="宋体" w:eastAsia="宋体" w:cs="宋体"/>
                <w:b/>
                <w:bCs/>
                <w:sz w:val="23"/>
                <w:szCs w:val="23"/>
              </w:rPr>
            </w:pPr>
            <w:r>
              <w:rPr>
                <w:rFonts w:ascii="宋体" w:hAnsi="宋体" w:eastAsia="宋体" w:cs="宋体"/>
                <w:b/>
                <w:bCs/>
                <w:spacing w:val="2"/>
                <w:sz w:val="23"/>
                <w:szCs w:val="23"/>
              </w:rPr>
              <w:t>执法检查</w:t>
            </w:r>
          </w:p>
          <w:p w14:paraId="41837BA5">
            <w:pPr>
              <w:spacing w:before="46" w:line="217" w:lineRule="auto"/>
              <w:ind w:left="420"/>
              <w:rPr>
                <w:rFonts w:ascii="宋体" w:hAnsi="宋体" w:eastAsia="宋体" w:cs="宋体"/>
                <w:b/>
                <w:bCs/>
                <w:sz w:val="23"/>
                <w:szCs w:val="23"/>
              </w:rPr>
            </w:pPr>
            <w:r>
              <w:rPr>
                <w:rFonts w:ascii="宋体" w:hAnsi="宋体" w:eastAsia="宋体" w:cs="宋体"/>
                <w:b/>
                <w:bCs/>
                <w:spacing w:val="1"/>
                <w:sz w:val="23"/>
                <w:szCs w:val="23"/>
              </w:rPr>
              <w:t>重点事项内容</w:t>
            </w:r>
          </w:p>
        </w:tc>
        <w:tc>
          <w:tcPr>
            <w:tcW w:w="3507" w:type="dxa"/>
            <w:noWrap w:val="0"/>
            <w:vAlign w:val="top"/>
          </w:tcPr>
          <w:p w14:paraId="583DCCF5">
            <w:pPr>
              <w:spacing w:before="223" w:line="219" w:lineRule="auto"/>
              <w:ind w:left="1042"/>
              <w:rPr>
                <w:rFonts w:ascii="宋体" w:hAnsi="宋体" w:eastAsia="宋体" w:cs="宋体"/>
                <w:b/>
                <w:bCs/>
                <w:sz w:val="23"/>
                <w:szCs w:val="23"/>
              </w:rPr>
            </w:pPr>
            <w:r>
              <w:rPr>
                <w:rFonts w:ascii="宋体" w:hAnsi="宋体" w:eastAsia="宋体" w:cs="宋体"/>
                <w:b/>
                <w:bCs/>
                <w:spacing w:val="2"/>
                <w:sz w:val="23"/>
                <w:szCs w:val="23"/>
              </w:rPr>
              <w:t>执法检查依据</w:t>
            </w:r>
          </w:p>
        </w:tc>
        <w:tc>
          <w:tcPr>
            <w:tcW w:w="2858" w:type="dxa"/>
            <w:noWrap w:val="0"/>
            <w:vAlign w:val="top"/>
          </w:tcPr>
          <w:p w14:paraId="33ECE71D">
            <w:pPr>
              <w:spacing w:before="75" w:line="220" w:lineRule="auto"/>
              <w:ind w:left="855"/>
              <w:rPr>
                <w:rFonts w:ascii="宋体" w:hAnsi="宋体" w:eastAsia="宋体" w:cs="宋体"/>
                <w:b/>
                <w:bCs/>
                <w:sz w:val="23"/>
                <w:szCs w:val="23"/>
              </w:rPr>
            </w:pPr>
            <w:r>
              <w:rPr>
                <w:rFonts w:ascii="宋体" w:hAnsi="宋体" w:eastAsia="宋体" w:cs="宋体"/>
                <w:b/>
                <w:bCs/>
                <w:spacing w:val="3"/>
                <w:sz w:val="23"/>
                <w:szCs w:val="23"/>
              </w:rPr>
              <w:t>有关规范性</w:t>
            </w:r>
          </w:p>
          <w:p w14:paraId="65EBAB84">
            <w:pPr>
              <w:spacing w:before="64" w:line="201" w:lineRule="auto"/>
              <w:ind w:left="604"/>
              <w:rPr>
                <w:rFonts w:ascii="宋体" w:hAnsi="宋体" w:eastAsia="宋体" w:cs="宋体"/>
                <w:b/>
                <w:bCs/>
                <w:sz w:val="23"/>
                <w:szCs w:val="23"/>
              </w:rPr>
            </w:pPr>
            <w:r>
              <w:rPr>
                <w:rFonts w:ascii="宋体" w:hAnsi="宋体" w:eastAsia="宋体" w:cs="宋体"/>
                <w:b/>
                <w:bCs/>
                <w:spacing w:val="11"/>
                <w:sz w:val="23"/>
                <w:szCs w:val="23"/>
              </w:rPr>
              <w:t>文件及标准要求</w:t>
            </w:r>
          </w:p>
        </w:tc>
        <w:tc>
          <w:tcPr>
            <w:tcW w:w="3072" w:type="dxa"/>
            <w:noWrap w:val="0"/>
            <w:vAlign w:val="top"/>
          </w:tcPr>
          <w:p w14:paraId="7C0CA803">
            <w:pPr>
              <w:spacing w:before="223" w:line="219" w:lineRule="auto"/>
              <w:ind w:left="947"/>
              <w:rPr>
                <w:rFonts w:ascii="宋体" w:hAnsi="宋体" w:eastAsia="宋体" w:cs="宋体"/>
                <w:b/>
                <w:bCs/>
                <w:sz w:val="23"/>
                <w:szCs w:val="23"/>
              </w:rPr>
            </w:pPr>
            <w:r>
              <w:rPr>
                <w:rFonts w:ascii="宋体" w:hAnsi="宋体" w:eastAsia="宋体" w:cs="宋体"/>
                <w:b/>
                <w:bCs/>
                <w:spacing w:val="3"/>
                <w:sz w:val="23"/>
                <w:szCs w:val="23"/>
              </w:rPr>
              <w:t>处罚依据</w:t>
            </w:r>
          </w:p>
        </w:tc>
        <w:tc>
          <w:tcPr>
            <w:tcW w:w="1129" w:type="dxa"/>
            <w:noWrap w:val="0"/>
            <w:vAlign w:val="top"/>
          </w:tcPr>
          <w:p w14:paraId="2AD3EFE7">
            <w:pPr>
              <w:spacing w:before="222" w:line="221" w:lineRule="auto"/>
              <w:ind w:left="392"/>
              <w:rPr>
                <w:rFonts w:ascii="宋体" w:hAnsi="宋体" w:eastAsia="宋体" w:cs="宋体"/>
                <w:b/>
                <w:bCs/>
                <w:sz w:val="23"/>
                <w:szCs w:val="23"/>
              </w:rPr>
            </w:pPr>
            <w:r>
              <w:rPr>
                <w:rFonts w:ascii="宋体" w:hAnsi="宋体" w:eastAsia="宋体" w:cs="宋体"/>
                <w:b/>
                <w:bCs/>
                <w:spacing w:val="-6"/>
                <w:sz w:val="23"/>
                <w:szCs w:val="23"/>
              </w:rPr>
              <w:t>备注</w:t>
            </w:r>
          </w:p>
        </w:tc>
      </w:tr>
      <w:tr w14:paraId="74E84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2" w:hRule="atLeast"/>
          <w:jc w:val="center"/>
        </w:trPr>
        <w:tc>
          <w:tcPr>
            <w:tcW w:w="864" w:type="dxa"/>
            <w:noWrap w:val="0"/>
            <w:vAlign w:val="top"/>
          </w:tcPr>
          <w:p w14:paraId="0B6CC3BC">
            <w:pPr>
              <w:rPr>
                <w:rFonts w:ascii="Arial"/>
                <w:sz w:val="21"/>
                <w:szCs w:val="21"/>
              </w:rPr>
            </w:pPr>
          </w:p>
        </w:tc>
        <w:tc>
          <w:tcPr>
            <w:tcW w:w="2239" w:type="dxa"/>
            <w:noWrap w:val="0"/>
            <w:vAlign w:val="top"/>
          </w:tcPr>
          <w:p w14:paraId="0D6FFB08">
            <w:pPr>
              <w:rPr>
                <w:rFonts w:ascii="Arial"/>
                <w:sz w:val="21"/>
                <w:szCs w:val="21"/>
              </w:rPr>
            </w:pPr>
          </w:p>
        </w:tc>
        <w:tc>
          <w:tcPr>
            <w:tcW w:w="3507" w:type="dxa"/>
            <w:noWrap w:val="0"/>
            <w:vAlign w:val="top"/>
          </w:tcPr>
          <w:p w14:paraId="58DED949">
            <w:pPr>
              <w:rPr>
                <w:rFonts w:ascii="Arial"/>
                <w:sz w:val="21"/>
                <w:szCs w:val="21"/>
              </w:rPr>
            </w:pPr>
          </w:p>
        </w:tc>
        <w:tc>
          <w:tcPr>
            <w:tcW w:w="2858" w:type="dxa"/>
            <w:noWrap w:val="0"/>
            <w:vAlign w:val="top"/>
          </w:tcPr>
          <w:p w14:paraId="3AB2CD15">
            <w:pPr>
              <w:spacing w:before="107" w:line="253" w:lineRule="auto"/>
              <w:ind w:left="125" w:right="56" w:firstLine="9"/>
              <w:rPr>
                <w:rFonts w:ascii="宋体" w:hAnsi="宋体" w:eastAsia="宋体" w:cs="宋体"/>
                <w:sz w:val="21"/>
                <w:szCs w:val="21"/>
              </w:rPr>
            </w:pPr>
            <w:r>
              <w:rPr>
                <w:rFonts w:ascii="宋体" w:hAnsi="宋体" w:eastAsia="宋体" w:cs="宋体"/>
                <w:spacing w:val="13"/>
                <w:sz w:val="21"/>
                <w:szCs w:val="21"/>
              </w:rPr>
              <w:t>全管理排查重点第3条</w:t>
            </w:r>
            <w:r>
              <w:rPr>
                <w:rFonts w:ascii="宋体" w:hAnsi="宋体" w:eastAsia="宋体" w:cs="宋体"/>
                <w:spacing w:val="8"/>
                <w:sz w:val="21"/>
                <w:szCs w:val="21"/>
              </w:rPr>
              <w:t>苯乙烯储罐应设计喷淋设</w:t>
            </w:r>
            <w:r>
              <w:rPr>
                <w:rFonts w:ascii="宋体" w:hAnsi="宋体" w:eastAsia="宋体" w:cs="宋体"/>
                <w:spacing w:val="12"/>
                <w:sz w:val="21"/>
                <w:szCs w:val="21"/>
              </w:rPr>
              <w:t>施或制冷设施，保证苯乙</w:t>
            </w:r>
            <w:r>
              <w:rPr>
                <w:rFonts w:ascii="宋体" w:hAnsi="宋体" w:eastAsia="宋体" w:cs="宋体"/>
                <w:spacing w:val="10"/>
                <w:sz w:val="21"/>
                <w:szCs w:val="21"/>
              </w:rPr>
              <w:t>烯储存温度不高于20℃。</w:t>
            </w:r>
            <w:r>
              <w:rPr>
                <w:rFonts w:ascii="宋体" w:hAnsi="宋体" w:eastAsia="宋体" w:cs="宋体"/>
                <w:spacing w:val="15"/>
                <w:sz w:val="21"/>
                <w:szCs w:val="21"/>
              </w:rPr>
              <w:t>2.5苯乙烯生产工艺安</w:t>
            </w:r>
            <w:r>
              <w:rPr>
                <w:rFonts w:ascii="宋体" w:hAnsi="宋体" w:eastAsia="宋体" w:cs="宋体"/>
                <w:spacing w:val="25"/>
                <w:sz w:val="21"/>
                <w:szCs w:val="21"/>
              </w:rPr>
              <w:t>全管理排查重点第12</w:t>
            </w:r>
            <w:r>
              <w:rPr>
                <w:rFonts w:ascii="宋体" w:hAnsi="宋体" w:eastAsia="宋体" w:cs="宋体"/>
                <w:spacing w:val="3"/>
                <w:sz w:val="21"/>
                <w:szCs w:val="21"/>
              </w:rPr>
              <w:t>条以苯乙烯为原料的聚</w:t>
            </w:r>
            <w:r>
              <w:rPr>
                <w:rFonts w:ascii="宋体" w:hAnsi="宋体" w:eastAsia="宋体" w:cs="宋体"/>
                <w:spacing w:val="8"/>
                <w:sz w:val="21"/>
                <w:szCs w:val="21"/>
              </w:rPr>
              <w:t>合工艺，应按照重点监管</w:t>
            </w:r>
            <w:r>
              <w:rPr>
                <w:rFonts w:ascii="宋体" w:hAnsi="宋体" w:eastAsia="宋体" w:cs="宋体"/>
                <w:spacing w:val="7"/>
                <w:sz w:val="21"/>
                <w:szCs w:val="21"/>
              </w:rPr>
              <w:t>危险工艺安全控制要求并</w:t>
            </w:r>
            <w:r>
              <w:rPr>
                <w:rFonts w:ascii="宋体" w:hAnsi="宋体" w:eastAsia="宋体" w:cs="宋体"/>
                <w:spacing w:val="25"/>
                <w:sz w:val="21"/>
                <w:szCs w:val="21"/>
              </w:rPr>
              <w:t>结合</w:t>
            </w:r>
            <w:r>
              <w:rPr>
                <w:rFonts w:ascii="宋体" w:hAnsi="宋体" w:eastAsia="宋体" w:cs="宋体"/>
                <w:sz w:val="21"/>
                <w:szCs w:val="21"/>
              </w:rPr>
              <w:t>HAZOP</w:t>
            </w:r>
            <w:r>
              <w:rPr>
                <w:rFonts w:ascii="宋体" w:hAnsi="宋体" w:eastAsia="宋体" w:cs="宋体"/>
                <w:spacing w:val="25"/>
                <w:sz w:val="21"/>
                <w:szCs w:val="21"/>
              </w:rPr>
              <w:t>分析结果，将</w:t>
            </w:r>
            <w:r>
              <w:rPr>
                <w:rFonts w:ascii="宋体" w:hAnsi="宋体" w:eastAsia="宋体" w:cs="宋体"/>
                <w:spacing w:val="9"/>
                <w:sz w:val="21"/>
                <w:szCs w:val="21"/>
              </w:rPr>
              <w:t>聚合反应釜内温度、压力</w:t>
            </w:r>
            <w:r>
              <w:rPr>
                <w:rFonts w:ascii="宋体" w:hAnsi="宋体" w:eastAsia="宋体" w:cs="宋体"/>
                <w:spacing w:val="8"/>
                <w:sz w:val="21"/>
                <w:szCs w:val="21"/>
              </w:rPr>
              <w:t>与釜内搅拌电流、聚合单</w:t>
            </w:r>
            <w:r>
              <w:rPr>
                <w:rFonts w:ascii="宋体" w:hAnsi="宋体" w:eastAsia="宋体" w:cs="宋体"/>
                <w:spacing w:val="11"/>
                <w:sz w:val="21"/>
                <w:szCs w:val="21"/>
              </w:rPr>
              <w:t>体流量、引发剂加入量、</w:t>
            </w:r>
            <w:r>
              <w:rPr>
                <w:rFonts w:ascii="宋体" w:hAnsi="宋体" w:eastAsia="宋体" w:cs="宋体"/>
                <w:spacing w:val="8"/>
                <w:sz w:val="21"/>
                <w:szCs w:val="21"/>
              </w:rPr>
              <w:t>夹套冷却水进水阀建立联</w:t>
            </w:r>
            <w:r>
              <w:rPr>
                <w:rFonts w:ascii="宋体" w:hAnsi="宋体" w:eastAsia="宋体" w:cs="宋体"/>
                <w:spacing w:val="9"/>
                <w:sz w:val="21"/>
                <w:szCs w:val="21"/>
              </w:rPr>
              <w:t>锁关系；设置紧急冷却系</w:t>
            </w:r>
            <w:r>
              <w:rPr>
                <w:rFonts w:ascii="宋体" w:hAnsi="宋体" w:eastAsia="宋体" w:cs="宋体"/>
                <w:spacing w:val="8"/>
                <w:sz w:val="21"/>
                <w:szCs w:val="21"/>
              </w:rPr>
              <w:t>统、紧急停车系统，安全</w:t>
            </w:r>
            <w:r>
              <w:rPr>
                <w:rFonts w:ascii="宋体" w:hAnsi="宋体" w:eastAsia="宋体" w:cs="宋体"/>
                <w:spacing w:val="11"/>
                <w:sz w:val="21"/>
                <w:szCs w:val="21"/>
              </w:rPr>
              <w:t>泄放系统，当反应超温、搅拌失效或冷却失效时，</w:t>
            </w:r>
            <w:r>
              <w:rPr>
                <w:rFonts w:ascii="宋体" w:hAnsi="宋体" w:eastAsia="宋体" w:cs="宋体"/>
                <w:spacing w:val="8"/>
                <w:sz w:val="21"/>
                <w:szCs w:val="21"/>
              </w:rPr>
              <w:t>能及时加入聚合反应终止</w:t>
            </w:r>
            <w:r>
              <w:rPr>
                <w:rFonts w:ascii="宋体" w:hAnsi="宋体" w:eastAsia="宋体" w:cs="宋体"/>
                <w:sz w:val="21"/>
                <w:szCs w:val="21"/>
              </w:rPr>
              <w:t>剂。</w:t>
            </w:r>
          </w:p>
        </w:tc>
        <w:tc>
          <w:tcPr>
            <w:tcW w:w="3072" w:type="dxa"/>
            <w:noWrap w:val="0"/>
            <w:vAlign w:val="top"/>
          </w:tcPr>
          <w:p w14:paraId="2215DBC9">
            <w:pPr>
              <w:rPr>
                <w:rFonts w:ascii="Arial"/>
                <w:sz w:val="21"/>
                <w:szCs w:val="21"/>
              </w:rPr>
            </w:pPr>
          </w:p>
        </w:tc>
        <w:tc>
          <w:tcPr>
            <w:tcW w:w="1129" w:type="dxa"/>
            <w:noWrap w:val="0"/>
            <w:vAlign w:val="top"/>
          </w:tcPr>
          <w:p w14:paraId="5663E5E1">
            <w:pPr>
              <w:rPr>
                <w:rFonts w:ascii="Arial"/>
                <w:sz w:val="21"/>
                <w:szCs w:val="21"/>
              </w:rPr>
            </w:pPr>
          </w:p>
        </w:tc>
      </w:tr>
      <w:tr w14:paraId="4BB3EF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8" w:hRule="atLeast"/>
          <w:jc w:val="center"/>
        </w:trPr>
        <w:tc>
          <w:tcPr>
            <w:tcW w:w="864" w:type="dxa"/>
            <w:noWrap w:val="0"/>
            <w:vAlign w:val="top"/>
          </w:tcPr>
          <w:p w14:paraId="07F3D49D">
            <w:pPr>
              <w:spacing w:line="370" w:lineRule="auto"/>
              <w:rPr>
                <w:rFonts w:ascii="Arial"/>
                <w:sz w:val="21"/>
                <w:szCs w:val="21"/>
              </w:rPr>
            </w:pPr>
          </w:p>
          <w:p w14:paraId="4265DA72">
            <w:pPr>
              <w:spacing w:before="75" w:line="183" w:lineRule="auto"/>
              <w:ind w:left="305"/>
              <w:rPr>
                <w:rFonts w:ascii="宋体" w:hAnsi="宋体" w:eastAsia="宋体" w:cs="宋体"/>
                <w:sz w:val="21"/>
                <w:szCs w:val="21"/>
              </w:rPr>
            </w:pPr>
            <w:r>
              <w:rPr>
                <w:rFonts w:ascii="宋体" w:hAnsi="宋体" w:eastAsia="宋体" w:cs="宋体"/>
                <w:spacing w:val="-3"/>
                <w:sz w:val="21"/>
                <w:szCs w:val="21"/>
              </w:rPr>
              <w:t>2</w:t>
            </w:r>
            <w:r>
              <w:rPr>
                <w:rFonts w:hint="eastAsia" w:ascii="宋体" w:hAnsi="宋体" w:eastAsia="宋体" w:cs="宋体"/>
                <w:spacing w:val="-3"/>
                <w:sz w:val="21"/>
                <w:szCs w:val="21"/>
                <w:lang w:val="en-US" w:eastAsia="zh-CN"/>
              </w:rPr>
              <w:t>7</w:t>
            </w:r>
          </w:p>
        </w:tc>
        <w:tc>
          <w:tcPr>
            <w:tcW w:w="2239" w:type="dxa"/>
            <w:noWrap w:val="0"/>
            <w:vAlign w:val="top"/>
          </w:tcPr>
          <w:p w14:paraId="21E74B2D">
            <w:pPr>
              <w:spacing w:before="98" w:line="238" w:lineRule="auto"/>
              <w:ind w:left="191" w:right="170"/>
              <w:jc w:val="both"/>
              <w:rPr>
                <w:rFonts w:ascii="宋体" w:hAnsi="宋体" w:eastAsia="宋体" w:cs="宋体"/>
                <w:sz w:val="21"/>
                <w:szCs w:val="21"/>
              </w:rPr>
            </w:pPr>
            <w:r>
              <w:rPr>
                <w:rFonts w:ascii="宋体" w:hAnsi="宋体" w:eastAsia="宋体" w:cs="宋体"/>
                <w:spacing w:val="3"/>
                <w:sz w:val="21"/>
                <w:szCs w:val="21"/>
              </w:rPr>
              <w:t>氯乙烯气柜的进出</w:t>
            </w:r>
            <w:r>
              <w:rPr>
                <w:rFonts w:ascii="宋体" w:hAnsi="宋体" w:eastAsia="宋体" w:cs="宋体"/>
                <w:spacing w:val="1"/>
                <w:sz w:val="21"/>
                <w:szCs w:val="21"/>
              </w:rPr>
              <w:t>口管道未设远程紧急切断阀；氯乙烯</w:t>
            </w:r>
          </w:p>
        </w:tc>
        <w:tc>
          <w:tcPr>
            <w:tcW w:w="3507" w:type="dxa"/>
            <w:noWrap w:val="0"/>
            <w:vAlign w:val="top"/>
          </w:tcPr>
          <w:p w14:paraId="7A7A6148">
            <w:pPr>
              <w:spacing w:before="119" w:line="243" w:lineRule="auto"/>
              <w:ind w:left="122" w:right="130" w:firstLine="479"/>
              <w:jc w:val="both"/>
              <w:rPr>
                <w:rFonts w:ascii="宋体" w:hAnsi="宋体" w:eastAsia="宋体" w:cs="宋体"/>
                <w:sz w:val="21"/>
                <w:szCs w:val="21"/>
              </w:rPr>
            </w:pPr>
            <w:r>
              <w:rPr>
                <w:rFonts w:ascii="宋体" w:hAnsi="宋体" w:eastAsia="宋体" w:cs="宋体"/>
                <w:spacing w:val="-1"/>
                <w:sz w:val="21"/>
                <w:szCs w:val="21"/>
              </w:rPr>
              <w:t>1.《中华人民共和国安全生</w:t>
            </w:r>
            <w:r>
              <w:rPr>
                <w:rFonts w:ascii="宋体" w:hAnsi="宋体" w:eastAsia="宋体" w:cs="宋体"/>
                <w:spacing w:val="10"/>
                <w:sz w:val="21"/>
                <w:szCs w:val="21"/>
              </w:rPr>
              <w:t>产法》第三十六条第二款生产经营单位必须对安全设备进行</w:t>
            </w:r>
          </w:p>
        </w:tc>
        <w:tc>
          <w:tcPr>
            <w:tcW w:w="2858" w:type="dxa"/>
            <w:noWrap w:val="0"/>
            <w:vAlign w:val="top"/>
          </w:tcPr>
          <w:p w14:paraId="7DCA3F37">
            <w:pPr>
              <w:spacing w:before="130"/>
              <w:ind w:left="134" w:right="22" w:firstLine="470"/>
              <w:jc w:val="both"/>
              <w:rPr>
                <w:rFonts w:ascii="宋体" w:hAnsi="宋体" w:eastAsia="宋体" w:cs="宋体"/>
                <w:sz w:val="21"/>
                <w:szCs w:val="21"/>
              </w:rPr>
            </w:pPr>
            <w:r>
              <w:rPr>
                <w:rFonts w:ascii="宋体" w:hAnsi="宋体" w:eastAsia="宋体" w:cs="宋体"/>
                <w:spacing w:val="2"/>
                <w:sz w:val="21"/>
                <w:szCs w:val="21"/>
              </w:rPr>
              <w:t>1.《危险化学品企业</w:t>
            </w:r>
            <w:r>
              <w:rPr>
                <w:rFonts w:ascii="宋体" w:hAnsi="宋体" w:eastAsia="宋体" w:cs="宋体"/>
                <w:spacing w:val="17"/>
                <w:sz w:val="21"/>
                <w:szCs w:val="21"/>
              </w:rPr>
              <w:t>安全风险隐患排查治理导</w:t>
            </w:r>
            <w:r>
              <w:rPr>
                <w:rFonts w:ascii="宋体" w:hAnsi="宋体" w:eastAsia="宋体" w:cs="宋体"/>
                <w:spacing w:val="18"/>
                <w:sz w:val="21"/>
                <w:szCs w:val="21"/>
              </w:rPr>
              <w:t>则》(应急〔2019〕78号)</w:t>
            </w:r>
          </w:p>
        </w:tc>
        <w:tc>
          <w:tcPr>
            <w:tcW w:w="3072" w:type="dxa"/>
            <w:noWrap w:val="0"/>
            <w:vAlign w:val="top"/>
          </w:tcPr>
          <w:p w14:paraId="5000E9A8">
            <w:pPr>
              <w:spacing w:before="119" w:line="243" w:lineRule="auto"/>
              <w:ind w:left="147" w:right="140" w:firstLine="455"/>
              <w:jc w:val="both"/>
              <w:rPr>
                <w:rFonts w:ascii="宋体" w:hAnsi="宋体" w:eastAsia="宋体" w:cs="宋体"/>
                <w:sz w:val="21"/>
                <w:szCs w:val="21"/>
              </w:rPr>
            </w:pPr>
            <w:r>
              <w:rPr>
                <w:rFonts w:ascii="宋体" w:hAnsi="宋体" w:eastAsia="宋体" w:cs="宋体"/>
                <w:spacing w:val="24"/>
                <w:sz w:val="21"/>
                <w:szCs w:val="21"/>
              </w:rPr>
              <w:t>《中华人民共和国</w:t>
            </w:r>
            <w:r>
              <w:rPr>
                <w:rFonts w:ascii="宋体" w:hAnsi="宋体" w:eastAsia="宋体" w:cs="宋体"/>
                <w:spacing w:val="10"/>
                <w:sz w:val="21"/>
                <w:szCs w:val="21"/>
              </w:rPr>
              <w:t>安全生产法》第九十九条</w:t>
            </w:r>
            <w:r>
              <w:rPr>
                <w:rFonts w:ascii="宋体" w:hAnsi="宋体" w:eastAsia="宋体" w:cs="宋体"/>
                <w:spacing w:val="7"/>
                <w:sz w:val="21"/>
                <w:szCs w:val="21"/>
              </w:rPr>
              <w:t>第三项生产经营单位</w:t>
            </w:r>
          </w:p>
        </w:tc>
        <w:tc>
          <w:tcPr>
            <w:tcW w:w="1129" w:type="dxa"/>
            <w:noWrap w:val="0"/>
            <w:vAlign w:val="top"/>
          </w:tcPr>
          <w:p w14:paraId="7BF11374">
            <w:pPr>
              <w:spacing w:before="268" w:line="230" w:lineRule="auto"/>
              <w:ind w:left="159" w:right="146"/>
              <w:rPr>
                <w:rFonts w:ascii="宋体" w:hAnsi="宋体" w:eastAsia="宋体" w:cs="宋体"/>
                <w:sz w:val="21"/>
                <w:szCs w:val="21"/>
              </w:rPr>
            </w:pPr>
            <w:r>
              <w:rPr>
                <w:rFonts w:ascii="宋体" w:hAnsi="宋体" w:eastAsia="宋体" w:cs="宋体"/>
                <w:spacing w:val="4"/>
                <w:sz w:val="21"/>
                <w:szCs w:val="21"/>
              </w:rPr>
              <w:t>氯乙烯和</w:t>
            </w:r>
            <w:r>
              <w:rPr>
                <w:rFonts w:ascii="宋体" w:hAnsi="宋体" w:eastAsia="宋体" w:cs="宋体"/>
                <w:spacing w:val="-2"/>
                <w:sz w:val="21"/>
                <w:szCs w:val="21"/>
              </w:rPr>
              <w:t>气柜管理</w:t>
            </w:r>
          </w:p>
        </w:tc>
      </w:tr>
    </w:tbl>
    <w:p w14:paraId="088BEEF9"/>
    <w:p w14:paraId="538D6515"/>
    <w:p w14:paraId="53106A36"/>
    <w:p w14:paraId="74795359"/>
    <w:p w14:paraId="2763BBAA"/>
    <w:p w14:paraId="5E2205B5"/>
    <w:p w14:paraId="15072CBF">
      <w:pPr>
        <w:spacing w:line="19" w:lineRule="exact"/>
      </w:pPr>
    </w:p>
    <w:tbl>
      <w:tblPr>
        <w:tblStyle w:val="12"/>
        <w:tblW w:w="0" w:type="auto"/>
        <w:tblInd w:w="2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0"/>
        <w:gridCol w:w="2218"/>
        <w:gridCol w:w="3507"/>
        <w:gridCol w:w="2868"/>
        <w:gridCol w:w="2848"/>
        <w:gridCol w:w="1254"/>
      </w:tblGrid>
      <w:tr w14:paraId="51E0D4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1100" w:type="dxa"/>
            <w:noWrap w:val="0"/>
            <w:vAlign w:val="top"/>
          </w:tcPr>
          <w:p w14:paraId="45657E14">
            <w:pPr>
              <w:spacing w:before="222" w:line="221" w:lineRule="auto"/>
              <w:ind w:left="188"/>
              <w:rPr>
                <w:rFonts w:ascii="宋体" w:hAnsi="宋体" w:eastAsia="宋体" w:cs="宋体"/>
                <w:b/>
                <w:bCs/>
                <w:sz w:val="24"/>
                <w:szCs w:val="24"/>
              </w:rPr>
            </w:pPr>
            <w:r>
              <w:rPr>
                <w:rFonts w:ascii="宋体" w:hAnsi="宋体" w:eastAsia="宋体" w:cs="宋体"/>
                <w:b/>
                <w:bCs/>
                <w:spacing w:val="-5"/>
                <w:sz w:val="24"/>
                <w:szCs w:val="24"/>
              </w:rPr>
              <w:t>序号</w:t>
            </w:r>
          </w:p>
        </w:tc>
        <w:tc>
          <w:tcPr>
            <w:tcW w:w="2218" w:type="dxa"/>
            <w:noWrap w:val="0"/>
            <w:vAlign w:val="top"/>
          </w:tcPr>
          <w:p w14:paraId="05DC216E">
            <w:pPr>
              <w:spacing w:before="81" w:line="219" w:lineRule="auto"/>
              <w:ind w:left="623"/>
              <w:rPr>
                <w:rFonts w:ascii="宋体" w:hAnsi="宋体" w:eastAsia="宋体" w:cs="宋体"/>
                <w:b/>
                <w:bCs/>
                <w:sz w:val="24"/>
                <w:szCs w:val="24"/>
              </w:rPr>
            </w:pPr>
            <w:r>
              <w:rPr>
                <w:rFonts w:ascii="宋体" w:hAnsi="宋体" w:eastAsia="宋体" w:cs="宋体"/>
                <w:b/>
                <w:bCs/>
                <w:spacing w:val="-5"/>
                <w:sz w:val="24"/>
                <w:szCs w:val="24"/>
              </w:rPr>
              <w:t>执法检查</w:t>
            </w:r>
          </w:p>
          <w:p w14:paraId="2660FD60">
            <w:pPr>
              <w:spacing w:before="34" w:line="218" w:lineRule="auto"/>
              <w:ind w:left="383"/>
              <w:rPr>
                <w:rFonts w:ascii="宋体" w:hAnsi="宋体" w:eastAsia="宋体" w:cs="宋体"/>
                <w:b/>
                <w:bCs/>
                <w:sz w:val="24"/>
                <w:szCs w:val="24"/>
              </w:rPr>
            </w:pPr>
            <w:r>
              <w:rPr>
                <w:rFonts w:ascii="宋体" w:hAnsi="宋体" w:eastAsia="宋体" w:cs="宋体"/>
                <w:b/>
                <w:bCs/>
                <w:spacing w:val="-4"/>
                <w:sz w:val="24"/>
                <w:szCs w:val="24"/>
              </w:rPr>
              <w:t>重点事项内容</w:t>
            </w:r>
          </w:p>
        </w:tc>
        <w:tc>
          <w:tcPr>
            <w:tcW w:w="3507" w:type="dxa"/>
            <w:noWrap w:val="0"/>
            <w:vAlign w:val="top"/>
          </w:tcPr>
          <w:p w14:paraId="2A4B8D38">
            <w:pPr>
              <w:spacing w:before="219" w:line="219" w:lineRule="auto"/>
              <w:ind w:left="1025"/>
              <w:rPr>
                <w:rFonts w:ascii="宋体" w:hAnsi="宋体" w:eastAsia="宋体" w:cs="宋体"/>
                <w:b/>
                <w:bCs/>
                <w:sz w:val="24"/>
                <w:szCs w:val="24"/>
              </w:rPr>
            </w:pPr>
            <w:r>
              <w:rPr>
                <w:rFonts w:ascii="宋体" w:hAnsi="宋体" w:eastAsia="宋体" w:cs="宋体"/>
                <w:b/>
                <w:bCs/>
                <w:spacing w:val="-4"/>
                <w:sz w:val="24"/>
                <w:szCs w:val="24"/>
              </w:rPr>
              <w:t>执法检查依据</w:t>
            </w:r>
          </w:p>
        </w:tc>
        <w:tc>
          <w:tcPr>
            <w:tcW w:w="2868" w:type="dxa"/>
            <w:noWrap w:val="0"/>
            <w:vAlign w:val="top"/>
          </w:tcPr>
          <w:p w14:paraId="583D7079">
            <w:pPr>
              <w:spacing w:before="102" w:line="220" w:lineRule="auto"/>
              <w:ind w:left="858"/>
              <w:rPr>
                <w:rFonts w:ascii="宋体" w:hAnsi="宋体" w:eastAsia="宋体" w:cs="宋体"/>
                <w:b/>
                <w:bCs/>
                <w:sz w:val="24"/>
                <w:szCs w:val="24"/>
              </w:rPr>
            </w:pPr>
            <w:r>
              <w:rPr>
                <w:rFonts w:ascii="宋体" w:hAnsi="宋体" w:eastAsia="宋体" w:cs="宋体"/>
                <w:b/>
                <w:bCs/>
                <w:spacing w:val="-5"/>
                <w:sz w:val="24"/>
                <w:szCs w:val="24"/>
              </w:rPr>
              <w:t>有关规范性</w:t>
            </w:r>
          </w:p>
          <w:p w14:paraId="145C5B32">
            <w:pPr>
              <w:spacing w:before="42" w:line="195" w:lineRule="auto"/>
              <w:ind w:left="608"/>
              <w:rPr>
                <w:rFonts w:ascii="宋体" w:hAnsi="宋体" w:eastAsia="宋体" w:cs="宋体"/>
                <w:b/>
                <w:bCs/>
                <w:sz w:val="24"/>
                <w:szCs w:val="24"/>
              </w:rPr>
            </w:pPr>
            <w:r>
              <w:rPr>
                <w:rFonts w:ascii="宋体" w:hAnsi="宋体" w:eastAsia="宋体" w:cs="宋体"/>
                <w:b/>
                <w:bCs/>
                <w:spacing w:val="-4"/>
                <w:sz w:val="24"/>
                <w:szCs w:val="24"/>
              </w:rPr>
              <w:t>文件及标准要求</w:t>
            </w:r>
          </w:p>
        </w:tc>
        <w:tc>
          <w:tcPr>
            <w:tcW w:w="2848" w:type="dxa"/>
            <w:noWrap w:val="0"/>
            <w:vAlign w:val="top"/>
          </w:tcPr>
          <w:p w14:paraId="4350B447">
            <w:pPr>
              <w:spacing w:before="223" w:line="219" w:lineRule="auto"/>
              <w:ind w:left="977"/>
              <w:rPr>
                <w:rFonts w:ascii="宋体" w:hAnsi="宋体" w:eastAsia="宋体" w:cs="宋体"/>
                <w:b/>
                <w:bCs/>
                <w:sz w:val="24"/>
                <w:szCs w:val="24"/>
              </w:rPr>
            </w:pPr>
            <w:r>
              <w:rPr>
                <w:rFonts w:ascii="宋体" w:hAnsi="宋体" w:eastAsia="宋体" w:cs="宋体"/>
                <w:b/>
                <w:bCs/>
                <w:spacing w:val="3"/>
                <w:sz w:val="24"/>
                <w:szCs w:val="24"/>
              </w:rPr>
              <w:t>处罚依据</w:t>
            </w:r>
          </w:p>
        </w:tc>
        <w:tc>
          <w:tcPr>
            <w:tcW w:w="1254" w:type="dxa"/>
            <w:noWrap w:val="0"/>
            <w:vAlign w:val="top"/>
          </w:tcPr>
          <w:p w14:paraId="7F34F60E">
            <w:pPr>
              <w:spacing w:before="222" w:line="221" w:lineRule="auto"/>
              <w:ind w:left="382"/>
              <w:rPr>
                <w:rFonts w:ascii="宋体" w:hAnsi="宋体" w:eastAsia="宋体" w:cs="宋体"/>
                <w:b/>
                <w:bCs/>
                <w:sz w:val="24"/>
                <w:szCs w:val="24"/>
              </w:rPr>
            </w:pPr>
            <w:r>
              <w:rPr>
                <w:rFonts w:ascii="宋体" w:hAnsi="宋体" w:eastAsia="宋体" w:cs="宋体"/>
                <w:b/>
                <w:bCs/>
                <w:spacing w:val="-6"/>
                <w:sz w:val="24"/>
                <w:szCs w:val="24"/>
              </w:rPr>
              <w:t>备注</w:t>
            </w:r>
          </w:p>
        </w:tc>
      </w:tr>
      <w:tr w14:paraId="3E94B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00" w:hRule="atLeast"/>
        </w:trPr>
        <w:tc>
          <w:tcPr>
            <w:tcW w:w="1100" w:type="dxa"/>
            <w:noWrap w:val="0"/>
            <w:vAlign w:val="top"/>
          </w:tcPr>
          <w:p w14:paraId="020C4FDF">
            <w:pPr>
              <w:rPr>
                <w:rFonts w:ascii="Arial"/>
                <w:sz w:val="21"/>
                <w:szCs w:val="21"/>
              </w:rPr>
            </w:pPr>
          </w:p>
        </w:tc>
        <w:tc>
          <w:tcPr>
            <w:tcW w:w="2218" w:type="dxa"/>
            <w:noWrap w:val="0"/>
            <w:vAlign w:val="top"/>
          </w:tcPr>
          <w:p w14:paraId="1F227F63">
            <w:pPr>
              <w:spacing w:before="81" w:line="244" w:lineRule="auto"/>
              <w:ind w:left="110" w:right="27" w:firstLine="90"/>
              <w:jc w:val="both"/>
              <w:rPr>
                <w:rFonts w:ascii="宋体" w:hAnsi="宋体" w:eastAsia="宋体" w:cs="宋体"/>
                <w:sz w:val="21"/>
                <w:szCs w:val="21"/>
              </w:rPr>
            </w:pPr>
            <w:r>
              <w:rPr>
                <w:rFonts w:ascii="宋体" w:hAnsi="宋体" w:eastAsia="宋体" w:cs="宋体"/>
                <w:spacing w:val="-2"/>
                <w:sz w:val="21"/>
                <w:szCs w:val="21"/>
              </w:rPr>
              <w:t>气柜的压力(钟罩</w:t>
            </w:r>
            <w:r>
              <w:rPr>
                <w:rFonts w:ascii="宋体" w:hAnsi="宋体" w:eastAsia="宋体" w:cs="宋体"/>
                <w:spacing w:val="12"/>
                <w:sz w:val="21"/>
                <w:szCs w:val="21"/>
              </w:rPr>
              <w:t>内)、柜位高度不</w:t>
            </w:r>
            <w:r>
              <w:rPr>
                <w:rFonts w:ascii="宋体" w:hAnsi="宋体" w:eastAsia="宋体" w:cs="宋体"/>
                <w:spacing w:val="5"/>
                <w:sz w:val="21"/>
                <w:szCs w:val="21"/>
              </w:rPr>
              <w:t>能实现在线连续监测：未设置气柜压</w:t>
            </w:r>
            <w:r>
              <w:rPr>
                <w:rFonts w:ascii="宋体" w:hAnsi="宋体" w:eastAsia="宋体" w:cs="宋体"/>
                <w:spacing w:val="18"/>
                <w:sz w:val="21"/>
                <w:szCs w:val="21"/>
              </w:rPr>
              <w:t>力、柜位等联锁。</w:t>
            </w:r>
            <w:r>
              <w:rPr>
                <w:rFonts w:ascii="宋体" w:hAnsi="宋体" w:eastAsia="宋体" w:cs="宋体"/>
                <w:spacing w:val="2"/>
                <w:sz w:val="21"/>
                <w:szCs w:val="21"/>
              </w:rPr>
              <w:t>湿式气柜储存毒性</w:t>
            </w:r>
            <w:r>
              <w:rPr>
                <w:rFonts w:ascii="宋体" w:hAnsi="宋体" w:eastAsia="宋体" w:cs="宋体"/>
                <w:spacing w:val="5"/>
                <w:sz w:val="21"/>
                <w:szCs w:val="21"/>
              </w:rPr>
              <w:t>为极度、高度危害</w:t>
            </w:r>
            <w:r>
              <w:rPr>
                <w:rFonts w:ascii="宋体" w:hAnsi="宋体" w:eastAsia="宋体" w:cs="宋体"/>
                <w:spacing w:val="23"/>
                <w:sz w:val="21"/>
                <w:szCs w:val="21"/>
              </w:rPr>
              <w:t>的气体。</w:t>
            </w:r>
          </w:p>
        </w:tc>
        <w:tc>
          <w:tcPr>
            <w:tcW w:w="3507" w:type="dxa"/>
            <w:noWrap w:val="0"/>
            <w:vAlign w:val="top"/>
          </w:tcPr>
          <w:p w14:paraId="5577EFA8">
            <w:pPr>
              <w:spacing w:before="112" w:line="243" w:lineRule="auto"/>
              <w:ind w:left="141" w:hanging="9"/>
              <w:jc w:val="both"/>
              <w:rPr>
                <w:rFonts w:ascii="宋体" w:hAnsi="宋体" w:eastAsia="宋体" w:cs="宋体"/>
                <w:sz w:val="21"/>
                <w:szCs w:val="21"/>
              </w:rPr>
            </w:pPr>
            <w:r>
              <w:rPr>
                <w:rFonts w:ascii="宋体" w:hAnsi="宋体" w:eastAsia="宋体" w:cs="宋体"/>
                <w:spacing w:val="-6"/>
                <w:sz w:val="21"/>
                <w:szCs w:val="21"/>
              </w:rPr>
              <w:t>经常性维护、保养，并定期检测，</w:t>
            </w:r>
            <w:r>
              <w:rPr>
                <w:rFonts w:ascii="宋体" w:hAnsi="宋体" w:eastAsia="宋体" w:cs="宋体"/>
                <w:spacing w:val="2"/>
                <w:sz w:val="21"/>
                <w:szCs w:val="21"/>
              </w:rPr>
              <w:t>保证正常运转。维护、保养、检</w:t>
            </w:r>
            <w:r>
              <w:rPr>
                <w:rFonts w:ascii="宋体" w:hAnsi="宋体" w:eastAsia="宋体" w:cs="宋体"/>
                <w:spacing w:val="4"/>
                <w:sz w:val="21"/>
                <w:szCs w:val="21"/>
              </w:rPr>
              <w:t>测应当作好记录，并由有关人员</w:t>
            </w:r>
            <w:r>
              <w:rPr>
                <w:rFonts w:ascii="宋体" w:hAnsi="宋体" w:eastAsia="宋体" w:cs="宋体"/>
                <w:spacing w:val="-5"/>
                <w:sz w:val="21"/>
                <w:szCs w:val="21"/>
              </w:rPr>
              <w:t>签字。</w:t>
            </w:r>
          </w:p>
          <w:p w14:paraId="2A214ECD">
            <w:pPr>
              <w:spacing w:before="63" w:line="250" w:lineRule="auto"/>
              <w:ind w:left="142" w:firstLine="433"/>
              <w:rPr>
                <w:rFonts w:ascii="宋体" w:hAnsi="宋体" w:eastAsia="宋体" w:cs="宋体"/>
                <w:sz w:val="21"/>
                <w:szCs w:val="21"/>
              </w:rPr>
            </w:pPr>
            <w:r>
              <w:rPr>
                <w:rFonts w:ascii="宋体" w:hAnsi="宋体" w:eastAsia="宋体" w:cs="宋体"/>
                <w:spacing w:val="-9"/>
                <w:sz w:val="21"/>
                <w:szCs w:val="21"/>
              </w:rPr>
              <w:t>2.《危险化学品生产企业安</w:t>
            </w:r>
            <w:r>
              <w:rPr>
                <w:rFonts w:ascii="宋体" w:hAnsi="宋体" w:eastAsia="宋体" w:cs="宋体"/>
                <w:spacing w:val="3"/>
                <w:sz w:val="21"/>
                <w:szCs w:val="21"/>
              </w:rPr>
              <w:t>全生产许可证实施办法》(国家</w:t>
            </w:r>
            <w:r>
              <w:rPr>
                <w:rFonts w:ascii="宋体" w:hAnsi="宋体" w:eastAsia="宋体" w:cs="宋体"/>
                <w:spacing w:val="19"/>
                <w:sz w:val="21"/>
                <w:szCs w:val="21"/>
              </w:rPr>
              <w:t>安全监管总局令第41号)第九</w:t>
            </w:r>
            <w:r>
              <w:rPr>
                <w:rFonts w:ascii="宋体" w:hAnsi="宋体" w:eastAsia="宋体" w:cs="宋体"/>
                <w:spacing w:val="6"/>
                <w:sz w:val="21"/>
                <w:szCs w:val="21"/>
              </w:rPr>
              <w:t>条第一款第三项企业的厂房、</w:t>
            </w:r>
            <w:r>
              <w:rPr>
                <w:rFonts w:ascii="宋体" w:hAnsi="宋体" w:eastAsia="宋体" w:cs="宋体"/>
                <w:spacing w:val="11"/>
                <w:sz w:val="21"/>
                <w:szCs w:val="21"/>
              </w:rPr>
              <w:t>作业场所、储存设施和安全设</w:t>
            </w:r>
            <w:r>
              <w:rPr>
                <w:rFonts w:ascii="宋体" w:hAnsi="宋体" w:eastAsia="宋体" w:cs="宋体"/>
                <w:spacing w:val="2"/>
                <w:sz w:val="21"/>
                <w:szCs w:val="21"/>
              </w:rPr>
              <w:t>施、设备、工艺应当符合下列要</w:t>
            </w:r>
            <w:r>
              <w:rPr>
                <w:rFonts w:ascii="宋体" w:hAnsi="宋体" w:eastAsia="宋体" w:cs="宋体"/>
                <w:spacing w:val="-5"/>
                <w:sz w:val="21"/>
                <w:szCs w:val="21"/>
              </w:rPr>
              <w:t>求：</w:t>
            </w:r>
          </w:p>
          <w:p w14:paraId="31DF0D18">
            <w:pPr>
              <w:spacing w:before="74" w:line="253" w:lineRule="auto"/>
              <w:ind w:left="142" w:firstLine="557"/>
              <w:rPr>
                <w:rFonts w:ascii="宋体" w:hAnsi="宋体" w:eastAsia="宋体" w:cs="宋体"/>
                <w:sz w:val="21"/>
                <w:szCs w:val="21"/>
              </w:rPr>
            </w:pPr>
            <w:r>
              <w:rPr>
                <w:rFonts w:ascii="宋体" w:hAnsi="宋体" w:eastAsia="宋体" w:cs="宋体"/>
                <w:spacing w:val="17"/>
                <w:sz w:val="21"/>
                <w:szCs w:val="21"/>
              </w:rPr>
              <w:t>(三)涉及危险化工工艺、</w:t>
            </w:r>
            <w:r>
              <w:rPr>
                <w:rFonts w:ascii="宋体" w:hAnsi="宋体" w:eastAsia="宋体" w:cs="宋体"/>
                <w:spacing w:val="20"/>
                <w:sz w:val="21"/>
                <w:szCs w:val="21"/>
              </w:rPr>
              <w:t>重点监管危险化学品的装置装</w:t>
            </w:r>
            <w:r>
              <w:rPr>
                <w:rFonts w:ascii="宋体" w:hAnsi="宋体" w:eastAsia="宋体" w:cs="宋体"/>
                <w:spacing w:val="9"/>
                <w:sz w:val="21"/>
                <w:szCs w:val="21"/>
              </w:rPr>
              <w:t>设自动化控制系统；涉及危险化</w:t>
            </w:r>
            <w:r>
              <w:rPr>
                <w:rFonts w:ascii="宋体" w:hAnsi="宋体" w:eastAsia="宋体" w:cs="宋体"/>
                <w:spacing w:val="20"/>
                <w:sz w:val="21"/>
                <w:szCs w:val="21"/>
              </w:rPr>
              <w:t>工工艺的大型化工装置装设紧</w:t>
            </w:r>
            <w:r>
              <w:rPr>
                <w:rFonts w:ascii="宋体" w:hAnsi="宋体" w:eastAsia="宋体" w:cs="宋体"/>
                <w:spacing w:val="9"/>
                <w:sz w:val="21"/>
                <w:szCs w:val="21"/>
              </w:rPr>
              <w:t>急停车系统；涉及易燃易爆、有</w:t>
            </w:r>
            <w:r>
              <w:rPr>
                <w:rFonts w:ascii="宋体" w:hAnsi="宋体" w:eastAsia="宋体" w:cs="宋体"/>
                <w:spacing w:val="18"/>
                <w:sz w:val="21"/>
                <w:szCs w:val="21"/>
              </w:rPr>
              <w:t>毒有害气体化学品的场所装设</w:t>
            </w:r>
            <w:r>
              <w:rPr>
                <w:rFonts w:ascii="宋体" w:hAnsi="宋体" w:eastAsia="宋体" w:cs="宋体"/>
                <w:spacing w:val="9"/>
                <w:sz w:val="21"/>
                <w:szCs w:val="21"/>
              </w:rPr>
              <w:t>易燃易爆、有毒有害介质泄漏报</w:t>
            </w:r>
            <w:r>
              <w:rPr>
                <w:rFonts w:ascii="宋体" w:hAnsi="宋体" w:eastAsia="宋体" w:cs="宋体"/>
                <w:spacing w:val="25"/>
                <w:sz w:val="21"/>
                <w:szCs w:val="21"/>
              </w:rPr>
              <w:t>警等安全设施。</w:t>
            </w:r>
          </w:p>
          <w:p w14:paraId="4A437211">
            <w:pPr>
              <w:tabs>
                <w:tab w:val="left" w:pos="222"/>
              </w:tabs>
              <w:spacing w:before="50" w:line="238" w:lineRule="auto"/>
              <w:ind w:left="22" w:right="14" w:firstLine="580"/>
              <w:rPr>
                <w:rFonts w:ascii="宋体" w:hAnsi="宋体" w:eastAsia="宋体" w:cs="宋体"/>
                <w:sz w:val="21"/>
                <w:szCs w:val="21"/>
              </w:rPr>
            </w:pPr>
            <w:r>
              <w:rPr>
                <w:rFonts w:ascii="宋体" w:hAnsi="宋体" w:eastAsia="宋体" w:cs="宋体"/>
                <w:spacing w:val="-1"/>
                <w:sz w:val="21"/>
                <w:szCs w:val="21"/>
              </w:rPr>
              <w:t>3.《危险化学品建设项目安</w:t>
            </w:r>
            <w:r>
              <w:rPr>
                <w:rFonts w:ascii="宋体" w:hAnsi="宋体" w:eastAsia="宋体" w:cs="宋体"/>
                <w:spacing w:val="21"/>
                <w:sz w:val="21"/>
                <w:szCs w:val="21"/>
              </w:rPr>
              <w:t>全设施目录》(安监总危化</w:t>
            </w:r>
            <w:r>
              <w:rPr>
                <w:rFonts w:ascii="宋体" w:hAnsi="宋体" w:eastAsia="宋体" w:cs="宋体"/>
                <w:spacing w:val="18"/>
                <w:sz w:val="21"/>
                <w:szCs w:val="21"/>
              </w:rPr>
              <w:t>〔2007〕225号)预防事故设施</w:t>
            </w:r>
            <w:r>
              <w:rPr>
                <w:rFonts w:ascii="宋体" w:hAnsi="宋体" w:eastAsia="宋体" w:cs="宋体"/>
                <w:sz w:val="21"/>
                <w:szCs w:val="21"/>
              </w:rPr>
              <w:tab/>
            </w:r>
            <w:r>
              <w:rPr>
                <w:rFonts w:ascii="宋体" w:hAnsi="宋体" w:eastAsia="宋体" w:cs="宋体"/>
                <w:spacing w:val="20"/>
                <w:sz w:val="21"/>
                <w:szCs w:val="21"/>
              </w:rPr>
              <w:t>(1)检测、报警设施。压力、</w:t>
            </w:r>
          </w:p>
        </w:tc>
        <w:tc>
          <w:tcPr>
            <w:tcW w:w="2868" w:type="dxa"/>
            <w:noWrap w:val="0"/>
            <w:vAlign w:val="top"/>
          </w:tcPr>
          <w:p w14:paraId="5B78107D">
            <w:pPr>
              <w:spacing w:before="103" w:line="254" w:lineRule="auto"/>
              <w:ind w:left="155"/>
              <w:jc w:val="both"/>
              <w:rPr>
                <w:rFonts w:ascii="宋体" w:hAnsi="宋体" w:eastAsia="宋体" w:cs="宋体"/>
                <w:sz w:val="21"/>
                <w:szCs w:val="21"/>
              </w:rPr>
            </w:pPr>
            <w:r>
              <w:rPr>
                <w:rFonts w:ascii="宋体" w:hAnsi="宋体" w:eastAsia="宋体" w:cs="宋体"/>
                <w:spacing w:val="14"/>
                <w:sz w:val="21"/>
                <w:szCs w:val="21"/>
              </w:rPr>
              <w:t>附件9重点危险化学品</w:t>
            </w:r>
            <w:r>
              <w:rPr>
                <w:rFonts w:ascii="宋体" w:hAnsi="宋体" w:eastAsia="宋体" w:cs="宋体"/>
                <w:spacing w:val="7"/>
                <w:sz w:val="21"/>
                <w:szCs w:val="21"/>
              </w:rPr>
              <w:t>特殊管控安全风险隐患排</w:t>
            </w:r>
            <w:r>
              <w:rPr>
                <w:rFonts w:ascii="宋体" w:hAnsi="宋体" w:eastAsia="宋体" w:cs="宋体"/>
                <w:spacing w:val="11"/>
                <w:sz w:val="21"/>
                <w:szCs w:val="21"/>
              </w:rPr>
              <w:t>查表(六)氯乙烯第</w:t>
            </w:r>
            <w:r>
              <w:rPr>
                <w:rFonts w:ascii="宋体" w:hAnsi="宋体" w:eastAsia="宋体" w:cs="宋体"/>
                <w:spacing w:val="16"/>
                <w:sz w:val="21"/>
                <w:szCs w:val="21"/>
              </w:rPr>
              <w:t>6条氯乙烯气柜进出总</w:t>
            </w:r>
            <w:r>
              <w:rPr>
                <w:rFonts w:ascii="宋体" w:hAnsi="宋体" w:eastAsia="宋体" w:cs="宋体"/>
                <w:spacing w:val="30"/>
                <w:sz w:val="21"/>
                <w:szCs w:val="21"/>
              </w:rPr>
              <w:t>管应设置压力和柜位检</w:t>
            </w:r>
            <w:r>
              <w:rPr>
                <w:rFonts w:ascii="宋体" w:hAnsi="宋体" w:eastAsia="宋体" w:cs="宋体"/>
                <w:spacing w:val="21"/>
                <w:sz w:val="21"/>
                <w:szCs w:val="21"/>
              </w:rPr>
              <w:t>测，</w:t>
            </w:r>
            <w:r>
              <w:rPr>
                <w:rFonts w:ascii="宋体" w:hAnsi="宋体" w:eastAsia="宋体" w:cs="宋体"/>
                <w:sz w:val="21"/>
                <w:szCs w:val="21"/>
              </w:rPr>
              <w:t>DCS</w:t>
            </w:r>
            <w:r>
              <w:rPr>
                <w:rFonts w:ascii="宋体" w:hAnsi="宋体" w:eastAsia="宋体" w:cs="宋体"/>
                <w:spacing w:val="21"/>
                <w:sz w:val="21"/>
                <w:szCs w:val="21"/>
              </w:rPr>
              <w:t>指示、报警、联</w:t>
            </w:r>
            <w:r>
              <w:rPr>
                <w:rFonts w:ascii="宋体" w:hAnsi="宋体" w:eastAsia="宋体" w:cs="宋体"/>
                <w:spacing w:val="9"/>
                <w:sz w:val="21"/>
                <w:szCs w:val="21"/>
              </w:rPr>
              <w:t>锁，记录保持时间不低于</w:t>
            </w:r>
            <w:r>
              <w:rPr>
                <w:rFonts w:ascii="宋体" w:hAnsi="宋体" w:eastAsia="宋体" w:cs="宋体"/>
                <w:spacing w:val="19"/>
                <w:sz w:val="21"/>
                <w:szCs w:val="21"/>
              </w:rPr>
              <w:t>3个月。气柜压力和柜位</w:t>
            </w:r>
            <w:r>
              <w:rPr>
                <w:rFonts w:ascii="宋体" w:hAnsi="宋体" w:eastAsia="宋体" w:cs="宋体"/>
                <w:spacing w:val="9"/>
                <w:sz w:val="21"/>
                <w:szCs w:val="21"/>
              </w:rPr>
              <w:t>联锁应设置高高或低低的</w:t>
            </w:r>
            <w:r>
              <w:rPr>
                <w:rFonts w:ascii="宋体" w:hAnsi="宋体" w:eastAsia="宋体" w:cs="宋体"/>
                <w:spacing w:val="-11"/>
                <w:sz w:val="21"/>
                <w:szCs w:val="21"/>
              </w:rPr>
              <w:t>三选二联锁动作。第11</w:t>
            </w:r>
            <w:r>
              <w:rPr>
                <w:rFonts w:ascii="宋体" w:hAnsi="宋体" w:eastAsia="宋体" w:cs="宋体"/>
                <w:spacing w:val="9"/>
                <w:sz w:val="21"/>
                <w:szCs w:val="21"/>
              </w:rPr>
              <w:t>条氯乙烯气柜的进出口</w:t>
            </w:r>
            <w:r>
              <w:rPr>
                <w:rFonts w:ascii="宋体" w:hAnsi="宋体" w:eastAsia="宋体" w:cs="宋体"/>
                <w:spacing w:val="32"/>
                <w:sz w:val="21"/>
                <w:szCs w:val="21"/>
              </w:rPr>
              <w:t>管道应设远程紧急切断</w:t>
            </w:r>
            <w:r>
              <w:rPr>
                <w:rFonts w:ascii="宋体" w:hAnsi="宋体" w:eastAsia="宋体" w:cs="宋体"/>
                <w:spacing w:val="-12"/>
                <w:sz w:val="21"/>
                <w:szCs w:val="21"/>
              </w:rPr>
              <w:t>阀。</w:t>
            </w:r>
          </w:p>
          <w:p w14:paraId="156857BF">
            <w:pPr>
              <w:spacing w:before="68"/>
              <w:ind w:left="155" w:right="47" w:firstLine="419"/>
              <w:jc w:val="both"/>
              <w:rPr>
                <w:rFonts w:ascii="宋体" w:hAnsi="宋体" w:eastAsia="宋体" w:cs="宋体"/>
                <w:sz w:val="21"/>
                <w:szCs w:val="21"/>
              </w:rPr>
            </w:pPr>
            <w:r>
              <w:rPr>
                <w:rFonts w:ascii="宋体" w:hAnsi="宋体" w:eastAsia="宋体" w:cs="宋体"/>
                <w:spacing w:val="-10"/>
                <w:sz w:val="21"/>
                <w:szCs w:val="21"/>
              </w:rPr>
              <w:t>2.《工业企业湿式气</w:t>
            </w:r>
            <w:r>
              <w:rPr>
                <w:rFonts w:ascii="宋体" w:hAnsi="宋体" w:eastAsia="宋体" w:cs="宋体"/>
                <w:spacing w:val="10"/>
                <w:sz w:val="21"/>
                <w:szCs w:val="21"/>
              </w:rPr>
              <w:t>柜技术规范》(</w:t>
            </w:r>
            <w:r>
              <w:rPr>
                <w:rFonts w:ascii="宋体" w:hAnsi="宋体" w:eastAsia="宋体" w:cs="宋体"/>
                <w:sz w:val="21"/>
                <w:szCs w:val="21"/>
              </w:rPr>
              <w:t>GB</w:t>
            </w:r>
            <w:r>
              <w:rPr>
                <w:rFonts w:ascii="宋体" w:hAnsi="宋体" w:eastAsia="宋体" w:cs="宋体"/>
                <w:spacing w:val="10"/>
                <w:sz w:val="21"/>
                <w:szCs w:val="21"/>
              </w:rPr>
              <w:t>/T</w:t>
            </w:r>
            <w:r>
              <w:rPr>
                <w:rFonts w:ascii="宋体" w:hAnsi="宋体" w:eastAsia="宋体" w:cs="宋体"/>
                <w:spacing w:val="1"/>
                <w:sz w:val="21"/>
                <w:szCs w:val="21"/>
              </w:rPr>
              <w:t xml:space="preserve"> </w:t>
            </w:r>
            <w:r>
              <w:rPr>
                <w:rFonts w:ascii="宋体" w:hAnsi="宋体" w:eastAsia="宋体" w:cs="宋体"/>
                <w:spacing w:val="6"/>
                <w:sz w:val="21"/>
                <w:szCs w:val="21"/>
              </w:rPr>
              <w:t>51094)第9.3.1条气柜</w:t>
            </w:r>
            <w:r>
              <w:rPr>
                <w:rFonts w:ascii="宋体" w:hAnsi="宋体" w:eastAsia="宋体" w:cs="宋体"/>
                <w:spacing w:val="1"/>
                <w:sz w:val="21"/>
                <w:szCs w:val="21"/>
              </w:rPr>
              <w:t>不应储存溶于水的各种气体和毒性为极度、高度危</w:t>
            </w:r>
            <w:r>
              <w:rPr>
                <w:rFonts w:ascii="宋体" w:hAnsi="宋体" w:eastAsia="宋体" w:cs="宋体"/>
                <w:spacing w:val="24"/>
                <w:sz w:val="21"/>
                <w:szCs w:val="21"/>
              </w:rPr>
              <w:t>害的气体。</w:t>
            </w:r>
          </w:p>
        </w:tc>
        <w:tc>
          <w:tcPr>
            <w:tcW w:w="2848" w:type="dxa"/>
            <w:noWrap w:val="0"/>
            <w:vAlign w:val="top"/>
          </w:tcPr>
          <w:p w14:paraId="53CF5D71">
            <w:pPr>
              <w:spacing w:before="116" w:line="254" w:lineRule="auto"/>
              <w:ind w:left="157"/>
              <w:jc w:val="both"/>
              <w:rPr>
                <w:rFonts w:ascii="宋体" w:hAnsi="宋体" w:eastAsia="宋体" w:cs="宋体"/>
                <w:sz w:val="21"/>
                <w:szCs w:val="21"/>
              </w:rPr>
            </w:pPr>
            <w:r>
              <w:rPr>
                <w:rFonts w:ascii="宋体" w:hAnsi="宋体" w:eastAsia="宋体" w:cs="宋体"/>
                <w:spacing w:val="4"/>
                <w:sz w:val="21"/>
                <w:szCs w:val="21"/>
              </w:rPr>
              <w:t>有下列行为之一的，责令限期改正，处五万元以下</w:t>
            </w:r>
            <w:r>
              <w:rPr>
                <w:rFonts w:ascii="宋体" w:hAnsi="宋体" w:eastAsia="宋体" w:cs="宋体"/>
                <w:spacing w:val="13"/>
                <w:sz w:val="21"/>
                <w:szCs w:val="21"/>
              </w:rPr>
              <w:t>的罚款；逾期未改正的，</w:t>
            </w:r>
            <w:r>
              <w:rPr>
                <w:rFonts w:ascii="宋体" w:hAnsi="宋体" w:eastAsia="宋体" w:cs="宋体"/>
                <w:spacing w:val="23"/>
                <w:sz w:val="21"/>
                <w:szCs w:val="21"/>
              </w:rPr>
              <w:t>处五万元以上二十万元</w:t>
            </w:r>
            <w:r>
              <w:rPr>
                <w:rFonts w:ascii="宋体" w:hAnsi="宋体" w:eastAsia="宋体" w:cs="宋体"/>
                <w:spacing w:val="5"/>
                <w:sz w:val="21"/>
                <w:szCs w:val="21"/>
              </w:rPr>
              <w:t>以下的罚款，对其直接负</w:t>
            </w:r>
            <w:r>
              <w:rPr>
                <w:rFonts w:ascii="宋体" w:hAnsi="宋体" w:eastAsia="宋体" w:cs="宋体"/>
                <w:spacing w:val="21"/>
                <w:sz w:val="21"/>
                <w:szCs w:val="21"/>
              </w:rPr>
              <w:t>责的主管人员和其他直</w:t>
            </w:r>
            <w:r>
              <w:rPr>
                <w:rFonts w:ascii="宋体" w:hAnsi="宋体" w:eastAsia="宋体" w:cs="宋体"/>
                <w:spacing w:val="24"/>
                <w:sz w:val="21"/>
                <w:szCs w:val="21"/>
              </w:rPr>
              <w:t>接责任人员处一万元以</w:t>
            </w:r>
            <w:r>
              <w:rPr>
                <w:rFonts w:ascii="宋体" w:hAnsi="宋体" w:eastAsia="宋体" w:cs="宋体"/>
                <w:spacing w:val="4"/>
                <w:sz w:val="21"/>
                <w:szCs w:val="21"/>
              </w:rPr>
              <w:t>上二万元以下的罚款；情</w:t>
            </w:r>
            <w:r>
              <w:rPr>
                <w:rFonts w:ascii="宋体" w:hAnsi="宋体" w:eastAsia="宋体" w:cs="宋体"/>
                <w:spacing w:val="2"/>
                <w:sz w:val="21"/>
                <w:szCs w:val="21"/>
              </w:rPr>
              <w:t>节严重的，责令停产停业</w:t>
            </w:r>
            <w:r>
              <w:rPr>
                <w:rFonts w:ascii="宋体" w:hAnsi="宋体" w:eastAsia="宋体" w:cs="宋体"/>
                <w:spacing w:val="4"/>
                <w:sz w:val="21"/>
                <w:szCs w:val="21"/>
              </w:rPr>
              <w:t>整顿；构成犯罪的，依照</w:t>
            </w:r>
            <w:r>
              <w:rPr>
                <w:rFonts w:ascii="宋体" w:hAnsi="宋体" w:eastAsia="宋体" w:cs="宋体"/>
                <w:spacing w:val="23"/>
                <w:sz w:val="21"/>
                <w:szCs w:val="21"/>
              </w:rPr>
              <w:t>刑法有关规定追究刑事</w:t>
            </w:r>
            <w:r>
              <w:rPr>
                <w:rFonts w:ascii="宋体" w:hAnsi="宋体" w:eastAsia="宋体" w:cs="宋体"/>
                <w:spacing w:val="-7"/>
                <w:sz w:val="21"/>
                <w:szCs w:val="21"/>
              </w:rPr>
              <w:t>责任：</w:t>
            </w:r>
          </w:p>
          <w:p w14:paraId="4F76F75B">
            <w:pPr>
              <w:spacing w:before="55"/>
              <w:ind w:left="157" w:right="21" w:firstLine="570"/>
              <w:jc w:val="both"/>
              <w:rPr>
                <w:rFonts w:ascii="宋体" w:hAnsi="宋体" w:eastAsia="宋体" w:cs="宋体"/>
                <w:sz w:val="21"/>
                <w:szCs w:val="21"/>
              </w:rPr>
            </w:pPr>
            <w:r>
              <w:rPr>
                <w:rFonts w:ascii="宋体" w:hAnsi="宋体" w:eastAsia="宋体" w:cs="宋体"/>
                <w:spacing w:val="12"/>
                <w:sz w:val="21"/>
                <w:szCs w:val="21"/>
              </w:rPr>
              <w:t>(三)未对安全设备</w:t>
            </w:r>
            <w:r>
              <w:rPr>
                <w:rFonts w:ascii="宋体" w:hAnsi="宋体" w:eastAsia="宋体" w:cs="宋体"/>
                <w:spacing w:val="1"/>
                <w:sz w:val="21"/>
                <w:szCs w:val="21"/>
              </w:rPr>
              <w:t>进行经常性维护、保养和</w:t>
            </w:r>
            <w:r>
              <w:rPr>
                <w:rFonts w:ascii="宋体" w:hAnsi="宋体" w:eastAsia="宋体" w:cs="宋体"/>
                <w:spacing w:val="19"/>
                <w:sz w:val="21"/>
                <w:szCs w:val="21"/>
              </w:rPr>
              <w:t>定期检测的。</w:t>
            </w:r>
          </w:p>
        </w:tc>
        <w:tc>
          <w:tcPr>
            <w:tcW w:w="1254" w:type="dxa"/>
            <w:noWrap w:val="0"/>
            <w:vAlign w:val="top"/>
          </w:tcPr>
          <w:p w14:paraId="303DCE9D">
            <w:pPr>
              <w:rPr>
                <w:rFonts w:ascii="Arial"/>
                <w:sz w:val="21"/>
              </w:rPr>
            </w:pPr>
          </w:p>
        </w:tc>
      </w:tr>
    </w:tbl>
    <w:p w14:paraId="53203EDE"/>
    <w:p w14:paraId="7000BAE2"/>
    <w:p w14:paraId="4551DD15"/>
    <w:p w14:paraId="014AD903">
      <w:pPr>
        <w:spacing w:line="240" w:lineRule="exact"/>
      </w:pPr>
    </w:p>
    <w:tbl>
      <w:tblPr>
        <w:tblStyle w:val="12"/>
        <w:tblW w:w="1388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4"/>
        <w:gridCol w:w="2238"/>
        <w:gridCol w:w="4717"/>
        <w:gridCol w:w="1709"/>
        <w:gridCol w:w="3595"/>
        <w:gridCol w:w="747"/>
      </w:tblGrid>
      <w:tr w14:paraId="56436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jc w:val="center"/>
        </w:trPr>
        <w:tc>
          <w:tcPr>
            <w:tcW w:w="874" w:type="dxa"/>
            <w:noWrap w:val="0"/>
            <w:vAlign w:val="top"/>
          </w:tcPr>
          <w:p w14:paraId="68D87E8C">
            <w:pPr>
              <w:spacing w:before="222" w:line="221" w:lineRule="auto"/>
              <w:ind w:left="198"/>
              <w:rPr>
                <w:rFonts w:ascii="宋体" w:hAnsi="宋体" w:eastAsia="宋体" w:cs="宋体"/>
                <w:b/>
                <w:bCs/>
                <w:sz w:val="23"/>
                <w:szCs w:val="23"/>
              </w:rPr>
            </w:pPr>
            <w:r>
              <w:rPr>
                <w:rFonts w:ascii="宋体" w:hAnsi="宋体" w:eastAsia="宋体" w:cs="宋体"/>
                <w:b/>
                <w:bCs/>
                <w:spacing w:val="-5"/>
                <w:sz w:val="23"/>
                <w:szCs w:val="23"/>
              </w:rPr>
              <w:t>序号</w:t>
            </w:r>
          </w:p>
        </w:tc>
        <w:tc>
          <w:tcPr>
            <w:tcW w:w="2238" w:type="dxa"/>
            <w:noWrap w:val="0"/>
            <w:vAlign w:val="top"/>
          </w:tcPr>
          <w:p w14:paraId="36BC7575">
            <w:pPr>
              <w:spacing w:before="91" w:line="219" w:lineRule="auto"/>
              <w:ind w:left="654"/>
              <w:rPr>
                <w:rFonts w:ascii="宋体" w:hAnsi="宋体" w:eastAsia="宋体" w:cs="宋体"/>
                <w:b/>
                <w:bCs/>
                <w:sz w:val="23"/>
                <w:szCs w:val="23"/>
              </w:rPr>
            </w:pPr>
            <w:r>
              <w:rPr>
                <w:rFonts w:ascii="宋体" w:hAnsi="宋体" w:eastAsia="宋体" w:cs="宋体"/>
                <w:b/>
                <w:bCs/>
                <w:spacing w:val="-5"/>
                <w:sz w:val="23"/>
                <w:szCs w:val="23"/>
              </w:rPr>
              <w:t>执法检查</w:t>
            </w:r>
          </w:p>
          <w:p w14:paraId="3890992B">
            <w:pPr>
              <w:spacing w:before="56" w:line="203" w:lineRule="auto"/>
              <w:ind w:left="424"/>
              <w:rPr>
                <w:rFonts w:ascii="宋体" w:hAnsi="宋体" w:eastAsia="宋体" w:cs="宋体"/>
                <w:b/>
                <w:bCs/>
                <w:sz w:val="23"/>
                <w:szCs w:val="23"/>
              </w:rPr>
            </w:pPr>
            <w:r>
              <w:rPr>
                <w:rFonts w:ascii="宋体" w:hAnsi="宋体" w:eastAsia="宋体" w:cs="宋体"/>
                <w:b/>
                <w:bCs/>
                <w:spacing w:val="-4"/>
                <w:sz w:val="23"/>
                <w:szCs w:val="23"/>
              </w:rPr>
              <w:t>重点事项内容</w:t>
            </w:r>
          </w:p>
        </w:tc>
        <w:tc>
          <w:tcPr>
            <w:tcW w:w="4717" w:type="dxa"/>
            <w:noWrap w:val="0"/>
            <w:vAlign w:val="top"/>
          </w:tcPr>
          <w:p w14:paraId="4FAAFAB2">
            <w:pPr>
              <w:spacing w:before="222" w:line="219" w:lineRule="auto"/>
              <w:ind w:left="1052"/>
              <w:rPr>
                <w:rFonts w:ascii="宋体" w:hAnsi="宋体" w:eastAsia="宋体" w:cs="宋体"/>
                <w:b/>
                <w:bCs/>
                <w:sz w:val="23"/>
                <w:szCs w:val="23"/>
              </w:rPr>
            </w:pPr>
            <w:r>
              <w:rPr>
                <w:rFonts w:ascii="宋体" w:hAnsi="宋体" w:eastAsia="宋体" w:cs="宋体"/>
                <w:b/>
                <w:bCs/>
                <w:spacing w:val="12"/>
                <w:sz w:val="23"/>
                <w:szCs w:val="23"/>
              </w:rPr>
              <w:t>执法检查依据</w:t>
            </w:r>
          </w:p>
        </w:tc>
        <w:tc>
          <w:tcPr>
            <w:tcW w:w="1709" w:type="dxa"/>
            <w:noWrap w:val="0"/>
            <w:vAlign w:val="top"/>
          </w:tcPr>
          <w:p w14:paraId="50043501">
            <w:pPr>
              <w:spacing w:before="95" w:line="220" w:lineRule="auto"/>
              <w:jc w:val="left"/>
              <w:rPr>
                <w:rFonts w:ascii="宋体" w:hAnsi="宋体" w:eastAsia="宋体" w:cs="宋体"/>
                <w:b/>
                <w:bCs/>
                <w:sz w:val="23"/>
                <w:szCs w:val="23"/>
              </w:rPr>
            </w:pPr>
            <w:r>
              <w:rPr>
                <w:rFonts w:ascii="宋体" w:hAnsi="宋体" w:eastAsia="宋体" w:cs="宋体"/>
                <w:b/>
                <w:bCs/>
                <w:spacing w:val="-2"/>
                <w:sz w:val="23"/>
                <w:szCs w:val="23"/>
              </w:rPr>
              <w:t>有关规范性</w:t>
            </w:r>
          </w:p>
          <w:p w14:paraId="2178480D">
            <w:pPr>
              <w:spacing w:before="54" w:line="201" w:lineRule="auto"/>
              <w:jc w:val="left"/>
              <w:rPr>
                <w:rFonts w:ascii="宋体" w:hAnsi="宋体" w:eastAsia="宋体" w:cs="宋体"/>
                <w:b/>
                <w:bCs/>
                <w:sz w:val="23"/>
                <w:szCs w:val="23"/>
              </w:rPr>
            </w:pPr>
            <w:r>
              <w:rPr>
                <w:rFonts w:ascii="宋体" w:hAnsi="宋体" w:eastAsia="宋体" w:cs="宋体"/>
                <w:b/>
                <w:bCs/>
                <w:spacing w:val="1"/>
                <w:sz w:val="23"/>
                <w:szCs w:val="23"/>
              </w:rPr>
              <w:t>文件及标准要求</w:t>
            </w:r>
          </w:p>
        </w:tc>
        <w:tc>
          <w:tcPr>
            <w:tcW w:w="3595" w:type="dxa"/>
            <w:noWrap w:val="0"/>
            <w:vAlign w:val="top"/>
          </w:tcPr>
          <w:p w14:paraId="0F6755AE">
            <w:pPr>
              <w:spacing w:before="222" w:line="219" w:lineRule="auto"/>
              <w:ind w:left="967"/>
              <w:rPr>
                <w:rFonts w:ascii="宋体" w:hAnsi="宋体" w:eastAsia="宋体" w:cs="宋体"/>
                <w:b/>
                <w:bCs/>
                <w:sz w:val="23"/>
                <w:szCs w:val="23"/>
              </w:rPr>
            </w:pPr>
            <w:r>
              <w:rPr>
                <w:rFonts w:ascii="宋体" w:hAnsi="宋体" w:eastAsia="宋体" w:cs="宋体"/>
                <w:b/>
                <w:bCs/>
                <w:spacing w:val="13"/>
                <w:sz w:val="23"/>
                <w:szCs w:val="23"/>
              </w:rPr>
              <w:t>处罚依据</w:t>
            </w:r>
          </w:p>
        </w:tc>
        <w:tc>
          <w:tcPr>
            <w:tcW w:w="747" w:type="dxa"/>
            <w:noWrap w:val="0"/>
            <w:vAlign w:val="top"/>
          </w:tcPr>
          <w:p w14:paraId="5F27CE89">
            <w:pPr>
              <w:spacing w:before="222" w:line="221" w:lineRule="auto"/>
              <w:ind w:left="393"/>
              <w:rPr>
                <w:rFonts w:ascii="宋体" w:hAnsi="宋体" w:eastAsia="宋体" w:cs="宋体"/>
                <w:b/>
                <w:bCs/>
                <w:sz w:val="23"/>
                <w:szCs w:val="23"/>
              </w:rPr>
            </w:pPr>
            <w:r>
              <w:rPr>
                <w:rFonts w:ascii="宋体" w:hAnsi="宋体" w:eastAsia="宋体" w:cs="宋体"/>
                <w:b/>
                <w:bCs/>
                <w:spacing w:val="-6"/>
                <w:sz w:val="23"/>
                <w:szCs w:val="23"/>
              </w:rPr>
              <w:t>备注</w:t>
            </w:r>
          </w:p>
        </w:tc>
      </w:tr>
      <w:tr w14:paraId="3238E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8" w:hRule="atLeast"/>
          <w:jc w:val="center"/>
        </w:trPr>
        <w:tc>
          <w:tcPr>
            <w:tcW w:w="874" w:type="dxa"/>
            <w:noWrap w:val="0"/>
            <w:vAlign w:val="top"/>
          </w:tcPr>
          <w:p w14:paraId="44184EE4">
            <w:pPr>
              <w:rPr>
                <w:rFonts w:ascii="Arial"/>
                <w:sz w:val="21"/>
                <w:szCs w:val="21"/>
              </w:rPr>
            </w:pPr>
          </w:p>
        </w:tc>
        <w:tc>
          <w:tcPr>
            <w:tcW w:w="2238" w:type="dxa"/>
            <w:noWrap w:val="0"/>
            <w:vAlign w:val="top"/>
          </w:tcPr>
          <w:p w14:paraId="24CF87A1">
            <w:pPr>
              <w:rPr>
                <w:rFonts w:ascii="Arial"/>
                <w:sz w:val="21"/>
                <w:szCs w:val="21"/>
              </w:rPr>
            </w:pPr>
          </w:p>
        </w:tc>
        <w:tc>
          <w:tcPr>
            <w:tcW w:w="4717" w:type="dxa"/>
            <w:noWrap w:val="0"/>
            <w:vAlign w:val="top"/>
          </w:tcPr>
          <w:p w14:paraId="61FAB6F7">
            <w:pPr>
              <w:spacing w:before="97" w:line="263" w:lineRule="auto"/>
              <w:ind w:left="132"/>
              <w:rPr>
                <w:rFonts w:ascii="宋体" w:hAnsi="宋体" w:eastAsia="宋体" w:cs="宋体"/>
                <w:sz w:val="21"/>
                <w:szCs w:val="21"/>
              </w:rPr>
            </w:pPr>
            <w:r>
              <w:rPr>
                <w:rFonts w:ascii="宋体" w:hAnsi="宋体" w:eastAsia="宋体" w:cs="宋体"/>
                <w:spacing w:val="4"/>
                <w:sz w:val="21"/>
                <w:szCs w:val="21"/>
              </w:rPr>
              <w:t>温度、液位、流量、组份等报警设施，可燃气体、有毒有害气体、氧气等检测和报警设施，用于安</w:t>
            </w:r>
            <w:r>
              <w:rPr>
                <w:rFonts w:ascii="宋体" w:hAnsi="宋体" w:eastAsia="宋体" w:cs="宋体"/>
                <w:spacing w:val="24"/>
                <w:sz w:val="21"/>
                <w:szCs w:val="21"/>
              </w:rPr>
              <w:t>全检查和安全数据分析等检测</w:t>
            </w:r>
            <w:r>
              <w:rPr>
                <w:rFonts w:ascii="宋体" w:hAnsi="宋体" w:eastAsia="宋体" w:cs="宋体"/>
                <w:spacing w:val="6"/>
                <w:sz w:val="21"/>
                <w:szCs w:val="21"/>
              </w:rPr>
              <w:t>检验设备、仪器。控制事故设施</w:t>
            </w:r>
            <w:r>
              <w:rPr>
                <w:rFonts w:ascii="宋体" w:hAnsi="宋体" w:eastAsia="宋体" w:cs="宋体"/>
                <w:spacing w:val="24"/>
                <w:sz w:val="21"/>
                <w:szCs w:val="21"/>
              </w:rPr>
              <w:t>(7)紧急处理设施。紧急备用</w:t>
            </w:r>
            <w:r>
              <w:rPr>
                <w:rFonts w:ascii="宋体" w:hAnsi="宋体" w:eastAsia="宋体" w:cs="宋体"/>
                <w:spacing w:val="2"/>
                <w:sz w:val="21"/>
                <w:szCs w:val="21"/>
              </w:rPr>
              <w:t>电源，紧急切断、分流、排放(火</w:t>
            </w:r>
            <w:r>
              <w:rPr>
                <w:rFonts w:ascii="宋体" w:hAnsi="宋体" w:eastAsia="宋体" w:cs="宋体"/>
                <w:spacing w:val="9"/>
                <w:sz w:val="21"/>
                <w:szCs w:val="21"/>
              </w:rPr>
              <w:t>炬)、吸收、中和、冷却等设施，</w:t>
            </w:r>
            <w:r>
              <w:rPr>
                <w:rFonts w:ascii="宋体" w:hAnsi="宋体" w:eastAsia="宋体" w:cs="宋体"/>
                <w:spacing w:val="6"/>
                <w:sz w:val="21"/>
                <w:szCs w:val="21"/>
              </w:rPr>
              <w:t>通入或加入惰性气体、反应抑制</w:t>
            </w:r>
            <w:r>
              <w:rPr>
                <w:rFonts w:ascii="宋体" w:hAnsi="宋体" w:eastAsia="宋体" w:cs="宋体"/>
                <w:spacing w:val="4"/>
                <w:sz w:val="21"/>
                <w:szCs w:val="21"/>
              </w:rPr>
              <w:t>剂等设施，紧急停车、仪表联锁</w:t>
            </w:r>
            <w:r>
              <w:rPr>
                <w:rFonts w:ascii="宋体" w:hAnsi="宋体" w:eastAsia="宋体" w:cs="宋体"/>
                <w:spacing w:val="25"/>
                <w:sz w:val="21"/>
                <w:szCs w:val="21"/>
              </w:rPr>
              <w:t>等设施。</w:t>
            </w:r>
          </w:p>
        </w:tc>
        <w:tc>
          <w:tcPr>
            <w:tcW w:w="1709" w:type="dxa"/>
            <w:noWrap w:val="0"/>
            <w:vAlign w:val="top"/>
          </w:tcPr>
          <w:p w14:paraId="32CC64D9">
            <w:pPr>
              <w:jc w:val="left"/>
              <w:rPr>
                <w:rFonts w:ascii="Arial"/>
                <w:sz w:val="21"/>
                <w:szCs w:val="21"/>
              </w:rPr>
            </w:pPr>
          </w:p>
        </w:tc>
        <w:tc>
          <w:tcPr>
            <w:tcW w:w="3595" w:type="dxa"/>
            <w:noWrap w:val="0"/>
            <w:vAlign w:val="top"/>
          </w:tcPr>
          <w:p w14:paraId="533464EE">
            <w:pPr>
              <w:rPr>
                <w:rFonts w:ascii="Arial"/>
                <w:sz w:val="21"/>
                <w:szCs w:val="21"/>
              </w:rPr>
            </w:pPr>
          </w:p>
        </w:tc>
        <w:tc>
          <w:tcPr>
            <w:tcW w:w="747" w:type="dxa"/>
            <w:noWrap w:val="0"/>
            <w:vAlign w:val="top"/>
          </w:tcPr>
          <w:p w14:paraId="0B966E21">
            <w:pPr>
              <w:rPr>
                <w:rFonts w:ascii="Arial"/>
                <w:sz w:val="21"/>
                <w:szCs w:val="21"/>
              </w:rPr>
            </w:pPr>
          </w:p>
        </w:tc>
      </w:tr>
      <w:tr w14:paraId="6FBCC8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0" w:hRule="atLeast"/>
          <w:jc w:val="center"/>
        </w:trPr>
        <w:tc>
          <w:tcPr>
            <w:tcW w:w="874" w:type="dxa"/>
            <w:noWrap w:val="0"/>
            <w:vAlign w:val="top"/>
          </w:tcPr>
          <w:p w14:paraId="3972E671">
            <w:pPr>
              <w:spacing w:line="256" w:lineRule="auto"/>
              <w:rPr>
                <w:rFonts w:ascii="Arial"/>
                <w:sz w:val="21"/>
                <w:szCs w:val="21"/>
              </w:rPr>
            </w:pPr>
          </w:p>
          <w:p w14:paraId="06AD7213">
            <w:pPr>
              <w:spacing w:line="257" w:lineRule="auto"/>
              <w:rPr>
                <w:rFonts w:ascii="Arial"/>
                <w:sz w:val="21"/>
                <w:szCs w:val="21"/>
              </w:rPr>
            </w:pPr>
          </w:p>
          <w:p w14:paraId="3D9138BD">
            <w:pPr>
              <w:spacing w:line="257" w:lineRule="auto"/>
              <w:rPr>
                <w:rFonts w:ascii="Arial"/>
                <w:sz w:val="21"/>
                <w:szCs w:val="21"/>
              </w:rPr>
            </w:pPr>
          </w:p>
          <w:p w14:paraId="450F11E2">
            <w:pPr>
              <w:spacing w:line="257" w:lineRule="auto"/>
              <w:rPr>
                <w:rFonts w:ascii="Arial"/>
                <w:sz w:val="21"/>
                <w:szCs w:val="21"/>
              </w:rPr>
            </w:pPr>
          </w:p>
          <w:p w14:paraId="742E7D3F">
            <w:pPr>
              <w:spacing w:line="257" w:lineRule="auto"/>
              <w:rPr>
                <w:rFonts w:ascii="Arial"/>
                <w:sz w:val="21"/>
                <w:szCs w:val="21"/>
              </w:rPr>
            </w:pPr>
          </w:p>
          <w:p w14:paraId="5D3FF92A">
            <w:pPr>
              <w:spacing w:line="257" w:lineRule="auto"/>
              <w:rPr>
                <w:rFonts w:ascii="Arial"/>
                <w:sz w:val="21"/>
                <w:szCs w:val="21"/>
              </w:rPr>
            </w:pPr>
          </w:p>
          <w:p w14:paraId="32825DF1">
            <w:pPr>
              <w:spacing w:line="257" w:lineRule="auto"/>
              <w:rPr>
                <w:rFonts w:ascii="Arial"/>
                <w:sz w:val="21"/>
                <w:szCs w:val="21"/>
              </w:rPr>
            </w:pPr>
          </w:p>
          <w:p w14:paraId="614BF2A2">
            <w:pPr>
              <w:spacing w:before="75" w:line="183" w:lineRule="auto"/>
              <w:ind w:left="314"/>
              <w:rPr>
                <w:rFonts w:ascii="宋体" w:hAnsi="宋体" w:eastAsia="宋体" w:cs="宋体"/>
                <w:sz w:val="21"/>
                <w:szCs w:val="21"/>
              </w:rPr>
            </w:pPr>
            <w:r>
              <w:rPr>
                <w:rFonts w:ascii="宋体" w:hAnsi="宋体" w:eastAsia="宋体" w:cs="宋体"/>
                <w:spacing w:val="-3"/>
                <w:sz w:val="21"/>
                <w:szCs w:val="21"/>
              </w:rPr>
              <w:t>2</w:t>
            </w:r>
            <w:r>
              <w:rPr>
                <w:rFonts w:hint="eastAsia" w:ascii="宋体" w:hAnsi="宋体" w:eastAsia="宋体" w:cs="宋体"/>
                <w:spacing w:val="-3"/>
                <w:sz w:val="21"/>
                <w:szCs w:val="21"/>
                <w:lang w:val="en-US" w:eastAsia="zh-CN"/>
              </w:rPr>
              <w:t>8</w:t>
            </w:r>
          </w:p>
        </w:tc>
        <w:tc>
          <w:tcPr>
            <w:tcW w:w="2238" w:type="dxa"/>
            <w:noWrap w:val="0"/>
            <w:vAlign w:val="top"/>
          </w:tcPr>
          <w:p w14:paraId="72DB8646">
            <w:pPr>
              <w:spacing w:line="241" w:lineRule="auto"/>
              <w:rPr>
                <w:rFonts w:ascii="Arial"/>
                <w:sz w:val="21"/>
                <w:szCs w:val="21"/>
              </w:rPr>
            </w:pPr>
          </w:p>
          <w:p w14:paraId="33060C1E">
            <w:pPr>
              <w:spacing w:line="242" w:lineRule="auto"/>
              <w:rPr>
                <w:rFonts w:ascii="Arial"/>
                <w:sz w:val="21"/>
                <w:szCs w:val="21"/>
              </w:rPr>
            </w:pPr>
          </w:p>
          <w:p w14:paraId="0E113403">
            <w:pPr>
              <w:spacing w:line="242" w:lineRule="auto"/>
              <w:rPr>
                <w:rFonts w:ascii="Arial"/>
                <w:sz w:val="21"/>
                <w:szCs w:val="21"/>
              </w:rPr>
            </w:pPr>
          </w:p>
          <w:p w14:paraId="5EDD2B14">
            <w:pPr>
              <w:spacing w:line="242" w:lineRule="auto"/>
              <w:rPr>
                <w:rFonts w:ascii="Arial"/>
                <w:sz w:val="21"/>
                <w:szCs w:val="21"/>
              </w:rPr>
            </w:pPr>
          </w:p>
          <w:p w14:paraId="16CEEFFD">
            <w:pPr>
              <w:spacing w:line="242" w:lineRule="auto"/>
              <w:rPr>
                <w:rFonts w:ascii="Arial"/>
                <w:sz w:val="21"/>
                <w:szCs w:val="21"/>
              </w:rPr>
            </w:pPr>
          </w:p>
          <w:p w14:paraId="2A2B2D6F">
            <w:pPr>
              <w:spacing w:line="242" w:lineRule="auto"/>
              <w:rPr>
                <w:rFonts w:ascii="Arial"/>
                <w:sz w:val="21"/>
                <w:szCs w:val="21"/>
              </w:rPr>
            </w:pPr>
          </w:p>
          <w:p w14:paraId="42D94782">
            <w:pPr>
              <w:spacing w:before="75" w:line="247" w:lineRule="auto"/>
              <w:ind w:left="120" w:right="206" w:firstLine="70"/>
              <w:jc w:val="both"/>
              <w:rPr>
                <w:rFonts w:ascii="宋体" w:hAnsi="宋体" w:eastAsia="宋体" w:cs="宋体"/>
                <w:sz w:val="21"/>
                <w:szCs w:val="21"/>
              </w:rPr>
            </w:pPr>
            <w:r>
              <w:rPr>
                <w:rFonts w:ascii="宋体" w:hAnsi="宋体" w:eastAsia="宋体" w:cs="宋体"/>
                <w:spacing w:val="-2"/>
                <w:sz w:val="21"/>
                <w:szCs w:val="21"/>
              </w:rPr>
              <w:t>液氯储存区未设置</w:t>
            </w:r>
            <w:r>
              <w:rPr>
                <w:rFonts w:ascii="宋体" w:hAnsi="宋体" w:eastAsia="宋体" w:cs="宋体"/>
                <w:spacing w:val="7"/>
                <w:sz w:val="21"/>
                <w:szCs w:val="21"/>
              </w:rPr>
              <w:t>密闭厂房和自动吸</w:t>
            </w:r>
            <w:r>
              <w:rPr>
                <w:rFonts w:ascii="宋体" w:hAnsi="宋体" w:eastAsia="宋体" w:cs="宋体"/>
                <w:spacing w:val="22"/>
                <w:sz w:val="21"/>
                <w:szCs w:val="21"/>
              </w:rPr>
              <w:t>收系统的。</w:t>
            </w:r>
          </w:p>
        </w:tc>
        <w:tc>
          <w:tcPr>
            <w:tcW w:w="4717" w:type="dxa"/>
            <w:noWrap w:val="0"/>
            <w:vAlign w:val="top"/>
          </w:tcPr>
          <w:p w14:paraId="5BDE2A5E">
            <w:pPr>
              <w:spacing w:line="335" w:lineRule="auto"/>
              <w:rPr>
                <w:rFonts w:ascii="Arial"/>
                <w:sz w:val="21"/>
                <w:szCs w:val="21"/>
              </w:rPr>
            </w:pPr>
          </w:p>
          <w:p w14:paraId="645A87EE">
            <w:pPr>
              <w:spacing w:before="75" w:line="250" w:lineRule="auto"/>
              <w:ind w:left="132" w:right="89" w:firstLine="479"/>
              <w:jc w:val="both"/>
              <w:rPr>
                <w:rFonts w:ascii="宋体" w:hAnsi="宋体" w:eastAsia="宋体" w:cs="宋体"/>
                <w:sz w:val="21"/>
                <w:szCs w:val="21"/>
              </w:rPr>
            </w:pPr>
            <w:r>
              <w:rPr>
                <w:rFonts w:ascii="宋体" w:hAnsi="宋体" w:eastAsia="宋体" w:cs="宋体"/>
                <w:spacing w:val="-10"/>
                <w:sz w:val="21"/>
                <w:szCs w:val="21"/>
              </w:rPr>
              <w:t>1.《中华人民共和国安全生</w:t>
            </w:r>
            <w:r>
              <w:rPr>
                <w:rFonts w:ascii="宋体" w:hAnsi="宋体" w:eastAsia="宋体" w:cs="宋体"/>
                <w:spacing w:val="2"/>
                <w:sz w:val="21"/>
                <w:szCs w:val="21"/>
              </w:rPr>
              <w:t>产法》第三十八条第三款生产</w:t>
            </w:r>
            <w:r>
              <w:rPr>
                <w:rFonts w:ascii="宋体" w:hAnsi="宋体" w:eastAsia="宋体" w:cs="宋体"/>
                <w:spacing w:val="20"/>
                <w:sz w:val="21"/>
                <w:szCs w:val="21"/>
              </w:rPr>
              <w:t>经营单位不得使用应当淘汰的</w:t>
            </w:r>
            <w:r>
              <w:rPr>
                <w:rFonts w:ascii="宋体" w:hAnsi="宋体" w:eastAsia="宋体" w:cs="宋体"/>
                <w:spacing w:val="8"/>
                <w:sz w:val="21"/>
                <w:szCs w:val="21"/>
              </w:rPr>
              <w:t>危及生产安全的工艺、设备。</w:t>
            </w:r>
          </w:p>
          <w:p w14:paraId="0618DD67">
            <w:pPr>
              <w:spacing w:before="58" w:line="249" w:lineRule="auto"/>
              <w:ind w:left="132" w:right="33" w:firstLine="440"/>
              <w:jc w:val="both"/>
              <w:rPr>
                <w:rFonts w:ascii="宋体" w:hAnsi="宋体" w:eastAsia="宋体" w:cs="宋体"/>
                <w:sz w:val="21"/>
                <w:szCs w:val="21"/>
              </w:rPr>
            </w:pPr>
            <w:r>
              <w:rPr>
                <w:rFonts w:ascii="宋体" w:hAnsi="宋体" w:eastAsia="宋体" w:cs="宋体"/>
                <w:spacing w:val="-6"/>
                <w:sz w:val="21"/>
                <w:szCs w:val="21"/>
              </w:rPr>
              <w:t>2.《淘汰落后危险化学品安</w:t>
            </w:r>
            <w:r>
              <w:rPr>
                <w:rFonts w:ascii="宋体" w:hAnsi="宋体" w:eastAsia="宋体" w:cs="宋体"/>
                <w:spacing w:val="11"/>
                <w:sz w:val="21"/>
                <w:szCs w:val="21"/>
              </w:rPr>
              <w:t>全生产工艺技术设备目录(第一</w:t>
            </w:r>
            <w:r>
              <w:rPr>
                <w:rFonts w:ascii="宋体" w:hAnsi="宋体" w:eastAsia="宋体" w:cs="宋体"/>
                <w:spacing w:val="26"/>
                <w:sz w:val="21"/>
                <w:szCs w:val="21"/>
              </w:rPr>
              <w:t>批)》(应急厅〔2020〕38号)</w:t>
            </w:r>
            <w:r>
              <w:rPr>
                <w:rFonts w:ascii="宋体" w:hAnsi="宋体" w:eastAsia="宋体" w:cs="宋体"/>
                <w:sz w:val="21"/>
                <w:szCs w:val="21"/>
              </w:rPr>
              <w:t>二、淘汰落后的设备未设置密</w:t>
            </w:r>
            <w:r>
              <w:rPr>
                <w:rFonts w:ascii="宋体" w:hAnsi="宋体" w:eastAsia="宋体" w:cs="宋体"/>
                <w:spacing w:val="19"/>
                <w:sz w:val="21"/>
                <w:szCs w:val="21"/>
              </w:rPr>
              <w:t>闭及自动吸收系统的液氯储存</w:t>
            </w:r>
            <w:r>
              <w:rPr>
                <w:rFonts w:ascii="宋体" w:hAnsi="宋体" w:eastAsia="宋体" w:cs="宋体"/>
                <w:spacing w:val="-6"/>
                <w:sz w:val="21"/>
                <w:szCs w:val="21"/>
              </w:rPr>
              <w:t>仓库。</w:t>
            </w:r>
          </w:p>
        </w:tc>
        <w:tc>
          <w:tcPr>
            <w:tcW w:w="1709" w:type="dxa"/>
            <w:noWrap w:val="0"/>
            <w:vAlign w:val="top"/>
          </w:tcPr>
          <w:p w14:paraId="13B4F29E">
            <w:pPr>
              <w:rPr>
                <w:rFonts w:ascii="Arial"/>
                <w:sz w:val="21"/>
                <w:szCs w:val="21"/>
              </w:rPr>
            </w:pPr>
          </w:p>
        </w:tc>
        <w:tc>
          <w:tcPr>
            <w:tcW w:w="3595" w:type="dxa"/>
            <w:noWrap w:val="0"/>
            <w:vAlign w:val="top"/>
          </w:tcPr>
          <w:p w14:paraId="32F552E3">
            <w:pPr>
              <w:spacing w:before="100" w:line="229" w:lineRule="auto"/>
              <w:ind w:left="127" w:right="30"/>
              <w:rPr>
                <w:rFonts w:ascii="宋体" w:hAnsi="宋体" w:eastAsia="宋体" w:cs="宋体"/>
                <w:sz w:val="21"/>
                <w:szCs w:val="21"/>
              </w:rPr>
            </w:pPr>
            <w:r>
              <w:rPr>
                <w:rFonts w:ascii="宋体" w:hAnsi="宋体" w:eastAsia="宋体" w:cs="宋体"/>
                <w:spacing w:val="39"/>
                <w:sz w:val="21"/>
                <w:szCs w:val="21"/>
              </w:rPr>
              <w:t>《中华人民共和国</w:t>
            </w:r>
            <w:r>
              <w:rPr>
                <w:rFonts w:ascii="宋体" w:hAnsi="宋体" w:eastAsia="宋体" w:cs="宋体"/>
                <w:spacing w:val="7"/>
                <w:sz w:val="21"/>
                <w:szCs w:val="21"/>
              </w:rPr>
              <w:t>安全生产法》第九十九条</w:t>
            </w:r>
            <w:r>
              <w:rPr>
                <w:rFonts w:ascii="宋体" w:hAnsi="宋体" w:eastAsia="宋体" w:cs="宋体"/>
                <w:spacing w:val="12"/>
                <w:sz w:val="21"/>
                <w:szCs w:val="21"/>
              </w:rPr>
              <w:t>第七项生产经营单位</w:t>
            </w:r>
            <w:r>
              <w:rPr>
                <w:rFonts w:ascii="宋体" w:hAnsi="宋体" w:eastAsia="宋体" w:cs="宋体"/>
                <w:spacing w:val="7"/>
                <w:sz w:val="21"/>
                <w:szCs w:val="21"/>
              </w:rPr>
              <w:t>有下列行为之一的，责令限期改正，处五万元以下</w:t>
            </w:r>
            <w:r>
              <w:rPr>
                <w:rFonts w:ascii="宋体" w:hAnsi="宋体" w:eastAsia="宋体" w:cs="宋体"/>
                <w:spacing w:val="10"/>
                <w:sz w:val="21"/>
                <w:szCs w:val="21"/>
              </w:rPr>
              <w:t>的罚款；逾期未改正的，</w:t>
            </w:r>
            <w:r>
              <w:rPr>
                <w:rFonts w:ascii="宋体" w:hAnsi="宋体" w:eastAsia="宋体" w:cs="宋体"/>
                <w:spacing w:val="30"/>
                <w:sz w:val="21"/>
                <w:szCs w:val="21"/>
              </w:rPr>
              <w:t>处五万元以上二十万元</w:t>
            </w:r>
            <w:r>
              <w:rPr>
                <w:rFonts w:ascii="宋体" w:hAnsi="宋体" w:eastAsia="宋体" w:cs="宋体"/>
                <w:spacing w:val="6"/>
                <w:sz w:val="21"/>
                <w:szCs w:val="21"/>
              </w:rPr>
              <w:t>以下的罚款，对其直接负</w:t>
            </w:r>
            <w:r>
              <w:rPr>
                <w:rFonts w:ascii="宋体" w:hAnsi="宋体" w:eastAsia="宋体" w:cs="宋体"/>
                <w:spacing w:val="29"/>
                <w:sz w:val="21"/>
                <w:szCs w:val="21"/>
              </w:rPr>
              <w:t>责的主管人员和其他直</w:t>
            </w:r>
            <w:r>
              <w:rPr>
                <w:rFonts w:ascii="宋体" w:hAnsi="宋体" w:eastAsia="宋体" w:cs="宋体"/>
                <w:spacing w:val="22"/>
                <w:sz w:val="21"/>
                <w:szCs w:val="21"/>
              </w:rPr>
              <w:t>接责任人员处一万元以</w:t>
            </w:r>
            <w:r>
              <w:rPr>
                <w:rFonts w:ascii="宋体" w:hAnsi="宋体" w:eastAsia="宋体" w:cs="宋体"/>
                <w:spacing w:val="5"/>
                <w:sz w:val="21"/>
                <w:szCs w:val="21"/>
              </w:rPr>
              <w:t>上二万元以下的罚款；情节严重的，责令停产停业</w:t>
            </w:r>
            <w:r>
              <w:rPr>
                <w:rFonts w:ascii="宋体" w:hAnsi="宋体" w:eastAsia="宋体" w:cs="宋体"/>
                <w:spacing w:val="1"/>
                <w:sz w:val="21"/>
                <w:szCs w:val="21"/>
              </w:rPr>
              <w:t>整顿；构成犯罪的，依照刑法有关规定追究刑事</w:t>
            </w:r>
            <w:r>
              <w:rPr>
                <w:rFonts w:ascii="宋体" w:hAnsi="宋体" w:eastAsia="宋体" w:cs="宋体"/>
                <w:spacing w:val="-9"/>
                <w:sz w:val="21"/>
                <w:szCs w:val="21"/>
              </w:rPr>
              <w:t>责任：</w:t>
            </w:r>
            <w:r>
              <w:rPr>
                <w:rFonts w:ascii="宋体" w:hAnsi="宋体" w:eastAsia="宋体" w:cs="宋体"/>
                <w:spacing w:val="4"/>
                <w:sz w:val="21"/>
                <w:szCs w:val="21"/>
              </w:rPr>
              <w:t>(七)使用应当淘汰</w:t>
            </w:r>
            <w:r>
              <w:rPr>
                <w:rFonts w:ascii="宋体" w:hAnsi="宋体" w:eastAsia="宋体" w:cs="宋体"/>
                <w:spacing w:val="14"/>
                <w:sz w:val="21"/>
                <w:szCs w:val="21"/>
              </w:rPr>
              <w:t>的危及生产安全的工艺、</w:t>
            </w:r>
            <w:r>
              <w:rPr>
                <w:rFonts w:ascii="宋体" w:hAnsi="宋体" w:eastAsia="宋体" w:cs="宋体"/>
                <w:spacing w:val="27"/>
                <w:sz w:val="21"/>
                <w:szCs w:val="21"/>
              </w:rPr>
              <w:t>设备的。</w:t>
            </w:r>
          </w:p>
          <w:p w14:paraId="011450D5">
            <w:pPr>
              <w:spacing w:before="92" w:line="252" w:lineRule="auto"/>
              <w:ind w:left="147" w:right="44" w:firstLine="464"/>
              <w:jc w:val="both"/>
              <w:rPr>
                <w:rFonts w:ascii="宋体" w:hAnsi="宋体" w:eastAsia="宋体" w:cs="宋体"/>
                <w:sz w:val="21"/>
                <w:szCs w:val="21"/>
              </w:rPr>
            </w:pPr>
          </w:p>
        </w:tc>
        <w:tc>
          <w:tcPr>
            <w:tcW w:w="747" w:type="dxa"/>
            <w:noWrap w:val="0"/>
            <w:vAlign w:val="top"/>
          </w:tcPr>
          <w:p w14:paraId="2F312156">
            <w:pPr>
              <w:spacing w:line="248" w:lineRule="auto"/>
              <w:rPr>
                <w:rFonts w:ascii="Arial"/>
                <w:sz w:val="21"/>
                <w:szCs w:val="21"/>
              </w:rPr>
            </w:pPr>
          </w:p>
          <w:p w14:paraId="4521AAB1">
            <w:pPr>
              <w:spacing w:line="248" w:lineRule="auto"/>
              <w:rPr>
                <w:rFonts w:ascii="Arial"/>
                <w:sz w:val="21"/>
                <w:szCs w:val="21"/>
              </w:rPr>
            </w:pPr>
          </w:p>
          <w:p w14:paraId="1186E8DD">
            <w:pPr>
              <w:spacing w:line="248" w:lineRule="auto"/>
              <w:rPr>
                <w:rFonts w:ascii="Arial"/>
                <w:sz w:val="21"/>
                <w:szCs w:val="21"/>
              </w:rPr>
            </w:pPr>
          </w:p>
          <w:p w14:paraId="4D0B43C4">
            <w:pPr>
              <w:spacing w:line="249" w:lineRule="auto"/>
              <w:rPr>
                <w:rFonts w:ascii="Arial"/>
                <w:sz w:val="21"/>
                <w:szCs w:val="21"/>
              </w:rPr>
            </w:pPr>
          </w:p>
          <w:p w14:paraId="0834EE28">
            <w:pPr>
              <w:spacing w:line="249" w:lineRule="auto"/>
              <w:rPr>
                <w:rFonts w:ascii="Arial"/>
                <w:sz w:val="21"/>
                <w:szCs w:val="21"/>
              </w:rPr>
            </w:pPr>
          </w:p>
          <w:p w14:paraId="0A0AB9AD">
            <w:pPr>
              <w:spacing w:line="249" w:lineRule="auto"/>
              <w:rPr>
                <w:rFonts w:ascii="Arial"/>
                <w:sz w:val="21"/>
                <w:szCs w:val="21"/>
              </w:rPr>
            </w:pPr>
          </w:p>
          <w:p w14:paraId="5871BD01">
            <w:pPr>
              <w:spacing w:line="249" w:lineRule="auto"/>
              <w:rPr>
                <w:rFonts w:ascii="Arial"/>
                <w:sz w:val="21"/>
                <w:szCs w:val="21"/>
              </w:rPr>
            </w:pPr>
          </w:p>
          <w:p w14:paraId="144212D1">
            <w:pPr>
              <w:spacing w:before="74" w:line="219" w:lineRule="auto"/>
              <w:ind w:left="159"/>
              <w:rPr>
                <w:rFonts w:ascii="宋体" w:hAnsi="宋体" w:eastAsia="宋体" w:cs="宋体"/>
                <w:sz w:val="21"/>
                <w:szCs w:val="21"/>
              </w:rPr>
            </w:pPr>
            <w:r>
              <w:rPr>
                <w:rFonts w:ascii="宋体" w:hAnsi="宋体" w:eastAsia="宋体" w:cs="宋体"/>
                <w:spacing w:val="-3"/>
                <w:sz w:val="21"/>
                <w:szCs w:val="21"/>
              </w:rPr>
              <w:t>液氯管理</w:t>
            </w:r>
          </w:p>
        </w:tc>
      </w:tr>
    </w:tbl>
    <w:p w14:paraId="764E03BA"/>
    <w:p w14:paraId="1B003AE0"/>
    <w:p w14:paraId="4683D669">
      <w:pPr>
        <w:tabs>
          <w:tab w:val="left" w:pos="2757"/>
        </w:tabs>
        <w:spacing w:line="600" w:lineRule="exact"/>
        <w:jc w:val="left"/>
        <w:outlineLvl w:val="0"/>
        <w:rPr>
          <w:rFonts w:hint="eastAsia" w:ascii="黑体" w:hAnsi="黑体" w:eastAsia="黑体"/>
          <w:sz w:val="32"/>
          <w:szCs w:val="32"/>
        </w:rPr>
      </w:pPr>
      <w:r>
        <w:rPr>
          <w:rFonts w:hint="eastAsia" w:ascii="黑体" w:hAnsi="黑体" w:eastAsia="黑体"/>
          <w:sz w:val="32"/>
          <w:szCs w:val="32"/>
          <w:lang w:val="en-US" w:eastAsia="zh-CN"/>
        </w:rPr>
        <w:tab/>
      </w:r>
    </w:p>
    <w:p w14:paraId="00BF1761">
      <w:pPr>
        <w:spacing w:line="600" w:lineRule="exact"/>
        <w:jc w:val="center"/>
        <w:outlineLvl w:val="0"/>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自治区安全生产执法检查重点事项指导目录（煤矿</w:t>
      </w:r>
      <w:r>
        <w:rPr>
          <w:rFonts w:hint="eastAsia" w:ascii="方正小标宋简体" w:hAnsi="方正小标宋简体" w:eastAsia="方正小标宋简体" w:cs="方正小标宋简体"/>
          <w:b w:val="0"/>
          <w:bCs/>
          <w:sz w:val="44"/>
          <w:szCs w:val="44"/>
          <w:lang w:eastAsia="zh-CN"/>
        </w:rPr>
        <w:t>领域</w:t>
      </w:r>
      <w:r>
        <w:rPr>
          <w:rFonts w:hint="eastAsia" w:ascii="方正小标宋简体" w:hAnsi="方正小标宋简体" w:eastAsia="方正小标宋简体" w:cs="方正小标宋简体"/>
          <w:b w:val="0"/>
          <w:bCs/>
          <w:sz w:val="44"/>
          <w:szCs w:val="44"/>
        </w:rPr>
        <w:t>）</w:t>
      </w:r>
    </w:p>
    <w:p w14:paraId="537F47FE">
      <w:pPr>
        <w:pStyle w:val="7"/>
        <w:rPr>
          <w:rFonts w:hint="eastAsia"/>
          <w:lang w:eastAsia="zh-CN"/>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4670"/>
        <w:gridCol w:w="3448"/>
        <w:gridCol w:w="2497"/>
        <w:gridCol w:w="1926"/>
        <w:gridCol w:w="1224"/>
      </w:tblGrid>
      <w:tr w14:paraId="0C8FE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blHeader/>
          <w:jc w:val="center"/>
        </w:trPr>
        <w:tc>
          <w:tcPr>
            <w:tcW w:w="723" w:type="dxa"/>
            <w:noWrap w:val="0"/>
            <w:vAlign w:val="center"/>
          </w:tcPr>
          <w:p w14:paraId="435F5ACD">
            <w:pPr>
              <w:spacing w:line="300" w:lineRule="exact"/>
              <w:jc w:val="center"/>
              <w:rPr>
                <w:rFonts w:hint="eastAsia" w:ascii="黑体" w:hAnsi="黑体" w:eastAsia="黑体"/>
                <w:sz w:val="24"/>
                <w:szCs w:val="24"/>
              </w:rPr>
            </w:pPr>
            <w:r>
              <w:rPr>
                <w:rFonts w:hint="eastAsia" w:ascii="黑体" w:hAnsi="黑体" w:eastAsia="黑体"/>
                <w:sz w:val="24"/>
                <w:szCs w:val="24"/>
              </w:rPr>
              <w:t>序号</w:t>
            </w:r>
          </w:p>
        </w:tc>
        <w:tc>
          <w:tcPr>
            <w:tcW w:w="4670" w:type="dxa"/>
            <w:noWrap w:val="0"/>
            <w:vAlign w:val="center"/>
          </w:tcPr>
          <w:p w14:paraId="25588DE2">
            <w:pPr>
              <w:spacing w:line="300" w:lineRule="exact"/>
              <w:jc w:val="center"/>
              <w:rPr>
                <w:rFonts w:hint="eastAsia" w:ascii="黑体" w:hAnsi="黑体" w:eastAsia="黑体"/>
                <w:sz w:val="24"/>
                <w:szCs w:val="24"/>
              </w:rPr>
            </w:pPr>
            <w:r>
              <w:rPr>
                <w:rFonts w:hint="eastAsia" w:ascii="黑体" w:hAnsi="黑体" w:eastAsia="黑体"/>
                <w:sz w:val="24"/>
                <w:szCs w:val="24"/>
              </w:rPr>
              <w:t>执法检查重点事项内容</w:t>
            </w:r>
          </w:p>
        </w:tc>
        <w:tc>
          <w:tcPr>
            <w:tcW w:w="3448" w:type="dxa"/>
            <w:noWrap w:val="0"/>
            <w:vAlign w:val="center"/>
          </w:tcPr>
          <w:p w14:paraId="00685B3E">
            <w:pPr>
              <w:spacing w:line="300" w:lineRule="exact"/>
              <w:jc w:val="center"/>
              <w:rPr>
                <w:rFonts w:hint="eastAsia" w:ascii="黑体" w:hAnsi="黑体" w:eastAsia="黑体"/>
                <w:sz w:val="24"/>
                <w:szCs w:val="24"/>
              </w:rPr>
            </w:pPr>
            <w:r>
              <w:rPr>
                <w:rFonts w:hint="eastAsia" w:ascii="黑体" w:hAnsi="黑体" w:eastAsia="黑体"/>
                <w:sz w:val="24"/>
                <w:szCs w:val="24"/>
              </w:rPr>
              <w:t>执法检查依据</w:t>
            </w:r>
          </w:p>
        </w:tc>
        <w:tc>
          <w:tcPr>
            <w:tcW w:w="2497" w:type="dxa"/>
            <w:noWrap w:val="0"/>
            <w:vAlign w:val="center"/>
          </w:tcPr>
          <w:p w14:paraId="7F4486E0">
            <w:pPr>
              <w:spacing w:line="300" w:lineRule="exact"/>
              <w:jc w:val="center"/>
              <w:rPr>
                <w:rFonts w:ascii="黑体" w:hAnsi="黑体" w:eastAsia="黑体"/>
                <w:sz w:val="24"/>
                <w:szCs w:val="24"/>
              </w:rPr>
            </w:pPr>
            <w:r>
              <w:rPr>
                <w:rFonts w:hint="eastAsia" w:ascii="黑体" w:hAnsi="黑体" w:eastAsia="黑体"/>
                <w:sz w:val="24"/>
                <w:szCs w:val="24"/>
              </w:rPr>
              <w:t>有关规范性文件及标准要求</w:t>
            </w:r>
          </w:p>
        </w:tc>
        <w:tc>
          <w:tcPr>
            <w:tcW w:w="1926" w:type="dxa"/>
            <w:noWrap w:val="0"/>
            <w:vAlign w:val="center"/>
          </w:tcPr>
          <w:p w14:paraId="4FA8FE8F">
            <w:pPr>
              <w:spacing w:line="300" w:lineRule="exact"/>
              <w:jc w:val="center"/>
              <w:rPr>
                <w:rFonts w:ascii="黑体" w:hAnsi="黑体" w:eastAsia="黑体"/>
                <w:sz w:val="24"/>
                <w:szCs w:val="24"/>
              </w:rPr>
            </w:pPr>
            <w:r>
              <w:rPr>
                <w:rFonts w:hint="eastAsia" w:ascii="黑体" w:hAnsi="黑体" w:eastAsia="黑体"/>
                <w:sz w:val="24"/>
                <w:szCs w:val="24"/>
              </w:rPr>
              <w:t>处罚依据</w:t>
            </w:r>
          </w:p>
        </w:tc>
        <w:tc>
          <w:tcPr>
            <w:tcW w:w="1224" w:type="dxa"/>
            <w:noWrap w:val="0"/>
            <w:vAlign w:val="center"/>
          </w:tcPr>
          <w:p w14:paraId="41483FF0">
            <w:pPr>
              <w:spacing w:line="300" w:lineRule="exact"/>
              <w:jc w:val="center"/>
              <w:rPr>
                <w:rFonts w:hint="eastAsia" w:ascii="黑体" w:hAnsi="黑体" w:eastAsia="黑体"/>
                <w:sz w:val="24"/>
                <w:szCs w:val="24"/>
              </w:rPr>
            </w:pPr>
            <w:r>
              <w:rPr>
                <w:rFonts w:hint="eastAsia" w:ascii="黑体" w:hAnsi="黑体" w:eastAsia="黑体"/>
                <w:sz w:val="24"/>
                <w:szCs w:val="24"/>
              </w:rPr>
              <w:t>备 注</w:t>
            </w:r>
          </w:p>
        </w:tc>
      </w:tr>
      <w:tr w14:paraId="47037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723" w:type="dxa"/>
            <w:noWrap w:val="0"/>
            <w:vAlign w:val="center"/>
          </w:tcPr>
          <w:p w14:paraId="09135289">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1</w:t>
            </w:r>
          </w:p>
        </w:tc>
        <w:tc>
          <w:tcPr>
            <w:tcW w:w="4670" w:type="dxa"/>
            <w:noWrap w:val="0"/>
            <w:vAlign w:val="center"/>
          </w:tcPr>
          <w:p w14:paraId="0B787588">
            <w:pPr>
              <w:spacing w:line="280" w:lineRule="exact"/>
              <w:ind w:firstLine="210" w:firstLineChars="100"/>
              <w:jc w:val="both"/>
              <w:rPr>
                <w:rFonts w:hint="eastAsia" w:ascii="宋体" w:hAnsi="宋体" w:eastAsia="宋体" w:cs="宋体"/>
                <w:sz w:val="21"/>
                <w:szCs w:val="21"/>
              </w:rPr>
            </w:pPr>
            <w:r>
              <w:rPr>
                <w:rFonts w:hint="eastAsia" w:ascii="宋体" w:hAnsi="宋体" w:eastAsia="宋体" w:cs="宋体"/>
                <w:sz w:val="21"/>
                <w:szCs w:val="21"/>
              </w:rPr>
              <w:t>设置安全生产管理机构，配备齐全专职安全生产管理人员。</w:t>
            </w:r>
          </w:p>
          <w:p w14:paraId="481EC8D8">
            <w:pPr>
              <w:spacing w:line="280" w:lineRule="exact"/>
              <w:ind w:firstLine="210" w:firstLineChars="100"/>
              <w:jc w:val="both"/>
              <w:rPr>
                <w:rFonts w:hint="eastAsia" w:ascii="宋体" w:hAnsi="宋体" w:eastAsia="宋体" w:cs="宋体"/>
                <w:sz w:val="21"/>
                <w:szCs w:val="21"/>
              </w:rPr>
            </w:pPr>
            <w:r>
              <w:rPr>
                <w:rFonts w:hint="eastAsia" w:ascii="宋体" w:hAnsi="宋体" w:eastAsia="宋体" w:cs="宋体"/>
                <w:sz w:val="21"/>
                <w:szCs w:val="21"/>
              </w:rPr>
              <w:t>建立总工程师为首的技术管理体系，落实技术管理职责。设置采掘技术管理、“一通三防”、地质防治水等安全技术管理机构，配齐专业技术管理人员。煤与瓦斯突出、水文地质类型复杂、有冲击地压的矿井设置专门防治管理机构。</w:t>
            </w:r>
          </w:p>
        </w:tc>
        <w:tc>
          <w:tcPr>
            <w:tcW w:w="3448" w:type="dxa"/>
            <w:noWrap w:val="0"/>
            <w:vAlign w:val="center"/>
          </w:tcPr>
          <w:p w14:paraId="70C0AD52">
            <w:pPr>
              <w:spacing w:line="280" w:lineRule="exact"/>
              <w:jc w:val="both"/>
              <w:rPr>
                <w:rFonts w:hint="eastAsia" w:ascii="宋体" w:hAnsi="宋体" w:eastAsia="宋体" w:cs="宋体"/>
                <w:sz w:val="21"/>
                <w:szCs w:val="21"/>
              </w:rPr>
            </w:pPr>
            <w:r>
              <w:rPr>
                <w:rFonts w:hint="eastAsia" w:ascii="宋体" w:hAnsi="宋体" w:eastAsia="宋体" w:cs="宋体"/>
                <w:sz w:val="21"/>
                <w:szCs w:val="21"/>
              </w:rPr>
              <w:t>《中华人民共和国安全生产法》第二十一条</w:t>
            </w:r>
            <w:r>
              <w:rPr>
                <w:rFonts w:hint="eastAsia" w:ascii="宋体" w:hAnsi="宋体" w:eastAsia="宋体" w:cs="宋体"/>
                <w:sz w:val="21"/>
                <w:szCs w:val="21"/>
                <w:lang w:eastAsia="zh-CN"/>
              </w:rPr>
              <w:t>。</w:t>
            </w:r>
          </w:p>
        </w:tc>
        <w:tc>
          <w:tcPr>
            <w:tcW w:w="2497" w:type="dxa"/>
            <w:noWrap w:val="0"/>
            <w:vAlign w:val="center"/>
          </w:tcPr>
          <w:p w14:paraId="70EF5F54">
            <w:pPr>
              <w:spacing w:line="300" w:lineRule="exact"/>
              <w:jc w:val="both"/>
              <w:rPr>
                <w:rFonts w:hint="eastAsia" w:ascii="宋体" w:hAnsi="宋体" w:eastAsia="宋体" w:cs="宋体"/>
                <w:sz w:val="21"/>
                <w:szCs w:val="21"/>
              </w:rPr>
            </w:pPr>
            <w:r>
              <w:rPr>
                <w:rFonts w:hint="eastAsia" w:ascii="宋体" w:hAnsi="宋体" w:eastAsia="宋体" w:cs="宋体"/>
                <w:sz w:val="21"/>
                <w:szCs w:val="21"/>
              </w:rPr>
              <w:t>《煤矿安全规程》第</w:t>
            </w:r>
            <w:r>
              <w:rPr>
                <w:rFonts w:hint="eastAsia" w:ascii="宋体" w:hAnsi="宋体" w:eastAsia="宋体" w:cs="宋体"/>
                <w:sz w:val="21"/>
                <w:szCs w:val="21"/>
                <w:lang w:eastAsia="zh-CN"/>
              </w:rPr>
              <w:t>二百八十三</w:t>
            </w:r>
            <w:r>
              <w:rPr>
                <w:rFonts w:hint="eastAsia" w:ascii="宋体" w:hAnsi="宋体" w:eastAsia="宋体" w:cs="宋体"/>
                <w:sz w:val="21"/>
                <w:szCs w:val="21"/>
              </w:rPr>
              <w:t>条、</w:t>
            </w:r>
            <w:r>
              <w:rPr>
                <w:rFonts w:hint="eastAsia" w:ascii="宋体" w:hAnsi="宋体" w:eastAsia="宋体" w:cs="宋体"/>
                <w:sz w:val="21"/>
                <w:szCs w:val="21"/>
                <w:lang w:eastAsia="zh-CN"/>
              </w:rPr>
              <w:t>二百二十八</w:t>
            </w:r>
            <w:r>
              <w:rPr>
                <w:rFonts w:hint="eastAsia" w:ascii="宋体" w:hAnsi="宋体" w:eastAsia="宋体" w:cs="宋体"/>
                <w:sz w:val="21"/>
                <w:szCs w:val="21"/>
              </w:rPr>
              <w:t>条,《防治煤与瓦斯突出规定》第</w:t>
            </w:r>
            <w:r>
              <w:rPr>
                <w:rFonts w:hint="eastAsia" w:ascii="宋体" w:hAnsi="宋体" w:eastAsia="宋体" w:cs="宋体"/>
                <w:sz w:val="21"/>
                <w:szCs w:val="21"/>
                <w:lang w:eastAsia="zh-CN"/>
              </w:rPr>
              <w:t>四</w:t>
            </w:r>
            <w:r>
              <w:rPr>
                <w:rFonts w:hint="eastAsia" w:ascii="宋体" w:hAnsi="宋体" w:eastAsia="宋体" w:cs="宋体"/>
                <w:sz w:val="21"/>
                <w:szCs w:val="21"/>
              </w:rPr>
              <w:t>条,《煤矿重大生产安全事故隐患判定标准》第</w:t>
            </w:r>
            <w:r>
              <w:rPr>
                <w:rFonts w:hint="eastAsia" w:ascii="宋体" w:hAnsi="宋体" w:eastAsia="宋体" w:cs="宋体"/>
                <w:sz w:val="21"/>
                <w:szCs w:val="21"/>
                <w:lang w:eastAsia="zh-CN"/>
              </w:rPr>
              <w:t>十八</w:t>
            </w:r>
            <w:r>
              <w:rPr>
                <w:rFonts w:hint="eastAsia" w:ascii="宋体" w:hAnsi="宋体" w:eastAsia="宋体" w:cs="宋体"/>
                <w:sz w:val="21"/>
                <w:szCs w:val="21"/>
              </w:rPr>
              <w:t>条</w:t>
            </w:r>
          </w:p>
        </w:tc>
        <w:tc>
          <w:tcPr>
            <w:tcW w:w="1926" w:type="dxa"/>
            <w:noWrap w:val="0"/>
            <w:vAlign w:val="center"/>
          </w:tcPr>
          <w:p w14:paraId="602CABEA">
            <w:pPr>
              <w:spacing w:line="300" w:lineRule="exact"/>
              <w:jc w:val="both"/>
              <w:rPr>
                <w:rFonts w:hint="eastAsia" w:ascii="宋体" w:hAnsi="宋体" w:eastAsia="宋体" w:cs="宋体"/>
                <w:sz w:val="21"/>
                <w:szCs w:val="21"/>
              </w:rPr>
            </w:pPr>
            <w:r>
              <w:rPr>
                <w:rFonts w:hint="eastAsia" w:ascii="宋体" w:hAnsi="宋体" w:eastAsia="宋体" w:cs="宋体"/>
                <w:sz w:val="21"/>
                <w:szCs w:val="21"/>
              </w:rPr>
              <w:t>《中华人民共和国安全生产法》第九十七条第一项；《煤矿企业安全生产许可证实施办法》第三十八条</w:t>
            </w:r>
            <w:r>
              <w:rPr>
                <w:rFonts w:hint="eastAsia" w:ascii="宋体" w:hAnsi="宋体" w:eastAsia="宋体" w:cs="宋体"/>
                <w:sz w:val="21"/>
                <w:szCs w:val="21"/>
                <w:lang w:eastAsia="zh-CN"/>
              </w:rPr>
              <w:t>。</w:t>
            </w:r>
          </w:p>
        </w:tc>
        <w:tc>
          <w:tcPr>
            <w:tcW w:w="1224" w:type="dxa"/>
            <w:noWrap w:val="0"/>
            <w:vAlign w:val="center"/>
          </w:tcPr>
          <w:p w14:paraId="28CB6807">
            <w:pPr>
              <w:spacing w:line="300" w:lineRule="exact"/>
              <w:jc w:val="both"/>
              <w:rPr>
                <w:rFonts w:hint="eastAsia" w:ascii="宋体" w:hAnsi="宋体" w:eastAsia="宋体" w:cs="宋体"/>
                <w:sz w:val="21"/>
                <w:szCs w:val="21"/>
              </w:rPr>
            </w:pPr>
          </w:p>
        </w:tc>
      </w:tr>
      <w:tr w14:paraId="2812A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4" w:hRule="atLeast"/>
          <w:jc w:val="center"/>
        </w:trPr>
        <w:tc>
          <w:tcPr>
            <w:tcW w:w="723" w:type="dxa"/>
            <w:noWrap w:val="0"/>
            <w:vAlign w:val="center"/>
          </w:tcPr>
          <w:p w14:paraId="45FA8300">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2</w:t>
            </w:r>
          </w:p>
        </w:tc>
        <w:tc>
          <w:tcPr>
            <w:tcW w:w="4670" w:type="dxa"/>
            <w:noWrap w:val="0"/>
            <w:vAlign w:val="center"/>
          </w:tcPr>
          <w:p w14:paraId="08A0D1BF">
            <w:pPr>
              <w:spacing w:line="280" w:lineRule="exact"/>
              <w:ind w:firstLine="210" w:firstLineChars="100"/>
              <w:jc w:val="both"/>
              <w:rPr>
                <w:rFonts w:hint="eastAsia" w:ascii="宋体" w:hAnsi="宋体" w:eastAsia="宋体" w:cs="宋体"/>
                <w:sz w:val="21"/>
                <w:szCs w:val="21"/>
              </w:rPr>
            </w:pPr>
            <w:r>
              <w:rPr>
                <w:rFonts w:hint="eastAsia" w:ascii="宋体" w:hAnsi="宋体" w:eastAsia="宋体" w:cs="宋体"/>
                <w:sz w:val="21"/>
                <w:szCs w:val="21"/>
              </w:rPr>
              <w:t>煤矿建立健全主要负责人、安全生产管理人员、职能部门、各岗位安全生产责任制，各类安全生产责任要符合本单位和本岗位工作实际。</w:t>
            </w:r>
          </w:p>
        </w:tc>
        <w:tc>
          <w:tcPr>
            <w:tcW w:w="3448" w:type="dxa"/>
            <w:noWrap w:val="0"/>
            <w:vAlign w:val="center"/>
          </w:tcPr>
          <w:p w14:paraId="41206CA2">
            <w:pPr>
              <w:spacing w:line="280" w:lineRule="exact"/>
              <w:jc w:val="both"/>
              <w:rPr>
                <w:rFonts w:hint="eastAsia" w:ascii="宋体" w:hAnsi="宋体" w:eastAsia="宋体" w:cs="宋体"/>
                <w:sz w:val="21"/>
                <w:szCs w:val="21"/>
              </w:rPr>
            </w:pPr>
            <w:r>
              <w:rPr>
                <w:rFonts w:hint="eastAsia" w:ascii="宋体" w:hAnsi="宋体" w:eastAsia="宋体" w:cs="宋体"/>
                <w:sz w:val="21"/>
                <w:szCs w:val="21"/>
              </w:rPr>
              <w:t>《中华人民共和国安全生产法》第四条、第五条、第十八条，《煤矿安全规程》第</w:t>
            </w:r>
            <w:r>
              <w:rPr>
                <w:rFonts w:hint="eastAsia" w:ascii="宋体" w:hAnsi="宋体" w:eastAsia="宋体" w:cs="宋体"/>
                <w:sz w:val="21"/>
                <w:szCs w:val="21"/>
                <w:lang w:eastAsia="zh-CN"/>
              </w:rPr>
              <w:t>四</w:t>
            </w:r>
            <w:r>
              <w:rPr>
                <w:rFonts w:hint="eastAsia" w:ascii="宋体" w:hAnsi="宋体" w:eastAsia="宋体" w:cs="宋体"/>
                <w:sz w:val="21"/>
                <w:szCs w:val="21"/>
              </w:rPr>
              <w:t>条，《煤矿企业安全生产许可证实施办法》（国家安全监管总局令第86号）第六条。</w:t>
            </w:r>
          </w:p>
        </w:tc>
        <w:tc>
          <w:tcPr>
            <w:tcW w:w="2497" w:type="dxa"/>
            <w:noWrap w:val="0"/>
            <w:vAlign w:val="center"/>
          </w:tcPr>
          <w:p w14:paraId="00DE6A28">
            <w:pPr>
              <w:spacing w:line="280" w:lineRule="exact"/>
              <w:jc w:val="both"/>
              <w:rPr>
                <w:rFonts w:hint="eastAsia" w:ascii="宋体" w:hAnsi="宋体" w:eastAsia="宋体" w:cs="宋体"/>
                <w:sz w:val="21"/>
                <w:szCs w:val="21"/>
              </w:rPr>
            </w:pPr>
          </w:p>
        </w:tc>
        <w:tc>
          <w:tcPr>
            <w:tcW w:w="1926" w:type="dxa"/>
            <w:noWrap w:val="0"/>
            <w:vAlign w:val="center"/>
          </w:tcPr>
          <w:p w14:paraId="1F642904">
            <w:pPr>
              <w:spacing w:line="300" w:lineRule="exact"/>
              <w:jc w:val="both"/>
              <w:rPr>
                <w:rFonts w:hint="eastAsia" w:ascii="宋体" w:hAnsi="宋体" w:eastAsia="宋体" w:cs="宋体"/>
                <w:sz w:val="21"/>
                <w:szCs w:val="21"/>
              </w:rPr>
            </w:pPr>
            <w:r>
              <w:rPr>
                <w:rFonts w:hint="eastAsia" w:ascii="宋体" w:hAnsi="宋体" w:eastAsia="宋体" w:cs="宋体"/>
                <w:sz w:val="21"/>
                <w:szCs w:val="21"/>
              </w:rPr>
              <w:t>《中华人民共和国安全生产法》第九十四条第一款；《煤矿企业安全生产许可证实施办法》第三十八条。</w:t>
            </w:r>
          </w:p>
        </w:tc>
        <w:tc>
          <w:tcPr>
            <w:tcW w:w="1224" w:type="dxa"/>
            <w:noWrap w:val="0"/>
            <w:vAlign w:val="center"/>
          </w:tcPr>
          <w:p w14:paraId="53AE0029">
            <w:pPr>
              <w:spacing w:line="300" w:lineRule="exact"/>
              <w:jc w:val="both"/>
              <w:rPr>
                <w:rFonts w:hint="eastAsia" w:ascii="宋体" w:hAnsi="宋体" w:eastAsia="宋体" w:cs="宋体"/>
                <w:sz w:val="21"/>
                <w:szCs w:val="21"/>
              </w:rPr>
            </w:pPr>
          </w:p>
        </w:tc>
      </w:tr>
      <w:tr w14:paraId="64C9F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723" w:type="dxa"/>
            <w:noWrap w:val="0"/>
            <w:vAlign w:val="center"/>
          </w:tcPr>
          <w:p w14:paraId="01DFAE3F">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w:t>
            </w:r>
          </w:p>
        </w:tc>
        <w:tc>
          <w:tcPr>
            <w:tcW w:w="4670" w:type="dxa"/>
            <w:noWrap w:val="0"/>
            <w:vAlign w:val="center"/>
          </w:tcPr>
          <w:p w14:paraId="600233BF">
            <w:pPr>
              <w:spacing w:line="280" w:lineRule="exact"/>
              <w:ind w:firstLine="210" w:firstLineChars="100"/>
              <w:jc w:val="both"/>
              <w:rPr>
                <w:rFonts w:hint="eastAsia" w:ascii="宋体" w:hAnsi="宋体" w:eastAsia="宋体" w:cs="宋体"/>
                <w:sz w:val="21"/>
                <w:szCs w:val="21"/>
              </w:rPr>
            </w:pPr>
            <w:r>
              <w:rPr>
                <w:rFonts w:hint="eastAsia" w:ascii="宋体" w:hAnsi="宋体" w:eastAsia="宋体" w:cs="宋体"/>
                <w:sz w:val="21"/>
                <w:szCs w:val="21"/>
              </w:rPr>
              <w:t>煤矿企业应当设立地质测量（简称地测）部门，配备所需的相关专业技术人员和仪器设备，及时编绘反映煤矿实际的地质资料和图件，建立健全煤矿地测工作规章制度。</w:t>
            </w:r>
          </w:p>
        </w:tc>
        <w:tc>
          <w:tcPr>
            <w:tcW w:w="3448" w:type="dxa"/>
            <w:noWrap w:val="0"/>
            <w:vAlign w:val="center"/>
          </w:tcPr>
          <w:p w14:paraId="4FE17984">
            <w:pPr>
              <w:spacing w:line="280" w:lineRule="exact"/>
              <w:jc w:val="both"/>
              <w:rPr>
                <w:rFonts w:hint="eastAsia" w:ascii="宋体" w:hAnsi="宋体" w:eastAsia="宋体" w:cs="宋体"/>
                <w:sz w:val="21"/>
                <w:szCs w:val="21"/>
              </w:rPr>
            </w:pPr>
            <w:r>
              <w:rPr>
                <w:rFonts w:hint="eastAsia" w:ascii="宋体" w:hAnsi="宋体" w:eastAsia="宋体" w:cs="宋体"/>
                <w:sz w:val="21"/>
                <w:szCs w:val="21"/>
              </w:rPr>
              <w:t>《煤矿安全规程》第</w:t>
            </w:r>
            <w:r>
              <w:rPr>
                <w:rFonts w:hint="eastAsia" w:ascii="宋体" w:hAnsi="宋体" w:eastAsia="宋体" w:cs="宋体"/>
                <w:sz w:val="21"/>
                <w:szCs w:val="21"/>
                <w:lang w:eastAsia="zh-CN"/>
              </w:rPr>
              <w:t>二十二</w:t>
            </w:r>
            <w:r>
              <w:rPr>
                <w:rFonts w:hint="eastAsia" w:ascii="宋体" w:hAnsi="宋体" w:eastAsia="宋体" w:cs="宋体"/>
                <w:sz w:val="21"/>
                <w:szCs w:val="21"/>
              </w:rPr>
              <w:t>条</w:t>
            </w:r>
            <w:r>
              <w:rPr>
                <w:rFonts w:hint="eastAsia" w:ascii="宋体" w:hAnsi="宋体" w:eastAsia="宋体" w:cs="宋体"/>
                <w:sz w:val="21"/>
                <w:szCs w:val="21"/>
                <w:lang w:eastAsia="zh-CN"/>
              </w:rPr>
              <w:t>。</w:t>
            </w:r>
          </w:p>
        </w:tc>
        <w:tc>
          <w:tcPr>
            <w:tcW w:w="2497" w:type="dxa"/>
            <w:noWrap w:val="0"/>
            <w:vAlign w:val="center"/>
          </w:tcPr>
          <w:p w14:paraId="4F6E7850">
            <w:pPr>
              <w:spacing w:line="300" w:lineRule="exact"/>
              <w:jc w:val="both"/>
              <w:rPr>
                <w:rFonts w:hint="eastAsia" w:ascii="宋体" w:hAnsi="宋体" w:eastAsia="宋体" w:cs="宋体"/>
                <w:sz w:val="21"/>
                <w:szCs w:val="21"/>
              </w:rPr>
            </w:pPr>
          </w:p>
        </w:tc>
        <w:tc>
          <w:tcPr>
            <w:tcW w:w="1926" w:type="dxa"/>
            <w:noWrap w:val="0"/>
            <w:vAlign w:val="center"/>
          </w:tcPr>
          <w:p w14:paraId="2DA45EEB">
            <w:pPr>
              <w:spacing w:line="300" w:lineRule="exact"/>
              <w:jc w:val="both"/>
              <w:rPr>
                <w:rFonts w:hint="eastAsia" w:ascii="宋体" w:hAnsi="宋体" w:eastAsia="宋体" w:cs="宋体"/>
                <w:sz w:val="21"/>
                <w:szCs w:val="21"/>
              </w:rPr>
            </w:pPr>
            <w:r>
              <w:rPr>
                <w:rFonts w:hint="eastAsia" w:ascii="宋体" w:hAnsi="宋体" w:eastAsia="宋体" w:cs="宋体"/>
                <w:sz w:val="21"/>
                <w:szCs w:val="21"/>
              </w:rPr>
              <w:t>《中华人民共和国安全生产法》第九十七条第一项；第六十五条第一款第二项、第三项；《国务院关于预防煤矿生产安全事故的特别规定》第八条第二款</w:t>
            </w:r>
            <w:r>
              <w:rPr>
                <w:rFonts w:hint="eastAsia" w:ascii="宋体" w:hAnsi="宋体" w:eastAsia="宋体" w:cs="宋体"/>
                <w:sz w:val="21"/>
                <w:szCs w:val="21"/>
                <w:lang w:eastAsia="zh-CN"/>
              </w:rPr>
              <w:t>。</w:t>
            </w:r>
          </w:p>
        </w:tc>
        <w:tc>
          <w:tcPr>
            <w:tcW w:w="1224" w:type="dxa"/>
            <w:noWrap w:val="0"/>
            <w:vAlign w:val="center"/>
          </w:tcPr>
          <w:p w14:paraId="3115F747">
            <w:pPr>
              <w:spacing w:line="300" w:lineRule="exact"/>
              <w:jc w:val="both"/>
              <w:rPr>
                <w:rFonts w:hint="eastAsia" w:ascii="宋体" w:hAnsi="宋体" w:eastAsia="宋体" w:cs="宋体"/>
                <w:sz w:val="21"/>
                <w:szCs w:val="21"/>
              </w:rPr>
            </w:pPr>
          </w:p>
        </w:tc>
      </w:tr>
      <w:tr w14:paraId="5D1D3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723" w:type="dxa"/>
            <w:noWrap w:val="0"/>
            <w:vAlign w:val="center"/>
          </w:tcPr>
          <w:p w14:paraId="552D56ED">
            <w:pPr>
              <w:spacing w:line="300" w:lineRule="exact"/>
              <w:jc w:val="center"/>
              <w:rPr>
                <w:rFonts w:hint="eastAsia" w:ascii="宋体" w:hAnsi="宋体" w:eastAsia="宋体" w:cs="宋体"/>
                <w:color w:val="0000FF"/>
                <w:sz w:val="21"/>
                <w:szCs w:val="21"/>
              </w:rPr>
            </w:pPr>
            <w:r>
              <w:rPr>
                <w:rFonts w:hint="eastAsia" w:ascii="宋体" w:hAnsi="宋体" w:eastAsia="宋体" w:cs="宋体"/>
                <w:color w:val="auto"/>
                <w:sz w:val="21"/>
                <w:szCs w:val="21"/>
              </w:rPr>
              <w:t>4</w:t>
            </w:r>
          </w:p>
        </w:tc>
        <w:tc>
          <w:tcPr>
            <w:tcW w:w="4670" w:type="dxa"/>
            <w:noWrap w:val="0"/>
            <w:vAlign w:val="center"/>
          </w:tcPr>
          <w:p w14:paraId="157F1201">
            <w:pPr>
              <w:spacing w:line="280" w:lineRule="exact"/>
              <w:jc w:val="both"/>
              <w:rPr>
                <w:rFonts w:hint="eastAsia" w:ascii="宋体" w:hAnsi="宋体" w:eastAsia="宋体" w:cs="宋体"/>
                <w:sz w:val="21"/>
                <w:szCs w:val="21"/>
              </w:rPr>
            </w:pPr>
            <w:r>
              <w:rPr>
                <w:rFonts w:hint="eastAsia" w:ascii="宋体" w:hAnsi="宋体" w:eastAsia="宋体" w:cs="宋体"/>
                <w:sz w:val="21"/>
                <w:szCs w:val="21"/>
              </w:rPr>
              <w:t>按规定定期组织排查事故隐患。</w:t>
            </w:r>
          </w:p>
          <w:p w14:paraId="3F05564B">
            <w:pPr>
              <w:spacing w:line="280" w:lineRule="exact"/>
              <w:jc w:val="both"/>
              <w:rPr>
                <w:rFonts w:hint="eastAsia" w:ascii="宋体" w:hAnsi="宋体" w:eastAsia="宋体" w:cs="宋体"/>
                <w:sz w:val="21"/>
                <w:szCs w:val="21"/>
              </w:rPr>
            </w:pPr>
            <w:r>
              <w:rPr>
                <w:rFonts w:hint="eastAsia" w:ascii="宋体" w:hAnsi="宋体" w:eastAsia="宋体" w:cs="宋体"/>
                <w:sz w:val="21"/>
                <w:szCs w:val="21"/>
              </w:rPr>
              <w:t>按规定对事故隐患登记建档。</w:t>
            </w:r>
          </w:p>
          <w:p w14:paraId="668AAB7C">
            <w:pPr>
              <w:spacing w:line="280" w:lineRule="exact"/>
              <w:jc w:val="both"/>
              <w:rPr>
                <w:rFonts w:hint="eastAsia" w:ascii="宋体" w:hAnsi="宋体" w:eastAsia="宋体" w:cs="宋体"/>
                <w:sz w:val="21"/>
                <w:szCs w:val="21"/>
              </w:rPr>
            </w:pPr>
            <w:r>
              <w:rPr>
                <w:rFonts w:hint="eastAsia" w:ascii="宋体" w:hAnsi="宋体" w:eastAsia="宋体" w:cs="宋体"/>
                <w:sz w:val="21"/>
                <w:szCs w:val="21"/>
              </w:rPr>
              <w:t>按规定对重大事故隐患进行报告。</w:t>
            </w:r>
          </w:p>
          <w:p w14:paraId="5E0CE28E">
            <w:pPr>
              <w:spacing w:line="280" w:lineRule="exact"/>
              <w:jc w:val="both"/>
              <w:rPr>
                <w:rFonts w:hint="eastAsia" w:ascii="宋体" w:hAnsi="宋体" w:eastAsia="宋体" w:cs="宋体"/>
                <w:sz w:val="21"/>
                <w:szCs w:val="21"/>
              </w:rPr>
            </w:pPr>
            <w:r>
              <w:rPr>
                <w:rFonts w:hint="eastAsia" w:ascii="宋体" w:hAnsi="宋体" w:eastAsia="宋体" w:cs="宋体"/>
                <w:sz w:val="21"/>
                <w:szCs w:val="21"/>
              </w:rPr>
              <w:t xml:space="preserve">按规定事故隐患进行整改。 </w:t>
            </w:r>
          </w:p>
          <w:p w14:paraId="1464F1EC">
            <w:pPr>
              <w:spacing w:line="280" w:lineRule="exact"/>
              <w:jc w:val="both"/>
              <w:rPr>
                <w:rFonts w:hint="eastAsia" w:ascii="宋体" w:hAnsi="宋体" w:eastAsia="宋体" w:cs="宋体"/>
                <w:sz w:val="21"/>
                <w:szCs w:val="21"/>
              </w:rPr>
            </w:pPr>
            <w:r>
              <w:rPr>
                <w:rFonts w:hint="eastAsia" w:ascii="宋体" w:hAnsi="宋体" w:eastAsia="宋体" w:cs="宋体"/>
                <w:sz w:val="21"/>
                <w:szCs w:val="21"/>
              </w:rPr>
              <w:t>对于重大事故隐患，由煤矿主要负责人组织制定并实施事故隐患治理方案。重大事故隐患治理方案应当包括以下内容：（一）治理的目标和任务；（二）采取的方法和措施；（三）经费和物资的落实；（四）负责治理的机构和人员；（五）治理的时限和要求；（六）安全措施和应急预案。</w:t>
            </w:r>
          </w:p>
        </w:tc>
        <w:tc>
          <w:tcPr>
            <w:tcW w:w="3448" w:type="dxa"/>
            <w:noWrap w:val="0"/>
            <w:vAlign w:val="center"/>
          </w:tcPr>
          <w:p w14:paraId="60825B64">
            <w:pPr>
              <w:spacing w:line="280" w:lineRule="exact"/>
              <w:jc w:val="both"/>
              <w:rPr>
                <w:rFonts w:hint="eastAsia" w:ascii="宋体" w:hAnsi="宋体" w:eastAsia="宋体" w:cs="宋体"/>
                <w:sz w:val="21"/>
                <w:szCs w:val="21"/>
              </w:rPr>
            </w:pPr>
            <w:r>
              <w:rPr>
                <w:rFonts w:hint="eastAsia" w:ascii="宋体" w:hAnsi="宋体" w:eastAsia="宋体" w:cs="宋体"/>
                <w:sz w:val="21"/>
                <w:szCs w:val="21"/>
              </w:rPr>
              <w:t>《中华人民共和国安全生产法》第四条，《安全生产事故隐患排查治理暂行规定》第二十条、第十五条第二款。</w:t>
            </w:r>
          </w:p>
        </w:tc>
        <w:tc>
          <w:tcPr>
            <w:tcW w:w="2497" w:type="dxa"/>
            <w:noWrap w:val="0"/>
            <w:vAlign w:val="center"/>
          </w:tcPr>
          <w:p w14:paraId="55823CE8">
            <w:pPr>
              <w:spacing w:line="300" w:lineRule="exact"/>
              <w:jc w:val="both"/>
              <w:rPr>
                <w:rFonts w:hint="eastAsia" w:ascii="宋体" w:hAnsi="宋体" w:eastAsia="宋体" w:cs="宋体"/>
                <w:sz w:val="21"/>
                <w:szCs w:val="21"/>
              </w:rPr>
            </w:pPr>
          </w:p>
        </w:tc>
        <w:tc>
          <w:tcPr>
            <w:tcW w:w="1926" w:type="dxa"/>
            <w:noWrap w:val="0"/>
            <w:vAlign w:val="center"/>
          </w:tcPr>
          <w:p w14:paraId="0D9969BD">
            <w:pPr>
              <w:spacing w:line="300" w:lineRule="exact"/>
              <w:jc w:val="both"/>
              <w:rPr>
                <w:rFonts w:hint="eastAsia" w:ascii="宋体" w:hAnsi="宋体" w:eastAsia="宋体" w:cs="宋体"/>
                <w:sz w:val="21"/>
                <w:szCs w:val="21"/>
              </w:rPr>
            </w:pPr>
            <w:r>
              <w:rPr>
                <w:rFonts w:hint="eastAsia" w:ascii="宋体" w:hAnsi="宋体" w:eastAsia="宋体" w:cs="宋体"/>
                <w:sz w:val="21"/>
                <w:szCs w:val="21"/>
              </w:rPr>
              <w:t>《中华人民共和国安全生产法》第一百零二条；《国务院关于预防煤矿生产安全事故的特别规定》 第九条第二款</w:t>
            </w:r>
            <w:r>
              <w:rPr>
                <w:rFonts w:hint="eastAsia" w:ascii="宋体" w:hAnsi="宋体" w:eastAsia="宋体" w:cs="宋体"/>
                <w:sz w:val="21"/>
                <w:szCs w:val="21"/>
                <w:lang w:eastAsia="zh-CN"/>
              </w:rPr>
              <w:t>。</w:t>
            </w:r>
          </w:p>
        </w:tc>
        <w:tc>
          <w:tcPr>
            <w:tcW w:w="1224" w:type="dxa"/>
            <w:noWrap w:val="0"/>
            <w:vAlign w:val="center"/>
          </w:tcPr>
          <w:p w14:paraId="612F9F68">
            <w:pPr>
              <w:spacing w:line="300" w:lineRule="exact"/>
              <w:jc w:val="both"/>
              <w:rPr>
                <w:rFonts w:hint="eastAsia" w:ascii="宋体" w:hAnsi="宋体" w:eastAsia="宋体" w:cs="宋体"/>
                <w:sz w:val="21"/>
                <w:szCs w:val="21"/>
              </w:rPr>
            </w:pPr>
          </w:p>
        </w:tc>
      </w:tr>
      <w:tr w14:paraId="683F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23" w:type="dxa"/>
            <w:noWrap w:val="0"/>
            <w:vAlign w:val="center"/>
          </w:tcPr>
          <w:p w14:paraId="207623A3">
            <w:pPr>
              <w:spacing w:line="3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4670" w:type="dxa"/>
            <w:noWrap w:val="0"/>
            <w:vAlign w:val="center"/>
          </w:tcPr>
          <w:p w14:paraId="37B57283">
            <w:pPr>
              <w:spacing w:line="280" w:lineRule="exact"/>
              <w:ind w:firstLine="210" w:firstLineChars="100"/>
              <w:jc w:val="both"/>
              <w:rPr>
                <w:rFonts w:hint="eastAsia" w:ascii="宋体" w:hAnsi="宋体" w:eastAsia="宋体" w:cs="宋体"/>
                <w:sz w:val="21"/>
                <w:szCs w:val="21"/>
              </w:rPr>
            </w:pPr>
            <w:r>
              <w:rPr>
                <w:rFonts w:hint="eastAsia" w:ascii="宋体" w:hAnsi="宋体" w:eastAsia="宋体" w:cs="宋体"/>
                <w:sz w:val="21"/>
                <w:szCs w:val="21"/>
              </w:rPr>
              <w:t>每班必须有矿领导带班下井。煤矿的主要负责人每月带班 下井不得少于 5 个。</w:t>
            </w:r>
          </w:p>
          <w:p w14:paraId="7FFCDC2A">
            <w:pPr>
              <w:spacing w:line="280" w:lineRule="exact"/>
              <w:ind w:firstLine="210" w:firstLineChars="100"/>
              <w:jc w:val="both"/>
              <w:rPr>
                <w:rFonts w:hint="eastAsia" w:ascii="宋体" w:hAnsi="宋体" w:eastAsia="宋体" w:cs="宋体"/>
                <w:sz w:val="21"/>
                <w:szCs w:val="21"/>
              </w:rPr>
            </w:pPr>
            <w:r>
              <w:rPr>
                <w:rFonts w:hint="eastAsia" w:ascii="宋体" w:hAnsi="宋体" w:eastAsia="宋体" w:cs="宋体"/>
                <w:sz w:val="21"/>
                <w:szCs w:val="21"/>
              </w:rPr>
              <w:t>煤矿领导带班下井时，其领导姓名应当在井口明显位置公示。煤矿领导每月带班下井工作计划的完成情况，应当在   煤矿公示栏公示，接受群众监督。煤矿领导带班下井应加强对采煤、掘进、通风等重点部位、关键环节的检查巡视， 及时发现和组织消除事故隐患和险情，及时制止违章违纪行为，严禁违章指挥。煤矿领导带班下井实行井下交接班。</w:t>
            </w:r>
          </w:p>
        </w:tc>
        <w:tc>
          <w:tcPr>
            <w:tcW w:w="3448" w:type="dxa"/>
            <w:noWrap w:val="0"/>
            <w:vAlign w:val="center"/>
          </w:tcPr>
          <w:p w14:paraId="6B5FB27F">
            <w:pPr>
              <w:spacing w:line="280" w:lineRule="exact"/>
              <w:jc w:val="both"/>
              <w:rPr>
                <w:rFonts w:hint="eastAsia" w:ascii="宋体" w:hAnsi="宋体" w:eastAsia="宋体" w:cs="宋体"/>
                <w:sz w:val="21"/>
                <w:szCs w:val="21"/>
              </w:rPr>
            </w:pPr>
            <w:r>
              <w:rPr>
                <w:rFonts w:hint="eastAsia" w:ascii="宋体" w:hAnsi="宋体" w:eastAsia="宋体" w:cs="宋体"/>
                <w:sz w:val="21"/>
                <w:szCs w:val="21"/>
              </w:rPr>
              <w:t>《煤矿领导带班下井及安全监督检查规定》第五条</w:t>
            </w:r>
            <w:r>
              <w:rPr>
                <w:rFonts w:hint="eastAsia" w:ascii="宋体" w:hAnsi="宋体" w:eastAsia="宋体" w:cs="宋体"/>
                <w:sz w:val="21"/>
                <w:szCs w:val="21"/>
                <w:lang w:eastAsia="zh-CN"/>
              </w:rPr>
              <w:t>、</w:t>
            </w:r>
            <w:r>
              <w:rPr>
                <w:rFonts w:hint="eastAsia" w:ascii="宋体" w:hAnsi="宋体" w:eastAsia="宋体" w:cs="宋体"/>
                <w:sz w:val="21"/>
                <w:szCs w:val="21"/>
              </w:rPr>
              <w:t>第七条</w:t>
            </w:r>
            <w:r>
              <w:rPr>
                <w:rFonts w:hint="eastAsia" w:ascii="宋体" w:hAnsi="宋体" w:eastAsia="宋体" w:cs="宋体"/>
                <w:sz w:val="21"/>
                <w:szCs w:val="21"/>
                <w:lang w:eastAsia="zh-CN"/>
              </w:rPr>
              <w:t>、</w:t>
            </w:r>
            <w:r>
              <w:rPr>
                <w:rFonts w:hint="eastAsia" w:ascii="宋体" w:hAnsi="宋体" w:eastAsia="宋体" w:cs="宋体"/>
                <w:sz w:val="21"/>
                <w:szCs w:val="21"/>
              </w:rPr>
              <w:t>第九条</w:t>
            </w:r>
            <w:r>
              <w:rPr>
                <w:rFonts w:hint="eastAsia" w:ascii="宋体" w:hAnsi="宋体" w:eastAsia="宋体" w:cs="宋体"/>
                <w:sz w:val="21"/>
                <w:szCs w:val="21"/>
                <w:lang w:eastAsia="zh-CN"/>
              </w:rPr>
              <w:t>、</w:t>
            </w:r>
            <w:r>
              <w:rPr>
                <w:rFonts w:hint="eastAsia" w:ascii="宋体" w:hAnsi="宋体" w:eastAsia="宋体" w:cs="宋体"/>
                <w:sz w:val="21"/>
                <w:szCs w:val="21"/>
              </w:rPr>
              <w:t>第十条。</w:t>
            </w:r>
          </w:p>
        </w:tc>
        <w:tc>
          <w:tcPr>
            <w:tcW w:w="2497" w:type="dxa"/>
            <w:noWrap w:val="0"/>
            <w:vAlign w:val="center"/>
          </w:tcPr>
          <w:p w14:paraId="417C8B28">
            <w:pPr>
              <w:spacing w:line="300" w:lineRule="exact"/>
              <w:jc w:val="both"/>
              <w:rPr>
                <w:rFonts w:hint="eastAsia" w:ascii="宋体" w:hAnsi="宋体" w:eastAsia="宋体" w:cs="宋体"/>
                <w:sz w:val="21"/>
                <w:szCs w:val="21"/>
              </w:rPr>
            </w:pPr>
          </w:p>
        </w:tc>
        <w:tc>
          <w:tcPr>
            <w:tcW w:w="1926" w:type="dxa"/>
            <w:noWrap w:val="0"/>
            <w:vAlign w:val="center"/>
          </w:tcPr>
          <w:p w14:paraId="1C35F3A0">
            <w:pPr>
              <w:spacing w:line="280" w:lineRule="exact"/>
              <w:jc w:val="both"/>
              <w:rPr>
                <w:rFonts w:hint="eastAsia" w:ascii="宋体" w:hAnsi="宋体" w:eastAsia="宋体" w:cs="宋体"/>
                <w:sz w:val="21"/>
                <w:szCs w:val="21"/>
              </w:rPr>
            </w:pPr>
            <w:r>
              <w:rPr>
                <w:rFonts w:hint="eastAsia" w:ascii="宋体" w:hAnsi="宋体" w:eastAsia="宋体" w:cs="宋体"/>
                <w:sz w:val="21"/>
                <w:szCs w:val="21"/>
                <w:lang w:val="en-US" w:eastAsia="zh-CN"/>
              </w:rPr>
              <w:t>《中华人民共和国安全生产法》第六十二条第一款第二项。</w:t>
            </w:r>
          </w:p>
          <w:p w14:paraId="3CF0BCB7">
            <w:pPr>
              <w:spacing w:line="300" w:lineRule="exact"/>
              <w:jc w:val="both"/>
              <w:rPr>
                <w:rFonts w:hint="eastAsia" w:ascii="宋体" w:hAnsi="宋体" w:eastAsia="宋体" w:cs="宋体"/>
                <w:sz w:val="21"/>
                <w:szCs w:val="21"/>
              </w:rPr>
            </w:pPr>
          </w:p>
        </w:tc>
        <w:tc>
          <w:tcPr>
            <w:tcW w:w="1224" w:type="dxa"/>
            <w:noWrap w:val="0"/>
            <w:vAlign w:val="center"/>
          </w:tcPr>
          <w:p w14:paraId="729DBC6C">
            <w:pPr>
              <w:spacing w:line="300" w:lineRule="exact"/>
              <w:jc w:val="both"/>
              <w:rPr>
                <w:rFonts w:hint="eastAsia" w:ascii="宋体" w:hAnsi="宋体" w:eastAsia="宋体" w:cs="宋体"/>
                <w:sz w:val="21"/>
                <w:szCs w:val="21"/>
              </w:rPr>
            </w:pPr>
          </w:p>
        </w:tc>
      </w:tr>
      <w:tr w14:paraId="0615A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23" w:type="dxa"/>
            <w:noWrap w:val="0"/>
            <w:vAlign w:val="center"/>
          </w:tcPr>
          <w:p w14:paraId="5190961E">
            <w:pPr>
              <w:spacing w:line="300" w:lineRule="exact"/>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6</w:t>
            </w:r>
          </w:p>
        </w:tc>
        <w:tc>
          <w:tcPr>
            <w:tcW w:w="4670" w:type="dxa"/>
            <w:noWrap w:val="0"/>
            <w:vAlign w:val="center"/>
          </w:tcPr>
          <w:p w14:paraId="4198CE3E">
            <w:pPr>
              <w:spacing w:line="280" w:lineRule="exact"/>
              <w:ind w:firstLine="210" w:firstLineChars="100"/>
              <w:jc w:val="both"/>
              <w:rPr>
                <w:rFonts w:hint="eastAsia" w:ascii="宋体" w:hAnsi="宋体" w:eastAsia="宋体" w:cs="宋体"/>
                <w:sz w:val="21"/>
                <w:szCs w:val="21"/>
              </w:rPr>
            </w:pPr>
            <w:r>
              <w:rPr>
                <w:rFonts w:hint="eastAsia" w:ascii="宋体" w:hAnsi="宋体" w:eastAsia="宋体" w:cs="宋体"/>
                <w:sz w:val="21"/>
                <w:szCs w:val="21"/>
              </w:rPr>
              <w:t>煤矿实行整体承包生产经营后，要重新取得或者及时变更安全生产许可证。承包或者托管方有合法有效煤矿生产建设证照。煤矿实行承包（托管）要签订安全生产管理协议，协议约定双方安全生产管理职责。承包方（承托方）按规定变更安全生产许可证。承包方（承托方）不得再次将煤矿承包（托管）给其他单位或者个人。煤矿不得将井下采掘工作面或者井巷维修作业作为独立工程承包（托管）给其他企业或者个人。</w:t>
            </w:r>
          </w:p>
        </w:tc>
        <w:tc>
          <w:tcPr>
            <w:tcW w:w="3448" w:type="dxa"/>
            <w:noWrap w:val="0"/>
            <w:vAlign w:val="center"/>
          </w:tcPr>
          <w:p w14:paraId="77CDF07D">
            <w:pPr>
              <w:spacing w:line="280" w:lineRule="exact"/>
              <w:jc w:val="both"/>
              <w:rPr>
                <w:rFonts w:hint="eastAsia" w:ascii="宋体" w:hAnsi="宋体" w:eastAsia="宋体" w:cs="宋体"/>
                <w:sz w:val="21"/>
                <w:szCs w:val="21"/>
              </w:rPr>
            </w:pPr>
            <w:r>
              <w:rPr>
                <w:rFonts w:hint="eastAsia" w:ascii="宋体" w:hAnsi="宋体" w:eastAsia="宋体" w:cs="宋体"/>
                <w:sz w:val="21"/>
                <w:szCs w:val="21"/>
              </w:rPr>
              <w:t>《煤矿重大生产安全事故隐患判定标准》（国家安全生产监督管理总局令第85号）第十六条。</w:t>
            </w:r>
          </w:p>
        </w:tc>
        <w:tc>
          <w:tcPr>
            <w:tcW w:w="2497" w:type="dxa"/>
            <w:noWrap w:val="0"/>
            <w:vAlign w:val="center"/>
          </w:tcPr>
          <w:p w14:paraId="7DE2F0BC">
            <w:pPr>
              <w:spacing w:line="300" w:lineRule="exact"/>
              <w:jc w:val="both"/>
              <w:rPr>
                <w:rFonts w:hint="eastAsia" w:ascii="宋体" w:hAnsi="宋体" w:eastAsia="宋体" w:cs="宋体"/>
                <w:sz w:val="21"/>
                <w:szCs w:val="21"/>
              </w:rPr>
            </w:pPr>
          </w:p>
        </w:tc>
        <w:tc>
          <w:tcPr>
            <w:tcW w:w="1926" w:type="dxa"/>
            <w:noWrap w:val="0"/>
            <w:vAlign w:val="center"/>
          </w:tcPr>
          <w:p w14:paraId="5A8874D9">
            <w:pPr>
              <w:spacing w:line="300" w:lineRule="exact"/>
              <w:jc w:val="both"/>
              <w:rPr>
                <w:rFonts w:hint="eastAsia" w:ascii="宋体" w:hAnsi="宋体" w:eastAsia="宋体" w:cs="宋体"/>
                <w:sz w:val="21"/>
                <w:szCs w:val="21"/>
              </w:rPr>
            </w:pPr>
            <w:r>
              <w:rPr>
                <w:rFonts w:hint="eastAsia" w:ascii="宋体" w:hAnsi="宋体" w:eastAsia="宋体" w:cs="宋体"/>
                <w:sz w:val="21"/>
                <w:szCs w:val="21"/>
              </w:rPr>
              <w:t>《国务院关于预防煤矿生产安全事故的特别规定》 第十条第一款、第十一条。《中华人民共和国安全生产法》第一百零三条第二款</w:t>
            </w:r>
            <w:r>
              <w:rPr>
                <w:rFonts w:hint="eastAsia" w:ascii="宋体" w:hAnsi="宋体" w:eastAsia="宋体" w:cs="宋体"/>
                <w:sz w:val="21"/>
                <w:szCs w:val="21"/>
                <w:lang w:eastAsia="zh-CN"/>
              </w:rPr>
              <w:t>。</w:t>
            </w:r>
          </w:p>
        </w:tc>
        <w:tc>
          <w:tcPr>
            <w:tcW w:w="1224" w:type="dxa"/>
            <w:noWrap w:val="0"/>
            <w:vAlign w:val="center"/>
          </w:tcPr>
          <w:p w14:paraId="528E0B5B">
            <w:pPr>
              <w:spacing w:line="300" w:lineRule="exact"/>
              <w:jc w:val="both"/>
              <w:rPr>
                <w:rFonts w:hint="eastAsia" w:ascii="宋体" w:hAnsi="宋体" w:eastAsia="宋体" w:cs="宋体"/>
                <w:sz w:val="21"/>
                <w:szCs w:val="21"/>
              </w:rPr>
            </w:pPr>
          </w:p>
        </w:tc>
      </w:tr>
      <w:tr w14:paraId="71844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723" w:type="dxa"/>
            <w:noWrap w:val="0"/>
            <w:vAlign w:val="center"/>
          </w:tcPr>
          <w:p w14:paraId="34FEB3B4">
            <w:pPr>
              <w:spacing w:line="300" w:lineRule="exact"/>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7</w:t>
            </w:r>
          </w:p>
        </w:tc>
        <w:tc>
          <w:tcPr>
            <w:tcW w:w="4670" w:type="dxa"/>
            <w:noWrap w:val="0"/>
            <w:vAlign w:val="center"/>
          </w:tcPr>
          <w:p w14:paraId="112D83E3">
            <w:pPr>
              <w:spacing w:line="280" w:lineRule="exact"/>
              <w:ind w:firstLine="210" w:firstLineChars="100"/>
              <w:jc w:val="both"/>
              <w:rPr>
                <w:rFonts w:hint="eastAsia" w:ascii="宋体" w:hAnsi="宋体" w:eastAsia="宋体" w:cs="宋体"/>
                <w:sz w:val="21"/>
                <w:szCs w:val="21"/>
              </w:rPr>
            </w:pPr>
            <w:r>
              <w:rPr>
                <w:rFonts w:hint="eastAsia" w:ascii="宋体" w:hAnsi="宋体" w:eastAsia="宋体" w:cs="宋体"/>
                <w:sz w:val="21"/>
                <w:szCs w:val="21"/>
              </w:rPr>
              <w:t>煤矿要分别配备矿长、总工程师和分管安全、生产、机电的副矿长，以及负责采煤、掘进、机电运输、通风、地质测量工作的专业技术人员。</w:t>
            </w:r>
          </w:p>
        </w:tc>
        <w:tc>
          <w:tcPr>
            <w:tcW w:w="3448" w:type="dxa"/>
            <w:noWrap w:val="0"/>
            <w:vAlign w:val="center"/>
          </w:tcPr>
          <w:p w14:paraId="4B99CB8B">
            <w:pPr>
              <w:spacing w:line="280" w:lineRule="exact"/>
              <w:jc w:val="both"/>
              <w:rPr>
                <w:rFonts w:hint="eastAsia" w:ascii="宋体" w:hAnsi="宋体" w:eastAsia="宋体" w:cs="宋体"/>
                <w:sz w:val="21"/>
                <w:szCs w:val="21"/>
              </w:rPr>
            </w:pPr>
            <w:r>
              <w:rPr>
                <w:rFonts w:hint="eastAsia" w:ascii="宋体" w:hAnsi="宋体" w:eastAsia="宋体" w:cs="宋体"/>
                <w:sz w:val="21"/>
                <w:szCs w:val="21"/>
              </w:rPr>
              <w:t>《煤矿重大生产安全事故隐患判定标准》（国家安全生产监督管理总局令第85号）第十八条。</w:t>
            </w:r>
          </w:p>
        </w:tc>
        <w:tc>
          <w:tcPr>
            <w:tcW w:w="2497" w:type="dxa"/>
            <w:noWrap w:val="0"/>
            <w:vAlign w:val="center"/>
          </w:tcPr>
          <w:p w14:paraId="463AF5FC">
            <w:pPr>
              <w:spacing w:line="300" w:lineRule="exact"/>
              <w:jc w:val="both"/>
              <w:rPr>
                <w:rFonts w:hint="eastAsia" w:ascii="宋体" w:hAnsi="宋体" w:eastAsia="宋体" w:cs="宋体"/>
                <w:sz w:val="21"/>
                <w:szCs w:val="21"/>
              </w:rPr>
            </w:pPr>
          </w:p>
        </w:tc>
        <w:tc>
          <w:tcPr>
            <w:tcW w:w="1926" w:type="dxa"/>
            <w:noWrap w:val="0"/>
            <w:vAlign w:val="center"/>
          </w:tcPr>
          <w:p w14:paraId="4F4D688C">
            <w:pPr>
              <w:spacing w:line="300" w:lineRule="exact"/>
              <w:jc w:val="both"/>
              <w:rPr>
                <w:rFonts w:hint="eastAsia" w:ascii="宋体" w:hAnsi="宋体" w:eastAsia="宋体" w:cs="宋体"/>
                <w:sz w:val="21"/>
                <w:szCs w:val="21"/>
              </w:rPr>
            </w:pPr>
            <w:r>
              <w:rPr>
                <w:rFonts w:hint="eastAsia" w:ascii="宋体" w:hAnsi="宋体" w:eastAsia="宋体" w:cs="宋体"/>
                <w:sz w:val="21"/>
                <w:szCs w:val="21"/>
              </w:rPr>
              <w:t>《中华人民共和国安全生产法》第九十七条第一项；《煤矿企业安全生产许可证实施办法》第三十八条。</w:t>
            </w:r>
          </w:p>
        </w:tc>
        <w:tc>
          <w:tcPr>
            <w:tcW w:w="1224" w:type="dxa"/>
            <w:noWrap w:val="0"/>
            <w:vAlign w:val="center"/>
          </w:tcPr>
          <w:p w14:paraId="4A77E593">
            <w:pPr>
              <w:spacing w:line="300" w:lineRule="exact"/>
              <w:jc w:val="both"/>
              <w:rPr>
                <w:rFonts w:hint="eastAsia" w:ascii="宋体" w:hAnsi="宋体" w:eastAsia="宋体" w:cs="宋体"/>
                <w:sz w:val="21"/>
                <w:szCs w:val="21"/>
              </w:rPr>
            </w:pPr>
          </w:p>
        </w:tc>
      </w:tr>
      <w:tr w14:paraId="6A3A1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23" w:type="dxa"/>
            <w:noWrap w:val="0"/>
            <w:vAlign w:val="center"/>
          </w:tcPr>
          <w:p w14:paraId="25215EEF">
            <w:pPr>
              <w:spacing w:line="280" w:lineRule="exact"/>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lang w:val="en-US" w:eastAsia="zh-CN"/>
              </w:rPr>
              <w:t>8</w:t>
            </w:r>
          </w:p>
        </w:tc>
        <w:tc>
          <w:tcPr>
            <w:tcW w:w="4670" w:type="dxa"/>
            <w:noWrap w:val="0"/>
            <w:vAlign w:val="center"/>
          </w:tcPr>
          <w:p w14:paraId="2D1DAE24">
            <w:pPr>
              <w:spacing w:line="280" w:lineRule="exact"/>
              <w:ind w:firstLine="210" w:firstLineChars="100"/>
              <w:jc w:val="both"/>
              <w:rPr>
                <w:rFonts w:hint="eastAsia" w:ascii="宋体" w:hAnsi="宋体" w:eastAsia="宋体" w:cs="宋体"/>
                <w:kern w:val="0"/>
                <w:sz w:val="21"/>
                <w:szCs w:val="21"/>
              </w:rPr>
            </w:pPr>
            <w:r>
              <w:rPr>
                <w:rFonts w:hint="eastAsia" w:ascii="宋体" w:hAnsi="宋体" w:eastAsia="宋体" w:cs="宋体"/>
                <w:kern w:val="0"/>
                <w:sz w:val="21"/>
                <w:szCs w:val="21"/>
              </w:rPr>
              <w:t>煤矿企业主要负责人和安全生产管理人员应当自任职之日起六个月内通过考核部门组织的安全生产知识和管理能力考核，并持续保持相应水平和能力；煤矿企业主要负责人和安全生产管理人员应当自任职之日起三十日内，按照规定向考核部门提出考核申请；企业应当每年组织主要负责人和安全生产管理人员进行新法律法规、新标准、新规程、新技术、新工艺、新设备和新材料等方面的安全培训；煤矿特种作业人员必须经专门的安全技术培训和考核合格，由省级煤矿安全培训主管部门颁发特种作业操作证后，方可上岗作业。</w:t>
            </w:r>
          </w:p>
        </w:tc>
        <w:tc>
          <w:tcPr>
            <w:tcW w:w="3448" w:type="dxa"/>
            <w:noWrap w:val="0"/>
            <w:vAlign w:val="center"/>
          </w:tcPr>
          <w:p w14:paraId="4A40361D">
            <w:pPr>
              <w:spacing w:line="280" w:lineRule="exact"/>
              <w:jc w:val="both"/>
              <w:rPr>
                <w:rFonts w:hint="eastAsia" w:ascii="宋体" w:hAnsi="宋体" w:eastAsia="宋体" w:cs="宋体"/>
                <w:sz w:val="21"/>
                <w:szCs w:val="21"/>
              </w:rPr>
            </w:pPr>
            <w:r>
              <w:rPr>
                <w:rFonts w:hint="eastAsia" w:ascii="宋体" w:hAnsi="宋体" w:eastAsia="宋体" w:cs="宋体"/>
                <w:sz w:val="21"/>
                <w:szCs w:val="21"/>
              </w:rPr>
              <w:t>《中华人民共和国安全生产法》第十八条；《煤矿安全培训规定》(国家安全生产监督管理总局令第92号)第十二条、十七条；《煤矿安全规程》第</w:t>
            </w:r>
            <w:r>
              <w:rPr>
                <w:rFonts w:hint="eastAsia" w:ascii="宋体" w:hAnsi="宋体" w:eastAsia="宋体" w:cs="宋体"/>
                <w:sz w:val="21"/>
                <w:szCs w:val="21"/>
                <w:lang w:eastAsia="zh-CN"/>
              </w:rPr>
              <w:t>九</w:t>
            </w:r>
            <w:r>
              <w:rPr>
                <w:rFonts w:hint="eastAsia" w:ascii="宋体" w:hAnsi="宋体" w:eastAsia="宋体" w:cs="宋体"/>
                <w:sz w:val="21"/>
                <w:szCs w:val="21"/>
              </w:rPr>
              <w:t>条</w:t>
            </w:r>
            <w:r>
              <w:rPr>
                <w:rFonts w:hint="eastAsia" w:ascii="宋体" w:hAnsi="宋体" w:eastAsia="宋体" w:cs="宋体"/>
                <w:sz w:val="21"/>
                <w:szCs w:val="21"/>
                <w:lang w:eastAsia="zh-CN"/>
              </w:rPr>
              <w:t>。</w:t>
            </w:r>
          </w:p>
        </w:tc>
        <w:tc>
          <w:tcPr>
            <w:tcW w:w="2497" w:type="dxa"/>
            <w:noWrap w:val="0"/>
            <w:vAlign w:val="center"/>
          </w:tcPr>
          <w:p w14:paraId="7E6B98F6">
            <w:pPr>
              <w:spacing w:line="300" w:lineRule="exact"/>
              <w:jc w:val="both"/>
              <w:rPr>
                <w:rFonts w:hint="eastAsia" w:ascii="宋体" w:hAnsi="宋体" w:eastAsia="宋体" w:cs="宋体"/>
                <w:sz w:val="21"/>
                <w:szCs w:val="21"/>
              </w:rPr>
            </w:pPr>
          </w:p>
        </w:tc>
        <w:tc>
          <w:tcPr>
            <w:tcW w:w="1926" w:type="dxa"/>
            <w:noWrap w:val="0"/>
            <w:vAlign w:val="center"/>
          </w:tcPr>
          <w:p w14:paraId="048195DE">
            <w:pPr>
              <w:spacing w:line="300" w:lineRule="exact"/>
              <w:jc w:val="both"/>
              <w:rPr>
                <w:rFonts w:hint="eastAsia" w:ascii="宋体" w:hAnsi="宋体" w:eastAsia="宋体" w:cs="宋体"/>
                <w:sz w:val="21"/>
                <w:szCs w:val="21"/>
              </w:rPr>
            </w:pPr>
            <w:r>
              <w:rPr>
                <w:rFonts w:hint="eastAsia" w:ascii="宋体" w:hAnsi="宋体" w:eastAsia="宋体" w:cs="宋体"/>
                <w:sz w:val="21"/>
                <w:szCs w:val="21"/>
              </w:rPr>
              <w:t>《中华人民共和国安全生产法》第九十七条第二项、第三项、第七项；《煤矿安全培训规定》第四十七条第一项、第二项、第四项</w:t>
            </w:r>
            <w:r>
              <w:rPr>
                <w:rFonts w:hint="eastAsia" w:ascii="宋体" w:hAnsi="宋体" w:eastAsia="宋体" w:cs="宋体"/>
                <w:sz w:val="21"/>
                <w:szCs w:val="21"/>
                <w:lang w:eastAsia="zh-CN"/>
              </w:rPr>
              <w:t>。</w:t>
            </w:r>
          </w:p>
        </w:tc>
        <w:tc>
          <w:tcPr>
            <w:tcW w:w="1224" w:type="dxa"/>
            <w:noWrap w:val="0"/>
            <w:vAlign w:val="center"/>
          </w:tcPr>
          <w:p w14:paraId="3120AE22">
            <w:pPr>
              <w:spacing w:line="300" w:lineRule="exact"/>
              <w:jc w:val="both"/>
              <w:rPr>
                <w:rFonts w:hint="eastAsia" w:ascii="宋体" w:hAnsi="宋体" w:eastAsia="宋体" w:cs="宋体"/>
                <w:sz w:val="21"/>
                <w:szCs w:val="21"/>
              </w:rPr>
            </w:pPr>
          </w:p>
        </w:tc>
      </w:tr>
      <w:tr w14:paraId="1A9E8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23" w:type="dxa"/>
            <w:noWrap w:val="0"/>
            <w:vAlign w:val="center"/>
          </w:tcPr>
          <w:p w14:paraId="15240A1E">
            <w:pPr>
              <w:spacing w:line="300" w:lineRule="exact"/>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lang w:val="en-US" w:eastAsia="zh-CN"/>
              </w:rPr>
              <w:t>9</w:t>
            </w:r>
          </w:p>
        </w:tc>
        <w:tc>
          <w:tcPr>
            <w:tcW w:w="4670" w:type="dxa"/>
            <w:noWrap w:val="0"/>
            <w:vAlign w:val="center"/>
          </w:tcPr>
          <w:p w14:paraId="54FAD7E2">
            <w:pPr>
              <w:spacing w:line="280" w:lineRule="exact"/>
              <w:ind w:firstLine="210" w:firstLineChars="100"/>
              <w:jc w:val="both"/>
              <w:rPr>
                <w:rFonts w:hint="eastAsia" w:ascii="宋体" w:hAnsi="宋体" w:eastAsia="宋体" w:cs="宋体"/>
                <w:kern w:val="0"/>
                <w:sz w:val="21"/>
                <w:szCs w:val="21"/>
              </w:rPr>
            </w:pPr>
            <w:r>
              <w:rPr>
                <w:rFonts w:hint="eastAsia" w:ascii="宋体" w:hAnsi="宋体" w:eastAsia="宋体" w:cs="宋体"/>
                <w:kern w:val="0"/>
                <w:sz w:val="21"/>
                <w:szCs w:val="21"/>
              </w:rPr>
              <w:t>煤矿企业及所属矿井应设立地测部门，配备所需的地质及相关专业技术人员和仪器设备；每个煤矿应结合实际情况开展隐蔽致灾因素普查，提出普查报告，由煤矿企业总工程师组织审定。</w:t>
            </w:r>
          </w:p>
          <w:p w14:paraId="57388C92">
            <w:pPr>
              <w:spacing w:line="280" w:lineRule="exact"/>
              <w:jc w:val="both"/>
              <w:rPr>
                <w:rFonts w:hint="eastAsia" w:ascii="宋体" w:hAnsi="宋体" w:eastAsia="宋体" w:cs="宋体"/>
                <w:kern w:val="0"/>
                <w:sz w:val="21"/>
                <w:szCs w:val="21"/>
              </w:rPr>
            </w:pPr>
            <w:r>
              <w:rPr>
                <w:rFonts w:hint="eastAsia" w:ascii="宋体" w:hAnsi="宋体" w:eastAsia="宋体" w:cs="宋体"/>
                <w:kern w:val="0"/>
                <w:sz w:val="21"/>
                <w:szCs w:val="21"/>
              </w:rPr>
              <w:t>小煤矿集中的矿区，由地方人民政府组织进行区域性隐蔽致灾因素普查，制定防范事故的措施。</w:t>
            </w:r>
          </w:p>
          <w:p w14:paraId="0AFE5A70">
            <w:pPr>
              <w:spacing w:line="280" w:lineRule="exact"/>
              <w:jc w:val="both"/>
              <w:rPr>
                <w:rFonts w:hint="eastAsia" w:ascii="宋体" w:hAnsi="宋体" w:eastAsia="宋体" w:cs="宋体"/>
                <w:kern w:val="0"/>
                <w:sz w:val="21"/>
                <w:szCs w:val="21"/>
              </w:rPr>
            </w:pPr>
          </w:p>
        </w:tc>
        <w:tc>
          <w:tcPr>
            <w:tcW w:w="3448" w:type="dxa"/>
            <w:noWrap w:val="0"/>
            <w:vAlign w:val="center"/>
          </w:tcPr>
          <w:p w14:paraId="264E9609">
            <w:pPr>
              <w:spacing w:line="280" w:lineRule="exact"/>
              <w:jc w:val="both"/>
              <w:rPr>
                <w:rFonts w:hint="eastAsia" w:ascii="宋体" w:hAnsi="宋体" w:eastAsia="宋体" w:cs="宋体"/>
                <w:kern w:val="0"/>
                <w:sz w:val="21"/>
                <w:szCs w:val="21"/>
              </w:rPr>
            </w:pPr>
            <w:r>
              <w:rPr>
                <w:rFonts w:hint="eastAsia" w:ascii="宋体" w:hAnsi="宋体" w:eastAsia="宋体" w:cs="宋体"/>
                <w:kern w:val="0"/>
                <w:sz w:val="21"/>
                <w:szCs w:val="21"/>
              </w:rPr>
              <w:t>《煤矿重大事故隐患判定标准》解读第十八条第一项；《煤矿安全规程》第</w:t>
            </w:r>
            <w:r>
              <w:rPr>
                <w:rFonts w:hint="eastAsia" w:ascii="宋体" w:hAnsi="宋体" w:eastAsia="宋体" w:cs="宋体"/>
                <w:kern w:val="0"/>
                <w:sz w:val="21"/>
                <w:szCs w:val="21"/>
                <w:lang w:eastAsia="zh-CN"/>
              </w:rPr>
              <w:t>三十二</w:t>
            </w:r>
            <w:r>
              <w:rPr>
                <w:rFonts w:hint="eastAsia" w:ascii="宋体" w:hAnsi="宋体" w:eastAsia="宋体" w:cs="宋体"/>
                <w:kern w:val="0"/>
                <w:sz w:val="21"/>
                <w:szCs w:val="21"/>
              </w:rPr>
              <w:t>条《煤矿地质工作规定》第七条第一款、第二十九条至第三十八条</w:t>
            </w:r>
            <w:r>
              <w:rPr>
                <w:rFonts w:hint="eastAsia" w:ascii="宋体" w:hAnsi="宋体" w:eastAsia="宋体" w:cs="宋体"/>
                <w:kern w:val="0"/>
                <w:sz w:val="21"/>
                <w:szCs w:val="21"/>
                <w:lang w:eastAsia="zh-CN"/>
              </w:rPr>
              <w:t>。</w:t>
            </w:r>
          </w:p>
        </w:tc>
        <w:tc>
          <w:tcPr>
            <w:tcW w:w="2497" w:type="dxa"/>
            <w:noWrap w:val="0"/>
            <w:vAlign w:val="center"/>
          </w:tcPr>
          <w:p w14:paraId="4DB2B3A1">
            <w:pPr>
              <w:spacing w:line="300" w:lineRule="exact"/>
              <w:jc w:val="both"/>
              <w:rPr>
                <w:rFonts w:hint="eastAsia" w:ascii="宋体" w:hAnsi="宋体" w:eastAsia="宋体" w:cs="宋体"/>
                <w:sz w:val="21"/>
                <w:szCs w:val="21"/>
              </w:rPr>
            </w:pPr>
          </w:p>
        </w:tc>
        <w:tc>
          <w:tcPr>
            <w:tcW w:w="1926" w:type="dxa"/>
            <w:noWrap w:val="0"/>
            <w:vAlign w:val="center"/>
          </w:tcPr>
          <w:p w14:paraId="60E8AA9D">
            <w:pPr>
              <w:spacing w:line="300" w:lineRule="exact"/>
              <w:jc w:val="both"/>
              <w:rPr>
                <w:rFonts w:hint="eastAsia" w:ascii="宋体" w:hAnsi="宋体" w:eastAsia="宋体" w:cs="宋体"/>
                <w:sz w:val="21"/>
                <w:szCs w:val="21"/>
              </w:rPr>
            </w:pPr>
            <w:r>
              <w:rPr>
                <w:rFonts w:hint="eastAsia" w:ascii="宋体" w:hAnsi="宋体" w:eastAsia="宋体" w:cs="宋体"/>
                <w:sz w:val="21"/>
                <w:szCs w:val="21"/>
              </w:rPr>
              <w:t>《中华人民共和国安全生产法》第九十七条第一项；《国务院关于预防煤矿生产安全事故的特别规定》第十条第一款，第十一条第一款</w:t>
            </w:r>
            <w:r>
              <w:rPr>
                <w:rFonts w:hint="eastAsia" w:ascii="宋体" w:hAnsi="宋体" w:eastAsia="宋体" w:cs="宋体"/>
                <w:sz w:val="21"/>
                <w:szCs w:val="21"/>
                <w:lang w:eastAsia="zh-CN"/>
              </w:rPr>
              <w:t>。</w:t>
            </w:r>
          </w:p>
        </w:tc>
        <w:tc>
          <w:tcPr>
            <w:tcW w:w="1224" w:type="dxa"/>
            <w:noWrap w:val="0"/>
            <w:vAlign w:val="center"/>
          </w:tcPr>
          <w:p w14:paraId="11B67110">
            <w:pPr>
              <w:spacing w:line="300" w:lineRule="exact"/>
              <w:jc w:val="both"/>
              <w:rPr>
                <w:rFonts w:hint="eastAsia" w:ascii="宋体" w:hAnsi="宋体" w:eastAsia="宋体" w:cs="宋体"/>
                <w:sz w:val="21"/>
                <w:szCs w:val="21"/>
              </w:rPr>
            </w:pPr>
          </w:p>
        </w:tc>
      </w:tr>
      <w:tr w14:paraId="12D15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3" w:type="dxa"/>
            <w:noWrap w:val="0"/>
            <w:vAlign w:val="center"/>
          </w:tcPr>
          <w:p w14:paraId="2701C727">
            <w:pPr>
              <w:spacing w:line="300" w:lineRule="exact"/>
              <w:jc w:val="center"/>
              <w:rPr>
                <w:rFonts w:hint="eastAsia" w:ascii="宋体" w:hAnsi="宋体" w:eastAsia="宋体" w:cs="宋体"/>
                <w:color w:val="0000FF"/>
                <w:kern w:val="0"/>
                <w:sz w:val="21"/>
                <w:szCs w:val="21"/>
                <w:lang w:val="en-US" w:eastAsia="zh-CN"/>
              </w:rPr>
            </w:pPr>
            <w:r>
              <w:rPr>
                <w:rFonts w:hint="eastAsia" w:ascii="宋体" w:hAnsi="宋体" w:eastAsia="宋体" w:cs="宋体"/>
                <w:color w:val="auto"/>
                <w:kern w:val="0"/>
                <w:sz w:val="21"/>
                <w:szCs w:val="21"/>
                <w:lang w:val="en-US" w:eastAsia="zh-CN"/>
              </w:rPr>
              <w:t>10</w:t>
            </w:r>
          </w:p>
        </w:tc>
        <w:tc>
          <w:tcPr>
            <w:tcW w:w="4670" w:type="dxa"/>
            <w:noWrap w:val="0"/>
            <w:vAlign w:val="center"/>
          </w:tcPr>
          <w:p w14:paraId="66FEC881">
            <w:pPr>
              <w:spacing w:line="280" w:lineRule="exact"/>
              <w:ind w:firstLine="210" w:firstLineChars="100"/>
              <w:jc w:val="both"/>
              <w:rPr>
                <w:rFonts w:hint="eastAsia" w:ascii="宋体" w:hAnsi="宋体" w:eastAsia="宋体" w:cs="宋体"/>
                <w:kern w:val="0"/>
                <w:sz w:val="21"/>
                <w:szCs w:val="21"/>
              </w:rPr>
            </w:pPr>
            <w:r>
              <w:rPr>
                <w:rFonts w:hint="eastAsia" w:ascii="宋体" w:hAnsi="宋体" w:eastAsia="宋体" w:cs="宋体"/>
                <w:kern w:val="0"/>
                <w:sz w:val="21"/>
                <w:szCs w:val="21"/>
              </w:rPr>
              <w:t>基建矿井、露天煤矿移交生产前，必须编制建井（矿）地质报告；掘、采前,应当编制地质说明书，掌握地质构造、岩浆岩体、陷落柱、煤层及其顶底板岩性、煤(岩)与瓦斯（二氧化碳）突出（以下简称突出）危险区、受水威胁区、技术边界、采空区、地质钻孔等情况；回采工作面形成后，应开展相关物探、钻探等补充地质工作，查明工作面内部地质构造情况，并在10日内提出回采工作面地质说明书，由矿井总工程师审批。</w:t>
            </w:r>
          </w:p>
        </w:tc>
        <w:tc>
          <w:tcPr>
            <w:tcW w:w="3448" w:type="dxa"/>
            <w:noWrap w:val="0"/>
            <w:vAlign w:val="center"/>
          </w:tcPr>
          <w:p w14:paraId="0CE38B42">
            <w:pPr>
              <w:spacing w:line="280" w:lineRule="exact"/>
              <w:jc w:val="both"/>
              <w:rPr>
                <w:rFonts w:hint="eastAsia" w:ascii="宋体" w:hAnsi="宋体" w:eastAsia="宋体" w:cs="宋体"/>
                <w:kern w:val="0"/>
                <w:sz w:val="21"/>
                <w:szCs w:val="21"/>
              </w:rPr>
            </w:pPr>
            <w:r>
              <w:rPr>
                <w:rFonts w:hint="eastAsia" w:ascii="宋体" w:hAnsi="宋体" w:eastAsia="宋体" w:cs="宋体"/>
                <w:kern w:val="0"/>
                <w:sz w:val="21"/>
                <w:szCs w:val="21"/>
              </w:rPr>
              <w:t>《煤矿地质工作规定》第十条；《煤矿安全规程》第</w:t>
            </w:r>
            <w:r>
              <w:rPr>
                <w:rFonts w:hint="eastAsia" w:ascii="宋体" w:hAnsi="宋体" w:eastAsia="宋体" w:cs="宋体"/>
                <w:kern w:val="0"/>
                <w:sz w:val="21"/>
                <w:szCs w:val="21"/>
                <w:lang w:eastAsia="zh-CN"/>
              </w:rPr>
              <w:t>三十一</w:t>
            </w:r>
            <w:r>
              <w:rPr>
                <w:rFonts w:hint="eastAsia" w:ascii="宋体" w:hAnsi="宋体" w:eastAsia="宋体" w:cs="宋体"/>
                <w:kern w:val="0"/>
                <w:sz w:val="21"/>
                <w:szCs w:val="21"/>
              </w:rPr>
              <w:t>条</w:t>
            </w:r>
            <w:r>
              <w:rPr>
                <w:rFonts w:hint="eastAsia" w:ascii="宋体" w:hAnsi="宋体" w:eastAsia="宋体" w:cs="宋体"/>
                <w:kern w:val="0"/>
                <w:sz w:val="21"/>
                <w:szCs w:val="21"/>
                <w:lang w:eastAsia="zh-CN"/>
              </w:rPr>
              <w:t>。</w:t>
            </w:r>
          </w:p>
        </w:tc>
        <w:tc>
          <w:tcPr>
            <w:tcW w:w="2497" w:type="dxa"/>
            <w:noWrap w:val="0"/>
            <w:vAlign w:val="center"/>
          </w:tcPr>
          <w:p w14:paraId="60D8AFCD">
            <w:pPr>
              <w:spacing w:line="300" w:lineRule="exact"/>
              <w:jc w:val="both"/>
              <w:rPr>
                <w:rFonts w:hint="eastAsia" w:ascii="宋体" w:hAnsi="宋体" w:eastAsia="宋体" w:cs="宋体"/>
                <w:sz w:val="21"/>
                <w:szCs w:val="21"/>
              </w:rPr>
            </w:pPr>
          </w:p>
        </w:tc>
        <w:tc>
          <w:tcPr>
            <w:tcW w:w="1926" w:type="dxa"/>
            <w:noWrap w:val="0"/>
            <w:vAlign w:val="center"/>
          </w:tcPr>
          <w:p w14:paraId="31FA90CD">
            <w:pPr>
              <w:spacing w:line="300" w:lineRule="exact"/>
              <w:jc w:val="both"/>
              <w:rPr>
                <w:rFonts w:hint="eastAsia" w:ascii="宋体" w:hAnsi="宋体" w:eastAsia="宋体" w:cs="宋体"/>
                <w:sz w:val="21"/>
                <w:szCs w:val="21"/>
              </w:rPr>
            </w:pPr>
            <w:r>
              <w:rPr>
                <w:rFonts w:hint="eastAsia" w:ascii="宋体" w:hAnsi="宋体" w:eastAsia="宋体" w:cs="宋体"/>
                <w:sz w:val="21"/>
                <w:szCs w:val="21"/>
              </w:rPr>
              <w:t>《安全生产违法行为行政处罚办法》第四十五条第一项</w:t>
            </w:r>
            <w:r>
              <w:rPr>
                <w:rFonts w:hint="eastAsia" w:ascii="宋体" w:hAnsi="宋体" w:eastAsia="宋体" w:cs="宋体"/>
                <w:sz w:val="21"/>
                <w:szCs w:val="21"/>
                <w:lang w:eastAsia="zh-CN"/>
              </w:rPr>
              <w:t>。</w:t>
            </w:r>
          </w:p>
        </w:tc>
        <w:tc>
          <w:tcPr>
            <w:tcW w:w="1224" w:type="dxa"/>
            <w:noWrap w:val="0"/>
            <w:vAlign w:val="center"/>
          </w:tcPr>
          <w:p w14:paraId="36BDDF73">
            <w:pPr>
              <w:spacing w:line="300" w:lineRule="exact"/>
              <w:jc w:val="both"/>
              <w:rPr>
                <w:rFonts w:hint="eastAsia" w:ascii="宋体" w:hAnsi="宋体" w:eastAsia="宋体" w:cs="宋体"/>
                <w:sz w:val="21"/>
                <w:szCs w:val="21"/>
              </w:rPr>
            </w:pPr>
          </w:p>
        </w:tc>
      </w:tr>
      <w:tr w14:paraId="78FDD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23" w:type="dxa"/>
            <w:noWrap w:val="0"/>
            <w:vAlign w:val="center"/>
          </w:tcPr>
          <w:p w14:paraId="4A188C22">
            <w:pPr>
              <w:spacing w:line="300" w:lineRule="exact"/>
              <w:jc w:val="center"/>
              <w:rPr>
                <w:rFonts w:hint="eastAsia" w:ascii="宋体" w:hAnsi="宋体" w:eastAsia="宋体" w:cs="宋体"/>
                <w:color w:val="0000FF"/>
                <w:kern w:val="0"/>
                <w:sz w:val="21"/>
                <w:szCs w:val="21"/>
                <w:lang w:eastAsia="zh-CN"/>
              </w:rPr>
            </w:pPr>
            <w:r>
              <w:rPr>
                <w:rFonts w:hint="eastAsia" w:ascii="宋体" w:hAnsi="宋体" w:eastAsia="宋体" w:cs="宋体"/>
                <w:color w:val="auto"/>
                <w:kern w:val="0"/>
                <w:sz w:val="21"/>
                <w:szCs w:val="21"/>
              </w:rPr>
              <w:t>1</w:t>
            </w:r>
            <w:r>
              <w:rPr>
                <w:rFonts w:hint="eastAsia" w:ascii="宋体" w:hAnsi="宋体" w:eastAsia="宋体" w:cs="宋体"/>
                <w:color w:val="auto"/>
                <w:kern w:val="0"/>
                <w:sz w:val="21"/>
                <w:szCs w:val="21"/>
                <w:lang w:val="en-US" w:eastAsia="zh-CN"/>
              </w:rPr>
              <w:t>1</w:t>
            </w:r>
          </w:p>
        </w:tc>
        <w:tc>
          <w:tcPr>
            <w:tcW w:w="4670" w:type="dxa"/>
            <w:noWrap w:val="0"/>
            <w:vAlign w:val="center"/>
          </w:tcPr>
          <w:p w14:paraId="50BE2376">
            <w:pPr>
              <w:spacing w:line="280" w:lineRule="exact"/>
              <w:ind w:firstLine="210" w:firstLineChars="100"/>
              <w:jc w:val="both"/>
              <w:rPr>
                <w:rFonts w:hint="eastAsia" w:ascii="宋体" w:hAnsi="宋体" w:eastAsia="宋体" w:cs="宋体"/>
                <w:sz w:val="21"/>
                <w:szCs w:val="21"/>
              </w:rPr>
            </w:pPr>
            <w:r>
              <w:rPr>
                <w:rFonts w:hint="eastAsia" w:ascii="宋体" w:hAnsi="宋体" w:eastAsia="宋体" w:cs="宋体"/>
                <w:sz w:val="21"/>
                <w:szCs w:val="21"/>
                <w:lang w:val="zh-CN"/>
              </w:rPr>
              <w:t>工作面回采前，应当查清采煤工作面及周边老空水、含水层富水性和断层、陷落柱含（导）水性等情况。地测部门应当提出专门水文地质情况评价报告和水害隐患治理情况分析报告，经煤矿总工程师组织生产、安检、地测等有关单位审批后，方可回采。发现断层、裂隙或者陷落柱等构造充水的，应当采取注浆加固或者留设防隔水煤（岩）柱等安全措施，否则不得回采。</w:t>
            </w:r>
          </w:p>
        </w:tc>
        <w:tc>
          <w:tcPr>
            <w:tcW w:w="3448" w:type="dxa"/>
            <w:noWrap w:val="0"/>
            <w:vAlign w:val="center"/>
          </w:tcPr>
          <w:p w14:paraId="2BB9B388">
            <w:pPr>
              <w:spacing w:line="280" w:lineRule="exact"/>
              <w:jc w:val="both"/>
              <w:rPr>
                <w:rFonts w:hint="eastAsia" w:ascii="宋体" w:hAnsi="宋体" w:eastAsia="宋体" w:cs="宋体"/>
                <w:sz w:val="21"/>
                <w:szCs w:val="21"/>
              </w:rPr>
            </w:pPr>
            <w:r>
              <w:rPr>
                <w:rFonts w:hint="eastAsia" w:ascii="宋体" w:hAnsi="宋体" w:eastAsia="宋体" w:cs="宋体"/>
                <w:sz w:val="21"/>
                <w:szCs w:val="21"/>
                <w:lang w:val="zh-CN"/>
              </w:rPr>
              <w:t>《煤矿防治水细则》第四十一条。</w:t>
            </w:r>
          </w:p>
        </w:tc>
        <w:tc>
          <w:tcPr>
            <w:tcW w:w="2497" w:type="dxa"/>
            <w:noWrap w:val="0"/>
            <w:vAlign w:val="center"/>
          </w:tcPr>
          <w:p w14:paraId="4DC0683D">
            <w:pPr>
              <w:spacing w:line="300" w:lineRule="exact"/>
              <w:jc w:val="both"/>
              <w:rPr>
                <w:rFonts w:hint="eastAsia" w:ascii="宋体" w:hAnsi="宋体" w:eastAsia="宋体" w:cs="宋体"/>
                <w:sz w:val="21"/>
                <w:szCs w:val="21"/>
              </w:rPr>
            </w:pPr>
          </w:p>
        </w:tc>
        <w:tc>
          <w:tcPr>
            <w:tcW w:w="1926" w:type="dxa"/>
            <w:noWrap w:val="0"/>
            <w:vAlign w:val="center"/>
          </w:tcPr>
          <w:p w14:paraId="2D156FB5">
            <w:pPr>
              <w:spacing w:line="300" w:lineRule="exact"/>
              <w:jc w:val="both"/>
              <w:rPr>
                <w:rFonts w:hint="eastAsia" w:ascii="宋体" w:hAnsi="宋体" w:eastAsia="宋体" w:cs="宋体"/>
                <w:sz w:val="21"/>
                <w:szCs w:val="21"/>
              </w:rPr>
            </w:pPr>
            <w:r>
              <w:rPr>
                <w:rFonts w:hint="eastAsia" w:ascii="宋体" w:hAnsi="宋体" w:eastAsia="宋体" w:cs="宋体"/>
                <w:sz w:val="21"/>
                <w:szCs w:val="21"/>
              </w:rPr>
              <w:t>《安全生产违法行为行政处罚办法》第四十五条第一项</w:t>
            </w:r>
            <w:r>
              <w:rPr>
                <w:rFonts w:hint="eastAsia" w:ascii="宋体" w:hAnsi="宋体" w:eastAsia="宋体" w:cs="宋体"/>
                <w:sz w:val="21"/>
                <w:szCs w:val="21"/>
                <w:lang w:eastAsia="zh-CN"/>
              </w:rPr>
              <w:t>。</w:t>
            </w:r>
          </w:p>
        </w:tc>
        <w:tc>
          <w:tcPr>
            <w:tcW w:w="1224" w:type="dxa"/>
            <w:noWrap w:val="0"/>
            <w:vAlign w:val="center"/>
          </w:tcPr>
          <w:p w14:paraId="769E4479">
            <w:pPr>
              <w:spacing w:line="300" w:lineRule="exact"/>
              <w:jc w:val="both"/>
              <w:rPr>
                <w:rFonts w:hint="eastAsia" w:ascii="宋体" w:hAnsi="宋体" w:eastAsia="宋体" w:cs="宋体"/>
                <w:sz w:val="21"/>
                <w:szCs w:val="21"/>
              </w:rPr>
            </w:pPr>
          </w:p>
        </w:tc>
      </w:tr>
      <w:tr w14:paraId="2D18C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23" w:type="dxa"/>
            <w:noWrap w:val="0"/>
            <w:vAlign w:val="center"/>
          </w:tcPr>
          <w:p w14:paraId="27F4F190">
            <w:pPr>
              <w:spacing w:line="300" w:lineRule="exact"/>
              <w:jc w:val="center"/>
              <w:rPr>
                <w:rFonts w:ascii="仿宋_GB2312"/>
                <w:sz w:val="21"/>
                <w:szCs w:val="21"/>
              </w:rPr>
            </w:pPr>
            <w:r>
              <w:rPr>
                <w:rFonts w:hint="eastAsia" w:ascii="仿宋_GB2312"/>
                <w:sz w:val="21"/>
                <w:szCs w:val="21"/>
              </w:rPr>
              <w:t>12</w:t>
            </w:r>
          </w:p>
        </w:tc>
        <w:tc>
          <w:tcPr>
            <w:tcW w:w="4670" w:type="dxa"/>
            <w:noWrap w:val="0"/>
            <w:vAlign w:val="center"/>
          </w:tcPr>
          <w:p w14:paraId="5F162FA2">
            <w:pPr>
              <w:spacing w:line="280" w:lineRule="exact"/>
              <w:ind w:firstLine="210" w:firstLineChars="100"/>
              <w:jc w:val="both"/>
              <w:rPr>
                <w:rFonts w:hint="eastAsia" w:ascii="仿宋_GB2312"/>
                <w:color w:val="000000"/>
                <w:sz w:val="21"/>
                <w:szCs w:val="21"/>
                <w:lang w:val="zh-CN"/>
              </w:rPr>
            </w:pPr>
            <w:r>
              <w:rPr>
                <w:rFonts w:hint="eastAsia" w:ascii="仿宋_GB2312"/>
                <w:color w:val="000000"/>
                <w:sz w:val="21"/>
                <w:szCs w:val="21"/>
                <w:lang w:val="zh-CN"/>
              </w:rPr>
              <w:t>煤矿必须对揭露的煤层、断层、褶皱、岩浆岩体、陷落柱、含水岩层,矿井涌水量及主要出水点等进行观测及描述，实施地质预测、预报。地质预报应做到期前预报、期末总结，预报与实际出入较大时，应分析原因，总结经验，提高地质预报质量。</w:t>
            </w:r>
          </w:p>
        </w:tc>
        <w:tc>
          <w:tcPr>
            <w:tcW w:w="3448" w:type="dxa"/>
            <w:noWrap w:val="0"/>
            <w:vAlign w:val="center"/>
          </w:tcPr>
          <w:p w14:paraId="233FDC12">
            <w:pPr>
              <w:spacing w:line="280" w:lineRule="exact"/>
              <w:jc w:val="both"/>
              <w:rPr>
                <w:rFonts w:hint="eastAsia" w:ascii="仿宋_GB2312"/>
                <w:color w:val="000000"/>
                <w:sz w:val="21"/>
                <w:szCs w:val="21"/>
              </w:rPr>
            </w:pPr>
            <w:r>
              <w:rPr>
                <w:rFonts w:hint="eastAsia" w:ascii="仿宋_GB2312"/>
                <w:color w:val="000000"/>
                <w:sz w:val="21"/>
                <w:szCs w:val="21"/>
              </w:rPr>
              <w:t>《煤矿地质工作规定》第五十九条；《煤矿地质工作规定》第五十八条第三项</w:t>
            </w:r>
            <w:r>
              <w:rPr>
                <w:rFonts w:hint="eastAsia" w:ascii="仿宋_GB2312"/>
                <w:color w:val="000000"/>
                <w:sz w:val="21"/>
                <w:szCs w:val="21"/>
                <w:lang w:eastAsia="zh-CN"/>
              </w:rPr>
              <w:t>。</w:t>
            </w:r>
          </w:p>
        </w:tc>
        <w:tc>
          <w:tcPr>
            <w:tcW w:w="2497" w:type="dxa"/>
            <w:noWrap w:val="0"/>
            <w:vAlign w:val="center"/>
          </w:tcPr>
          <w:p w14:paraId="36526455">
            <w:pPr>
              <w:spacing w:line="300" w:lineRule="exact"/>
              <w:jc w:val="both"/>
              <w:rPr>
                <w:rFonts w:hint="eastAsia" w:ascii="仿宋_GB2312"/>
                <w:color w:val="000000"/>
                <w:sz w:val="21"/>
                <w:szCs w:val="21"/>
              </w:rPr>
            </w:pPr>
          </w:p>
        </w:tc>
        <w:tc>
          <w:tcPr>
            <w:tcW w:w="1926" w:type="dxa"/>
            <w:noWrap w:val="0"/>
            <w:vAlign w:val="center"/>
          </w:tcPr>
          <w:p w14:paraId="607C91EF">
            <w:pPr>
              <w:spacing w:line="300" w:lineRule="exact"/>
              <w:jc w:val="both"/>
              <w:rPr>
                <w:rFonts w:hint="eastAsia" w:ascii="仿宋_GB2312" w:hAnsi="Times New Roman" w:cs="Times New Roman"/>
                <w:color w:val="000000"/>
                <w:sz w:val="21"/>
                <w:szCs w:val="21"/>
              </w:rPr>
            </w:pPr>
            <w:r>
              <w:rPr>
                <w:rFonts w:hint="eastAsia" w:ascii="仿宋_GB2312" w:hAnsi="Times New Roman" w:cs="Times New Roman"/>
                <w:color w:val="000000"/>
                <w:sz w:val="21"/>
                <w:szCs w:val="21"/>
                <w:lang w:val="en-US" w:eastAsia="zh-CN"/>
              </w:rPr>
              <w:t>《中华人民共和国安全生产法》第六十二条第一款第二项。</w:t>
            </w:r>
          </w:p>
          <w:p w14:paraId="310BDCA4">
            <w:pPr>
              <w:spacing w:line="300" w:lineRule="exact"/>
              <w:jc w:val="both"/>
              <w:rPr>
                <w:rFonts w:hint="eastAsia" w:ascii="仿宋_GB2312"/>
                <w:color w:val="000000"/>
                <w:sz w:val="21"/>
                <w:szCs w:val="21"/>
              </w:rPr>
            </w:pPr>
          </w:p>
        </w:tc>
        <w:tc>
          <w:tcPr>
            <w:tcW w:w="1224" w:type="dxa"/>
            <w:noWrap w:val="0"/>
            <w:vAlign w:val="center"/>
          </w:tcPr>
          <w:p w14:paraId="6878C53E">
            <w:pPr>
              <w:spacing w:line="300" w:lineRule="exact"/>
              <w:jc w:val="both"/>
              <w:rPr>
                <w:rFonts w:hint="eastAsia" w:ascii="仿宋_GB2312"/>
                <w:sz w:val="21"/>
                <w:szCs w:val="21"/>
              </w:rPr>
            </w:pPr>
          </w:p>
        </w:tc>
      </w:tr>
      <w:tr w14:paraId="303BB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23" w:type="dxa"/>
            <w:noWrap w:val="0"/>
            <w:vAlign w:val="center"/>
          </w:tcPr>
          <w:p w14:paraId="06A1139F">
            <w:pPr>
              <w:spacing w:line="300" w:lineRule="exact"/>
              <w:jc w:val="center"/>
              <w:rPr>
                <w:rFonts w:ascii="仿宋_GB2312"/>
                <w:sz w:val="21"/>
                <w:szCs w:val="21"/>
              </w:rPr>
            </w:pPr>
            <w:r>
              <w:rPr>
                <w:rFonts w:hint="eastAsia" w:ascii="仿宋_GB2312"/>
                <w:sz w:val="21"/>
                <w:szCs w:val="21"/>
              </w:rPr>
              <w:t>13</w:t>
            </w:r>
          </w:p>
        </w:tc>
        <w:tc>
          <w:tcPr>
            <w:tcW w:w="4670" w:type="dxa"/>
            <w:noWrap w:val="0"/>
            <w:vAlign w:val="center"/>
          </w:tcPr>
          <w:p w14:paraId="310DF512">
            <w:pPr>
              <w:spacing w:line="280" w:lineRule="exact"/>
              <w:ind w:firstLine="210" w:firstLineChars="100"/>
              <w:jc w:val="both"/>
              <w:rPr>
                <w:rFonts w:hint="eastAsia" w:ascii="宋体" w:hAnsi="宋体" w:eastAsia="宋体" w:cs="宋体"/>
                <w:color w:val="000000"/>
                <w:sz w:val="21"/>
                <w:szCs w:val="21"/>
              </w:rPr>
            </w:pPr>
            <w:r>
              <w:rPr>
                <w:rFonts w:hint="eastAsia" w:ascii="宋体" w:hAnsi="宋体" w:eastAsia="宋体" w:cs="宋体"/>
                <w:color w:val="000000"/>
                <w:sz w:val="21"/>
                <w:szCs w:val="21"/>
              </w:rPr>
              <w:t>煤矿应当根据本单位的水害情况，配备满足工作需要的防治水专业技术人员，配齐专用的探放水设备，建立专门的探放水作业队伍，储备必要的水害抢险救灾设备和物资。</w:t>
            </w:r>
          </w:p>
          <w:p w14:paraId="59E50752">
            <w:pPr>
              <w:spacing w:line="280" w:lineRule="exact"/>
              <w:jc w:val="both"/>
              <w:rPr>
                <w:rFonts w:hint="eastAsia" w:ascii="宋体" w:hAnsi="宋体" w:eastAsia="宋体" w:cs="宋体"/>
                <w:color w:val="000000"/>
                <w:kern w:val="0"/>
                <w:sz w:val="21"/>
                <w:szCs w:val="21"/>
              </w:rPr>
            </w:pPr>
            <w:r>
              <w:rPr>
                <w:rFonts w:hint="eastAsia" w:ascii="宋体" w:hAnsi="宋体" w:eastAsia="宋体" w:cs="宋体"/>
                <w:color w:val="000000"/>
                <w:sz w:val="21"/>
                <w:szCs w:val="21"/>
              </w:rPr>
              <w:t>水文地质类型复杂、极复杂的煤矿，还应当设立专门的防治水机构、配备防治水副总工程师。</w:t>
            </w:r>
          </w:p>
        </w:tc>
        <w:tc>
          <w:tcPr>
            <w:tcW w:w="3448" w:type="dxa"/>
            <w:noWrap w:val="0"/>
            <w:vAlign w:val="center"/>
          </w:tcPr>
          <w:p w14:paraId="69FCD436">
            <w:pPr>
              <w:spacing w:line="280" w:lineRule="exact"/>
              <w:ind w:firstLine="210" w:firstLineChars="100"/>
              <w:jc w:val="both"/>
              <w:rPr>
                <w:rFonts w:hint="eastAsia" w:ascii="宋体" w:hAnsi="宋体" w:eastAsia="宋体" w:cs="宋体"/>
                <w:color w:val="000000"/>
                <w:sz w:val="21"/>
                <w:szCs w:val="21"/>
              </w:rPr>
            </w:pPr>
            <w:r>
              <w:rPr>
                <w:rFonts w:hint="eastAsia" w:ascii="宋体" w:hAnsi="宋体" w:eastAsia="宋体" w:cs="宋体"/>
                <w:color w:val="000000"/>
                <w:sz w:val="21"/>
                <w:szCs w:val="21"/>
              </w:rPr>
              <w:t>《煤矿防治水细则》第五条；《煤矿重大事故隐患判定标准》解读第九条第二项</w:t>
            </w:r>
            <w:r>
              <w:rPr>
                <w:rFonts w:hint="eastAsia" w:ascii="宋体" w:hAnsi="宋体" w:eastAsia="宋体" w:cs="宋体"/>
                <w:color w:val="000000"/>
                <w:sz w:val="21"/>
                <w:szCs w:val="21"/>
                <w:lang w:eastAsia="zh-CN"/>
              </w:rPr>
              <w:t>。</w:t>
            </w:r>
          </w:p>
        </w:tc>
        <w:tc>
          <w:tcPr>
            <w:tcW w:w="2497" w:type="dxa"/>
            <w:noWrap w:val="0"/>
            <w:vAlign w:val="center"/>
          </w:tcPr>
          <w:p w14:paraId="59774DAB">
            <w:pPr>
              <w:spacing w:line="300" w:lineRule="exact"/>
              <w:jc w:val="both"/>
              <w:rPr>
                <w:rFonts w:hint="eastAsia" w:ascii="宋体" w:hAnsi="宋体" w:eastAsia="宋体" w:cs="宋体"/>
                <w:color w:val="000000"/>
                <w:sz w:val="21"/>
                <w:szCs w:val="21"/>
              </w:rPr>
            </w:pPr>
          </w:p>
        </w:tc>
        <w:tc>
          <w:tcPr>
            <w:tcW w:w="1926" w:type="dxa"/>
            <w:noWrap w:val="0"/>
            <w:vAlign w:val="center"/>
          </w:tcPr>
          <w:p w14:paraId="1C0084BF">
            <w:pPr>
              <w:spacing w:line="300" w:lineRule="exact"/>
              <w:jc w:val="both"/>
              <w:rPr>
                <w:rFonts w:hint="eastAsia" w:ascii="宋体" w:hAnsi="宋体" w:eastAsia="宋体" w:cs="宋体"/>
                <w:color w:val="000000"/>
                <w:sz w:val="21"/>
                <w:szCs w:val="21"/>
              </w:rPr>
            </w:pPr>
            <w:r>
              <w:rPr>
                <w:rFonts w:hint="eastAsia" w:ascii="宋体" w:hAnsi="宋体" w:eastAsia="宋体" w:cs="宋体"/>
                <w:color w:val="000000"/>
                <w:sz w:val="21"/>
                <w:szCs w:val="21"/>
              </w:rPr>
              <w:t>《国务院关于预防煤矿生产安全事故的特别规定》第八条第六项，第十五项，第十条第一款，第十一条第一款；《中华人民共和国安全生产法》第九十七条第七项、第一百零二条</w:t>
            </w:r>
            <w:r>
              <w:rPr>
                <w:rFonts w:hint="eastAsia" w:ascii="宋体" w:hAnsi="宋体" w:eastAsia="宋体" w:cs="宋体"/>
                <w:color w:val="000000"/>
                <w:sz w:val="21"/>
                <w:szCs w:val="21"/>
                <w:lang w:eastAsia="zh-CN"/>
              </w:rPr>
              <w:t>。</w:t>
            </w:r>
          </w:p>
        </w:tc>
        <w:tc>
          <w:tcPr>
            <w:tcW w:w="1224" w:type="dxa"/>
            <w:noWrap w:val="0"/>
            <w:vAlign w:val="center"/>
          </w:tcPr>
          <w:p w14:paraId="4025D5D1">
            <w:pPr>
              <w:spacing w:line="300" w:lineRule="exact"/>
              <w:jc w:val="both"/>
              <w:rPr>
                <w:rFonts w:hint="eastAsia" w:ascii="宋体" w:hAnsi="宋体" w:eastAsia="宋体" w:cs="宋体"/>
                <w:sz w:val="21"/>
                <w:szCs w:val="21"/>
              </w:rPr>
            </w:pPr>
          </w:p>
        </w:tc>
      </w:tr>
      <w:tr w14:paraId="3800C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23" w:type="dxa"/>
            <w:noWrap w:val="0"/>
            <w:vAlign w:val="center"/>
          </w:tcPr>
          <w:p w14:paraId="39E4F365">
            <w:pPr>
              <w:spacing w:line="300" w:lineRule="exact"/>
              <w:jc w:val="center"/>
              <w:rPr>
                <w:rFonts w:ascii="仿宋_GB2312"/>
                <w:sz w:val="21"/>
                <w:szCs w:val="21"/>
              </w:rPr>
            </w:pPr>
            <w:r>
              <w:rPr>
                <w:rFonts w:hint="eastAsia" w:ascii="仿宋_GB2312"/>
                <w:sz w:val="21"/>
                <w:szCs w:val="21"/>
              </w:rPr>
              <w:t>14</w:t>
            </w:r>
          </w:p>
        </w:tc>
        <w:tc>
          <w:tcPr>
            <w:tcW w:w="4670" w:type="dxa"/>
            <w:noWrap w:val="0"/>
            <w:vAlign w:val="center"/>
          </w:tcPr>
          <w:p w14:paraId="04F53AA0">
            <w:pPr>
              <w:spacing w:line="280" w:lineRule="exact"/>
              <w:ind w:firstLine="210" w:firstLineChars="100"/>
              <w:jc w:val="both"/>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在地面无法查明水文地质条件时，应当在采掘前采用物探、钻探或者化探等方法查清采掘工作面及其周围的水文地质条件。严格执行井下探放水“三专”要求。由专业技术人员编制探放水设计，采用专用钻机进行探放水，由专职探放水队伍施工。严禁使用非专用钻机探放水。严禁使用煤电钻探放水。</w:t>
            </w:r>
          </w:p>
        </w:tc>
        <w:tc>
          <w:tcPr>
            <w:tcW w:w="3448" w:type="dxa"/>
            <w:noWrap w:val="0"/>
            <w:vAlign w:val="center"/>
          </w:tcPr>
          <w:p w14:paraId="39C2A53D">
            <w:pPr>
              <w:spacing w:line="280" w:lineRule="exact"/>
              <w:jc w:val="both"/>
              <w:rPr>
                <w:rFonts w:hint="eastAsia" w:ascii="宋体" w:hAnsi="宋体" w:eastAsia="宋体" w:cs="宋体"/>
                <w:color w:val="000000"/>
                <w:w w:val="80"/>
                <w:sz w:val="21"/>
                <w:szCs w:val="21"/>
              </w:rPr>
            </w:pPr>
            <w:r>
              <w:rPr>
                <w:rFonts w:hint="eastAsia" w:ascii="宋体" w:hAnsi="宋体" w:eastAsia="宋体" w:cs="宋体"/>
                <w:color w:val="000000"/>
                <w:kern w:val="0"/>
                <w:sz w:val="21"/>
                <w:szCs w:val="21"/>
              </w:rPr>
              <w:t>《煤矿安全规程》第三百一十七条第一款；《煤矿重大事故隐患判定标准》解读第九条第三项；</w:t>
            </w:r>
            <w:r>
              <w:rPr>
                <w:rFonts w:hint="eastAsia" w:ascii="宋体" w:hAnsi="宋体" w:eastAsia="宋体" w:cs="宋体"/>
                <w:color w:val="000000"/>
                <w:sz w:val="21"/>
                <w:szCs w:val="21"/>
              </w:rPr>
              <w:t>《煤矿防治水细则》第三十九条第一款</w:t>
            </w:r>
            <w:r>
              <w:rPr>
                <w:rFonts w:hint="eastAsia" w:ascii="宋体" w:hAnsi="宋体" w:eastAsia="宋体" w:cs="宋体"/>
                <w:color w:val="000000"/>
                <w:sz w:val="21"/>
                <w:szCs w:val="21"/>
                <w:lang w:eastAsia="zh-CN"/>
              </w:rPr>
              <w:t>。</w:t>
            </w:r>
          </w:p>
        </w:tc>
        <w:tc>
          <w:tcPr>
            <w:tcW w:w="2497" w:type="dxa"/>
            <w:noWrap w:val="0"/>
            <w:vAlign w:val="center"/>
          </w:tcPr>
          <w:p w14:paraId="553AA3CE">
            <w:pPr>
              <w:spacing w:line="300" w:lineRule="exact"/>
              <w:jc w:val="both"/>
              <w:rPr>
                <w:rFonts w:hint="eastAsia" w:ascii="宋体" w:hAnsi="宋体" w:eastAsia="宋体" w:cs="宋体"/>
                <w:color w:val="000000"/>
                <w:sz w:val="21"/>
                <w:szCs w:val="21"/>
              </w:rPr>
            </w:pPr>
          </w:p>
        </w:tc>
        <w:tc>
          <w:tcPr>
            <w:tcW w:w="1926" w:type="dxa"/>
            <w:noWrap w:val="0"/>
            <w:vAlign w:val="center"/>
          </w:tcPr>
          <w:p w14:paraId="1CBD06FB">
            <w:pPr>
              <w:spacing w:line="300" w:lineRule="exact"/>
              <w:jc w:val="both"/>
              <w:rPr>
                <w:rFonts w:hint="eastAsia" w:ascii="宋体" w:hAnsi="宋体" w:eastAsia="宋体" w:cs="宋体"/>
                <w:color w:val="000000"/>
                <w:sz w:val="21"/>
                <w:szCs w:val="21"/>
              </w:rPr>
            </w:pPr>
            <w:r>
              <w:rPr>
                <w:rFonts w:hint="eastAsia" w:ascii="宋体" w:hAnsi="宋体" w:eastAsia="宋体" w:cs="宋体"/>
                <w:color w:val="000000"/>
                <w:sz w:val="21"/>
                <w:szCs w:val="21"/>
              </w:rPr>
              <w:t>《安全生产违法行为行政处罚办法》第四十五条第一项</w:t>
            </w:r>
            <w:r>
              <w:rPr>
                <w:rFonts w:hint="eastAsia" w:ascii="宋体" w:hAnsi="宋体" w:eastAsia="宋体" w:cs="宋体"/>
                <w:color w:val="000000"/>
                <w:sz w:val="21"/>
                <w:szCs w:val="21"/>
                <w:lang w:eastAsia="zh-CN"/>
              </w:rPr>
              <w:t>。</w:t>
            </w:r>
          </w:p>
        </w:tc>
        <w:tc>
          <w:tcPr>
            <w:tcW w:w="1224" w:type="dxa"/>
            <w:noWrap w:val="0"/>
            <w:vAlign w:val="center"/>
          </w:tcPr>
          <w:p w14:paraId="600F0114">
            <w:pPr>
              <w:spacing w:line="300" w:lineRule="exact"/>
              <w:jc w:val="both"/>
              <w:rPr>
                <w:rFonts w:hint="eastAsia" w:ascii="宋体" w:hAnsi="宋体" w:eastAsia="宋体" w:cs="宋体"/>
                <w:sz w:val="21"/>
                <w:szCs w:val="21"/>
              </w:rPr>
            </w:pPr>
          </w:p>
        </w:tc>
      </w:tr>
      <w:tr w14:paraId="29A7C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23" w:type="dxa"/>
            <w:noWrap w:val="0"/>
            <w:vAlign w:val="center"/>
          </w:tcPr>
          <w:p w14:paraId="67CE8975">
            <w:pPr>
              <w:spacing w:line="300" w:lineRule="exact"/>
              <w:jc w:val="center"/>
              <w:rPr>
                <w:rFonts w:ascii="仿宋_GB2312"/>
                <w:sz w:val="21"/>
                <w:szCs w:val="21"/>
              </w:rPr>
            </w:pPr>
            <w:r>
              <w:rPr>
                <w:rFonts w:hint="eastAsia" w:ascii="仿宋_GB2312"/>
                <w:sz w:val="21"/>
                <w:szCs w:val="21"/>
              </w:rPr>
              <w:t>15</w:t>
            </w:r>
          </w:p>
        </w:tc>
        <w:tc>
          <w:tcPr>
            <w:tcW w:w="4670" w:type="dxa"/>
            <w:noWrap w:val="0"/>
            <w:vAlign w:val="center"/>
          </w:tcPr>
          <w:p w14:paraId="55B674A3">
            <w:pPr>
              <w:spacing w:line="280" w:lineRule="exact"/>
              <w:ind w:firstLine="210" w:firstLineChars="100"/>
              <w:jc w:val="both"/>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采掘工作面接近水淹或者可能积水的井巷、老空区或者相邻煤矿；接近含水层、导水断层、溶洞和导水陷落柱；打开隔离煤柱放水；接近可能与河流、湖泊、水库、蓄水池、水井等相通的导水通道；接近有出水可能的钻孔；接近水文地质条件不清的区域；接近有积水的灌浆区；接近其他可能突(透)水的区域应当进行探放水。</w:t>
            </w:r>
          </w:p>
          <w:p w14:paraId="6B343720">
            <w:pPr>
              <w:spacing w:line="280" w:lineRule="exact"/>
              <w:jc w:val="both"/>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严禁采掘工作面边探放水边进行采掘活动。</w:t>
            </w:r>
          </w:p>
        </w:tc>
        <w:tc>
          <w:tcPr>
            <w:tcW w:w="3448" w:type="dxa"/>
            <w:noWrap w:val="0"/>
            <w:vAlign w:val="center"/>
          </w:tcPr>
          <w:p w14:paraId="248773F6">
            <w:pPr>
              <w:spacing w:line="280" w:lineRule="exact"/>
              <w:jc w:val="both"/>
              <w:rPr>
                <w:rFonts w:hint="eastAsia" w:ascii="宋体" w:hAnsi="宋体" w:eastAsia="宋体" w:cs="宋体"/>
                <w:color w:val="000000"/>
                <w:w w:val="80"/>
                <w:sz w:val="21"/>
                <w:szCs w:val="21"/>
              </w:rPr>
            </w:pPr>
            <w:r>
              <w:rPr>
                <w:rFonts w:hint="eastAsia" w:ascii="宋体" w:hAnsi="宋体" w:eastAsia="宋体" w:cs="宋体"/>
                <w:color w:val="000000"/>
                <w:sz w:val="21"/>
                <w:szCs w:val="21"/>
              </w:rPr>
              <w:t>《煤矿安全规程》第三百一十七条第二款；《煤矿重大事故隐患判定标准》解读第九条第三项</w:t>
            </w:r>
            <w:r>
              <w:rPr>
                <w:rFonts w:hint="eastAsia" w:ascii="宋体" w:hAnsi="宋体" w:eastAsia="宋体" w:cs="宋体"/>
                <w:color w:val="000000"/>
                <w:sz w:val="21"/>
                <w:szCs w:val="21"/>
                <w:lang w:eastAsia="zh-CN"/>
              </w:rPr>
              <w:t>。</w:t>
            </w:r>
          </w:p>
        </w:tc>
        <w:tc>
          <w:tcPr>
            <w:tcW w:w="2497" w:type="dxa"/>
            <w:noWrap w:val="0"/>
            <w:vAlign w:val="center"/>
          </w:tcPr>
          <w:p w14:paraId="3585E481">
            <w:pPr>
              <w:spacing w:line="300" w:lineRule="exact"/>
              <w:jc w:val="both"/>
              <w:rPr>
                <w:rFonts w:hint="eastAsia" w:ascii="宋体" w:hAnsi="宋体" w:eastAsia="宋体" w:cs="宋体"/>
                <w:color w:val="000000"/>
                <w:sz w:val="21"/>
                <w:szCs w:val="21"/>
              </w:rPr>
            </w:pPr>
          </w:p>
        </w:tc>
        <w:tc>
          <w:tcPr>
            <w:tcW w:w="1926" w:type="dxa"/>
            <w:noWrap w:val="0"/>
            <w:vAlign w:val="center"/>
          </w:tcPr>
          <w:p w14:paraId="72B6EFB6">
            <w:pPr>
              <w:spacing w:line="300" w:lineRule="exact"/>
              <w:jc w:val="both"/>
              <w:rPr>
                <w:rFonts w:hint="eastAsia" w:ascii="宋体" w:hAnsi="宋体" w:eastAsia="宋体" w:cs="宋体"/>
                <w:color w:val="000000"/>
                <w:sz w:val="21"/>
                <w:szCs w:val="21"/>
              </w:rPr>
            </w:pPr>
            <w:r>
              <w:rPr>
                <w:rFonts w:hint="eastAsia" w:ascii="宋体" w:hAnsi="宋体" w:eastAsia="宋体" w:cs="宋体"/>
                <w:color w:val="000000"/>
                <w:sz w:val="21"/>
                <w:szCs w:val="21"/>
              </w:rPr>
              <w:t>《安全生产违法行为行政处罚办法》第四十五条第一项</w:t>
            </w:r>
            <w:r>
              <w:rPr>
                <w:rFonts w:hint="eastAsia" w:ascii="宋体" w:hAnsi="宋体" w:eastAsia="宋体" w:cs="宋体"/>
                <w:color w:val="000000"/>
                <w:sz w:val="21"/>
                <w:szCs w:val="21"/>
                <w:lang w:eastAsia="zh-CN"/>
              </w:rPr>
              <w:t>。</w:t>
            </w:r>
          </w:p>
        </w:tc>
        <w:tc>
          <w:tcPr>
            <w:tcW w:w="1224" w:type="dxa"/>
            <w:noWrap w:val="0"/>
            <w:vAlign w:val="center"/>
          </w:tcPr>
          <w:p w14:paraId="7D0A23A6">
            <w:pPr>
              <w:spacing w:line="300" w:lineRule="exact"/>
              <w:jc w:val="both"/>
              <w:rPr>
                <w:rFonts w:hint="eastAsia" w:ascii="宋体" w:hAnsi="宋体" w:eastAsia="宋体" w:cs="宋体"/>
                <w:sz w:val="21"/>
                <w:szCs w:val="21"/>
              </w:rPr>
            </w:pPr>
          </w:p>
        </w:tc>
      </w:tr>
      <w:tr w14:paraId="372E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23" w:type="dxa"/>
            <w:noWrap w:val="0"/>
            <w:vAlign w:val="center"/>
          </w:tcPr>
          <w:p w14:paraId="6006D078">
            <w:pPr>
              <w:spacing w:line="300" w:lineRule="exact"/>
              <w:jc w:val="center"/>
              <w:rPr>
                <w:rFonts w:hint="eastAsia" w:ascii="仿宋_GB2312"/>
                <w:sz w:val="21"/>
                <w:szCs w:val="21"/>
              </w:rPr>
            </w:pPr>
            <w:r>
              <w:rPr>
                <w:rFonts w:hint="eastAsia" w:ascii="仿宋_GB2312"/>
                <w:sz w:val="21"/>
                <w:szCs w:val="21"/>
              </w:rPr>
              <w:t>16</w:t>
            </w:r>
          </w:p>
        </w:tc>
        <w:tc>
          <w:tcPr>
            <w:tcW w:w="4670" w:type="dxa"/>
            <w:noWrap w:val="0"/>
            <w:vAlign w:val="center"/>
          </w:tcPr>
          <w:p w14:paraId="1EB22777">
            <w:pPr>
              <w:spacing w:line="280" w:lineRule="exact"/>
              <w:ind w:firstLine="210" w:firstLineChars="100"/>
              <w:jc w:val="both"/>
              <w:rPr>
                <w:rFonts w:hint="eastAsia" w:ascii="宋体" w:hAnsi="宋体" w:eastAsia="宋体" w:cs="宋体"/>
                <w:color w:val="000000"/>
                <w:kern w:val="0"/>
                <w:sz w:val="21"/>
                <w:szCs w:val="21"/>
              </w:rPr>
            </w:pPr>
            <w:r>
              <w:rPr>
                <w:rFonts w:hint="eastAsia" w:ascii="宋体" w:hAnsi="宋体" w:eastAsia="宋体" w:cs="宋体"/>
                <w:color w:val="000000"/>
                <w:sz w:val="21"/>
                <w:szCs w:val="21"/>
              </w:rPr>
              <w:t>矿井必须有完整、可靠的独立通风系统，生产水平和采区必须实现分区通风，</w:t>
            </w:r>
            <w:r>
              <w:rPr>
                <w:rFonts w:hint="eastAsia" w:ascii="宋体" w:hAnsi="宋体" w:eastAsia="宋体" w:cs="宋体"/>
                <w:color w:val="000000"/>
                <w:kern w:val="0"/>
                <w:sz w:val="21"/>
                <w:szCs w:val="21"/>
              </w:rPr>
              <w:t>采区回风应直接进入主要回风巷或总回风巷。</w:t>
            </w:r>
            <w:r>
              <w:rPr>
                <w:rFonts w:hint="eastAsia" w:ascii="宋体" w:hAnsi="宋体" w:eastAsia="宋体" w:cs="宋体"/>
                <w:color w:val="000000"/>
                <w:sz w:val="21"/>
                <w:szCs w:val="21"/>
              </w:rPr>
              <w:t>矿井每年安排采掘作业计划时核定矿井生产和通风能力，严禁超通风能力生产。</w:t>
            </w:r>
          </w:p>
        </w:tc>
        <w:tc>
          <w:tcPr>
            <w:tcW w:w="3448" w:type="dxa"/>
            <w:noWrap w:val="0"/>
            <w:vAlign w:val="center"/>
          </w:tcPr>
          <w:p w14:paraId="409FB510">
            <w:pPr>
              <w:spacing w:line="280" w:lineRule="exact"/>
              <w:jc w:val="both"/>
              <w:rPr>
                <w:rFonts w:hint="eastAsia" w:ascii="宋体" w:hAnsi="宋体" w:eastAsia="宋体" w:cs="宋体"/>
                <w:color w:val="000000"/>
                <w:w w:val="80"/>
                <w:sz w:val="21"/>
                <w:szCs w:val="21"/>
              </w:rPr>
            </w:pPr>
            <w:r>
              <w:rPr>
                <w:rFonts w:hint="eastAsia" w:ascii="宋体" w:hAnsi="宋体" w:eastAsia="宋体" w:cs="宋体"/>
                <w:color w:val="000000"/>
                <w:sz w:val="21"/>
                <w:szCs w:val="21"/>
              </w:rPr>
              <w:t>《煤矿安全规程》第一百四十二条、一百四十九条</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第一百三十八条、一百三十九条。</w:t>
            </w:r>
          </w:p>
        </w:tc>
        <w:tc>
          <w:tcPr>
            <w:tcW w:w="2497" w:type="dxa"/>
            <w:noWrap w:val="0"/>
            <w:vAlign w:val="center"/>
          </w:tcPr>
          <w:p w14:paraId="45948329">
            <w:pPr>
              <w:spacing w:line="300" w:lineRule="exact"/>
              <w:jc w:val="both"/>
              <w:rPr>
                <w:rFonts w:hint="eastAsia" w:ascii="宋体" w:hAnsi="宋体" w:eastAsia="宋体" w:cs="宋体"/>
                <w:color w:val="000000"/>
                <w:sz w:val="21"/>
                <w:szCs w:val="21"/>
              </w:rPr>
            </w:pPr>
          </w:p>
        </w:tc>
        <w:tc>
          <w:tcPr>
            <w:tcW w:w="1926" w:type="dxa"/>
            <w:noWrap w:val="0"/>
            <w:vAlign w:val="center"/>
          </w:tcPr>
          <w:p w14:paraId="6E0AA0CB">
            <w:pPr>
              <w:spacing w:line="300" w:lineRule="exact"/>
              <w:jc w:val="both"/>
              <w:rPr>
                <w:rFonts w:hint="eastAsia" w:ascii="宋体" w:hAnsi="宋体" w:eastAsia="宋体" w:cs="宋体"/>
                <w:color w:val="000000"/>
                <w:sz w:val="21"/>
                <w:szCs w:val="21"/>
              </w:rPr>
            </w:pPr>
            <w:r>
              <w:rPr>
                <w:rFonts w:hint="eastAsia" w:ascii="宋体" w:hAnsi="宋体" w:eastAsia="宋体" w:cs="宋体"/>
                <w:color w:val="000000"/>
                <w:sz w:val="21"/>
                <w:szCs w:val="21"/>
              </w:rPr>
              <w:t>《国务院关于预防煤矿生产安全事故的特别规定》第十条第一款，第十一条</w:t>
            </w:r>
            <w:r>
              <w:rPr>
                <w:rFonts w:hint="eastAsia" w:ascii="宋体" w:hAnsi="宋体" w:eastAsia="宋体" w:cs="宋体"/>
                <w:color w:val="000000"/>
                <w:sz w:val="21"/>
                <w:szCs w:val="21"/>
                <w:lang w:eastAsia="zh-CN"/>
              </w:rPr>
              <w:t>。</w:t>
            </w:r>
          </w:p>
        </w:tc>
        <w:tc>
          <w:tcPr>
            <w:tcW w:w="1224" w:type="dxa"/>
            <w:noWrap w:val="0"/>
            <w:vAlign w:val="center"/>
          </w:tcPr>
          <w:p w14:paraId="007DD54D">
            <w:pPr>
              <w:spacing w:line="300" w:lineRule="exact"/>
              <w:jc w:val="both"/>
              <w:rPr>
                <w:rFonts w:hint="eastAsia" w:ascii="宋体" w:hAnsi="宋体" w:eastAsia="宋体" w:cs="宋体"/>
                <w:sz w:val="21"/>
                <w:szCs w:val="21"/>
              </w:rPr>
            </w:pPr>
          </w:p>
        </w:tc>
      </w:tr>
      <w:tr w14:paraId="6E87F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23" w:type="dxa"/>
            <w:noWrap w:val="0"/>
            <w:vAlign w:val="center"/>
          </w:tcPr>
          <w:p w14:paraId="16473255">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17</w:t>
            </w:r>
          </w:p>
        </w:tc>
        <w:tc>
          <w:tcPr>
            <w:tcW w:w="4670" w:type="dxa"/>
            <w:noWrap w:val="0"/>
            <w:vAlign w:val="center"/>
          </w:tcPr>
          <w:p w14:paraId="6A7ACD2B">
            <w:pPr>
              <w:spacing w:line="280" w:lineRule="exact"/>
              <w:ind w:firstLine="210" w:firstLineChars="100"/>
              <w:jc w:val="both"/>
              <w:rPr>
                <w:rFonts w:hint="eastAsia" w:ascii="宋体" w:hAnsi="宋体" w:eastAsia="宋体" w:cs="宋体"/>
                <w:color w:val="000000"/>
                <w:sz w:val="21"/>
                <w:szCs w:val="21"/>
              </w:rPr>
            </w:pPr>
            <w:r>
              <w:rPr>
                <w:rFonts w:hint="eastAsia" w:ascii="宋体" w:hAnsi="宋体" w:eastAsia="宋体" w:cs="宋体"/>
                <w:color w:val="000000"/>
                <w:sz w:val="21"/>
                <w:szCs w:val="21"/>
              </w:rPr>
              <w:t>高瓦斯矿井、突出矿井的每个采（盘）区和开采容易自燃煤层的、低瓦斯矿井开采煤层群的和分层开采采用联合布置的采（盘）区，必须至少布置1条专用回风巷。</w:t>
            </w:r>
          </w:p>
        </w:tc>
        <w:tc>
          <w:tcPr>
            <w:tcW w:w="3448" w:type="dxa"/>
            <w:noWrap w:val="0"/>
            <w:vAlign w:val="center"/>
          </w:tcPr>
          <w:p w14:paraId="63DF6464">
            <w:pPr>
              <w:spacing w:line="280" w:lineRule="exact"/>
              <w:jc w:val="both"/>
              <w:rPr>
                <w:rFonts w:hint="eastAsia" w:ascii="宋体" w:hAnsi="宋体" w:eastAsia="宋体" w:cs="宋体"/>
                <w:color w:val="000000"/>
                <w:sz w:val="21"/>
                <w:szCs w:val="21"/>
              </w:rPr>
            </w:pPr>
            <w:r>
              <w:rPr>
                <w:rFonts w:hint="eastAsia" w:ascii="宋体" w:hAnsi="宋体" w:eastAsia="宋体" w:cs="宋体"/>
                <w:color w:val="000000"/>
                <w:sz w:val="21"/>
                <w:szCs w:val="21"/>
              </w:rPr>
              <w:t>《煤矿安全规程》第一百四十九条。</w:t>
            </w:r>
          </w:p>
        </w:tc>
        <w:tc>
          <w:tcPr>
            <w:tcW w:w="2497" w:type="dxa"/>
            <w:noWrap w:val="0"/>
            <w:vAlign w:val="center"/>
          </w:tcPr>
          <w:p w14:paraId="50C41C89">
            <w:pPr>
              <w:spacing w:line="300" w:lineRule="exact"/>
              <w:jc w:val="both"/>
              <w:rPr>
                <w:rFonts w:hint="eastAsia" w:ascii="宋体" w:hAnsi="宋体" w:eastAsia="宋体" w:cs="宋体"/>
                <w:color w:val="000000"/>
                <w:sz w:val="21"/>
                <w:szCs w:val="21"/>
              </w:rPr>
            </w:pPr>
          </w:p>
        </w:tc>
        <w:tc>
          <w:tcPr>
            <w:tcW w:w="1926" w:type="dxa"/>
            <w:noWrap w:val="0"/>
            <w:vAlign w:val="center"/>
          </w:tcPr>
          <w:p w14:paraId="73951EFA">
            <w:pPr>
              <w:spacing w:line="300" w:lineRule="exact"/>
              <w:jc w:val="both"/>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《国务院关于预防煤矿生产安全事故的特别规定》第八条第二款第五项。</w:t>
            </w:r>
          </w:p>
          <w:p w14:paraId="56FAA388">
            <w:pPr>
              <w:spacing w:line="300" w:lineRule="exact"/>
              <w:jc w:val="both"/>
              <w:rPr>
                <w:rFonts w:hint="eastAsia" w:ascii="宋体" w:hAnsi="宋体" w:eastAsia="宋体" w:cs="宋体"/>
                <w:color w:val="000000"/>
                <w:sz w:val="21"/>
                <w:szCs w:val="21"/>
              </w:rPr>
            </w:pPr>
          </w:p>
        </w:tc>
        <w:tc>
          <w:tcPr>
            <w:tcW w:w="1224" w:type="dxa"/>
            <w:noWrap w:val="0"/>
            <w:vAlign w:val="center"/>
          </w:tcPr>
          <w:p w14:paraId="605A02D2">
            <w:pPr>
              <w:spacing w:line="300" w:lineRule="exact"/>
              <w:jc w:val="both"/>
              <w:rPr>
                <w:rFonts w:hint="eastAsia" w:ascii="宋体" w:hAnsi="宋体" w:eastAsia="宋体" w:cs="宋体"/>
                <w:color w:val="0000FF"/>
                <w:sz w:val="21"/>
                <w:szCs w:val="21"/>
              </w:rPr>
            </w:pPr>
          </w:p>
        </w:tc>
      </w:tr>
      <w:tr w14:paraId="1A07C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23" w:type="dxa"/>
            <w:noWrap w:val="0"/>
            <w:vAlign w:val="center"/>
          </w:tcPr>
          <w:p w14:paraId="13C469FC">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18</w:t>
            </w:r>
          </w:p>
        </w:tc>
        <w:tc>
          <w:tcPr>
            <w:tcW w:w="4670" w:type="dxa"/>
            <w:noWrap w:val="0"/>
            <w:vAlign w:val="center"/>
          </w:tcPr>
          <w:p w14:paraId="4259671C">
            <w:pPr>
              <w:spacing w:line="280" w:lineRule="exact"/>
              <w:jc w:val="both"/>
              <w:rPr>
                <w:rFonts w:hint="eastAsia" w:ascii="宋体" w:hAnsi="宋体" w:eastAsia="宋体" w:cs="宋体"/>
                <w:color w:val="000000"/>
                <w:sz w:val="21"/>
                <w:szCs w:val="21"/>
              </w:rPr>
            </w:pPr>
            <w:r>
              <w:rPr>
                <w:rFonts w:hint="eastAsia" w:ascii="宋体" w:hAnsi="宋体" w:eastAsia="宋体" w:cs="宋体"/>
                <w:color w:val="000000"/>
                <w:kern w:val="0"/>
                <w:sz w:val="21"/>
                <w:szCs w:val="21"/>
              </w:rPr>
              <w:t>采区进风、回风巷必须贯穿整个采区，严禁利用通风设施隔断巷道，形成一段进风、一段回风的通风系统；准备采区，必须在采区构成通风系统后，方可开掘其他巷道；下山采区未形成完整的通风、排水等生产系统前，严禁掘进回采巷道；采煤工作面必须在采区构成完整的通风、排水系统后，方可回采；准备采区时，突出煤层掘进巷道的回风不得经过有人作业的其他采区回风巷，不得切断其它通风巷道或工作面回风。</w:t>
            </w:r>
          </w:p>
        </w:tc>
        <w:tc>
          <w:tcPr>
            <w:tcW w:w="3448" w:type="dxa"/>
            <w:noWrap w:val="0"/>
            <w:vAlign w:val="center"/>
          </w:tcPr>
          <w:p w14:paraId="07537AE8">
            <w:pPr>
              <w:spacing w:line="280" w:lineRule="exact"/>
              <w:jc w:val="both"/>
              <w:rPr>
                <w:rFonts w:hint="eastAsia" w:ascii="宋体" w:hAnsi="宋体" w:eastAsia="宋体" w:cs="宋体"/>
                <w:color w:val="000000"/>
                <w:sz w:val="21"/>
                <w:szCs w:val="21"/>
              </w:rPr>
            </w:pPr>
            <w:r>
              <w:rPr>
                <w:rFonts w:hint="eastAsia" w:ascii="宋体" w:hAnsi="宋体" w:eastAsia="宋体" w:cs="宋体"/>
                <w:color w:val="000000"/>
                <w:kern w:val="0"/>
                <w:sz w:val="21"/>
                <w:szCs w:val="21"/>
              </w:rPr>
              <w:t>《煤矿安全规程》第九十五条、第一百四十九条；《防治煤与瓦斯突出细则》第三十一条第二项。</w:t>
            </w:r>
          </w:p>
        </w:tc>
        <w:tc>
          <w:tcPr>
            <w:tcW w:w="2497" w:type="dxa"/>
            <w:noWrap w:val="0"/>
            <w:vAlign w:val="center"/>
          </w:tcPr>
          <w:p w14:paraId="7C8C4719">
            <w:pPr>
              <w:spacing w:line="300" w:lineRule="exact"/>
              <w:jc w:val="both"/>
              <w:rPr>
                <w:rFonts w:hint="eastAsia" w:ascii="宋体" w:hAnsi="宋体" w:eastAsia="宋体" w:cs="宋体"/>
                <w:color w:val="000000"/>
                <w:sz w:val="21"/>
                <w:szCs w:val="21"/>
              </w:rPr>
            </w:pPr>
          </w:p>
        </w:tc>
        <w:tc>
          <w:tcPr>
            <w:tcW w:w="1926" w:type="dxa"/>
            <w:noWrap w:val="0"/>
            <w:vAlign w:val="center"/>
          </w:tcPr>
          <w:p w14:paraId="2513DB2D">
            <w:pPr>
              <w:spacing w:line="300" w:lineRule="exact"/>
              <w:jc w:val="both"/>
              <w:rPr>
                <w:rFonts w:hint="eastAsia" w:ascii="宋体" w:hAnsi="宋体" w:eastAsia="宋体" w:cs="宋体"/>
                <w:color w:val="000000"/>
                <w:sz w:val="21"/>
                <w:szCs w:val="21"/>
              </w:rPr>
            </w:pPr>
            <w:r>
              <w:rPr>
                <w:rFonts w:hint="eastAsia" w:ascii="宋体" w:hAnsi="宋体" w:eastAsia="宋体" w:cs="宋体"/>
                <w:color w:val="000000"/>
                <w:sz w:val="21"/>
                <w:szCs w:val="21"/>
              </w:rPr>
              <w:t>《国务院关于预防煤矿生产安全事故的特别规定》第十条第一款</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第十一条；《煤矿企业安全生产许可证实施办法》第三十八条</w:t>
            </w:r>
            <w:r>
              <w:rPr>
                <w:rFonts w:hint="eastAsia" w:ascii="宋体" w:hAnsi="宋体" w:eastAsia="宋体" w:cs="宋体"/>
                <w:color w:val="000000"/>
                <w:sz w:val="21"/>
                <w:szCs w:val="21"/>
                <w:lang w:eastAsia="zh-CN"/>
              </w:rPr>
              <w:t>。</w:t>
            </w:r>
          </w:p>
        </w:tc>
        <w:tc>
          <w:tcPr>
            <w:tcW w:w="1224" w:type="dxa"/>
            <w:noWrap w:val="0"/>
            <w:vAlign w:val="center"/>
          </w:tcPr>
          <w:p w14:paraId="11074A32">
            <w:pPr>
              <w:spacing w:line="300" w:lineRule="exact"/>
              <w:jc w:val="both"/>
              <w:rPr>
                <w:rFonts w:hint="eastAsia" w:ascii="宋体" w:hAnsi="宋体" w:eastAsia="宋体" w:cs="宋体"/>
                <w:sz w:val="21"/>
                <w:szCs w:val="21"/>
              </w:rPr>
            </w:pPr>
          </w:p>
        </w:tc>
      </w:tr>
      <w:tr w14:paraId="5A738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23" w:type="dxa"/>
            <w:noWrap w:val="0"/>
            <w:vAlign w:val="center"/>
          </w:tcPr>
          <w:p w14:paraId="2D97EF77">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19</w:t>
            </w:r>
          </w:p>
        </w:tc>
        <w:tc>
          <w:tcPr>
            <w:tcW w:w="4670" w:type="dxa"/>
            <w:noWrap w:val="0"/>
            <w:vAlign w:val="center"/>
          </w:tcPr>
          <w:p w14:paraId="424FFE61">
            <w:pPr>
              <w:spacing w:line="280" w:lineRule="exact"/>
              <w:ind w:firstLine="210" w:firstLineChars="100"/>
              <w:jc w:val="both"/>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矿井应当按规定测定瓦斯参数，突出煤层应当测定煤层原始瓦斯压力、瓦斯含量、煤的坚固性系数、煤的破坏类型、瓦斯放散初速度、原始煤层可解析瓦斯量和不可解析量、煤层透气性系数、各种在用孔径钻孔的排放半径和抽采半径等参数。</w:t>
            </w:r>
          </w:p>
        </w:tc>
        <w:tc>
          <w:tcPr>
            <w:tcW w:w="3448" w:type="dxa"/>
            <w:noWrap w:val="0"/>
            <w:vAlign w:val="center"/>
          </w:tcPr>
          <w:p w14:paraId="00FCD379">
            <w:pPr>
              <w:spacing w:line="280" w:lineRule="exact"/>
              <w:jc w:val="both"/>
              <w:rPr>
                <w:rFonts w:hint="eastAsia" w:ascii="宋体" w:hAnsi="宋体" w:eastAsia="宋体" w:cs="宋体"/>
                <w:color w:val="000000"/>
                <w:sz w:val="21"/>
                <w:szCs w:val="21"/>
              </w:rPr>
            </w:pPr>
            <w:r>
              <w:rPr>
                <w:rFonts w:hint="eastAsia" w:ascii="宋体" w:hAnsi="宋体" w:eastAsia="宋体" w:cs="宋体"/>
                <w:color w:val="000000"/>
                <w:sz w:val="21"/>
                <w:szCs w:val="21"/>
              </w:rPr>
              <w:t>《瓦斯抽采基本指标》第6.2，《防治煤与瓦斯突出细则》第二十六条第一款。</w:t>
            </w:r>
          </w:p>
        </w:tc>
        <w:tc>
          <w:tcPr>
            <w:tcW w:w="2497" w:type="dxa"/>
            <w:noWrap w:val="0"/>
            <w:vAlign w:val="center"/>
          </w:tcPr>
          <w:p w14:paraId="2A12065E">
            <w:pPr>
              <w:spacing w:line="300" w:lineRule="exact"/>
              <w:jc w:val="both"/>
              <w:rPr>
                <w:rFonts w:hint="eastAsia" w:ascii="宋体" w:hAnsi="宋体" w:eastAsia="宋体" w:cs="宋体"/>
                <w:color w:val="000000"/>
                <w:sz w:val="21"/>
                <w:szCs w:val="21"/>
              </w:rPr>
            </w:pPr>
          </w:p>
        </w:tc>
        <w:tc>
          <w:tcPr>
            <w:tcW w:w="1926" w:type="dxa"/>
            <w:noWrap w:val="0"/>
            <w:vAlign w:val="center"/>
          </w:tcPr>
          <w:p w14:paraId="19F3355E">
            <w:pPr>
              <w:spacing w:line="300" w:lineRule="exact"/>
              <w:jc w:val="both"/>
              <w:rPr>
                <w:rFonts w:hint="eastAsia" w:ascii="宋体" w:hAnsi="宋体" w:eastAsia="宋体" w:cs="宋体"/>
                <w:color w:val="000000"/>
                <w:sz w:val="21"/>
                <w:szCs w:val="21"/>
              </w:rPr>
            </w:pPr>
            <w:r>
              <w:rPr>
                <w:rFonts w:hint="eastAsia" w:ascii="宋体" w:hAnsi="宋体" w:eastAsia="宋体" w:cs="宋体"/>
                <w:color w:val="000000"/>
                <w:sz w:val="21"/>
                <w:szCs w:val="21"/>
              </w:rPr>
              <w:t>《安全生产违法行为行政处罚办法》第四十五条第一项</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 xml:space="preserve">  </w:t>
            </w:r>
          </w:p>
        </w:tc>
        <w:tc>
          <w:tcPr>
            <w:tcW w:w="1224" w:type="dxa"/>
            <w:noWrap w:val="0"/>
            <w:vAlign w:val="center"/>
          </w:tcPr>
          <w:p w14:paraId="497A4FEC">
            <w:pPr>
              <w:spacing w:line="300" w:lineRule="exact"/>
              <w:jc w:val="both"/>
              <w:rPr>
                <w:rFonts w:hint="eastAsia" w:ascii="宋体" w:hAnsi="宋体" w:eastAsia="宋体" w:cs="宋体"/>
                <w:sz w:val="21"/>
                <w:szCs w:val="21"/>
              </w:rPr>
            </w:pPr>
          </w:p>
        </w:tc>
      </w:tr>
      <w:tr w14:paraId="10E7C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8" w:hRule="atLeast"/>
          <w:jc w:val="center"/>
        </w:trPr>
        <w:tc>
          <w:tcPr>
            <w:tcW w:w="723" w:type="dxa"/>
            <w:noWrap w:val="0"/>
            <w:vAlign w:val="center"/>
          </w:tcPr>
          <w:p w14:paraId="05EDE178">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20</w:t>
            </w:r>
          </w:p>
        </w:tc>
        <w:tc>
          <w:tcPr>
            <w:tcW w:w="4670" w:type="dxa"/>
            <w:noWrap w:val="0"/>
            <w:vAlign w:val="center"/>
          </w:tcPr>
          <w:p w14:paraId="14761377">
            <w:pPr>
              <w:spacing w:line="280" w:lineRule="exact"/>
              <w:ind w:firstLine="210" w:firstLineChars="100"/>
              <w:jc w:val="both"/>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瓦斯抽采工程必须严格按设计施工，并应进行验收，瓦斯抽采工程竣工图及其他竣工验收资料内容符合规定，并由相关责任人签字。瓦斯抽采工程竣工资料（图）除应有与设计对应的内容外，还应包括各工程开工时间、竣工时间以及工程施工过程中的异常现象（如喷孔、顶钻、卡钻等）等内容。</w:t>
            </w:r>
          </w:p>
        </w:tc>
        <w:tc>
          <w:tcPr>
            <w:tcW w:w="3448" w:type="dxa"/>
            <w:noWrap w:val="0"/>
            <w:vAlign w:val="center"/>
          </w:tcPr>
          <w:p w14:paraId="68AB16AD">
            <w:pPr>
              <w:spacing w:line="280" w:lineRule="exact"/>
              <w:jc w:val="both"/>
              <w:rPr>
                <w:rFonts w:hint="eastAsia" w:ascii="宋体" w:hAnsi="宋体" w:eastAsia="宋体" w:cs="宋体"/>
                <w:color w:val="000000"/>
                <w:sz w:val="21"/>
                <w:szCs w:val="21"/>
              </w:rPr>
            </w:pPr>
            <w:r>
              <w:rPr>
                <w:rFonts w:hint="eastAsia" w:ascii="宋体" w:hAnsi="宋体" w:eastAsia="宋体" w:cs="宋体"/>
                <w:color w:val="000000"/>
                <w:sz w:val="21"/>
                <w:szCs w:val="21"/>
              </w:rPr>
              <w:t>《煤矿瓦斯抽采达标暂行规定》第十九条。</w:t>
            </w:r>
          </w:p>
        </w:tc>
        <w:tc>
          <w:tcPr>
            <w:tcW w:w="2497" w:type="dxa"/>
            <w:noWrap w:val="0"/>
            <w:vAlign w:val="center"/>
          </w:tcPr>
          <w:p w14:paraId="66C499E8">
            <w:pPr>
              <w:spacing w:line="300" w:lineRule="exact"/>
              <w:jc w:val="both"/>
              <w:rPr>
                <w:rFonts w:hint="eastAsia" w:ascii="宋体" w:hAnsi="宋体" w:eastAsia="宋体" w:cs="宋体"/>
                <w:color w:val="000000"/>
                <w:sz w:val="21"/>
                <w:szCs w:val="21"/>
              </w:rPr>
            </w:pPr>
          </w:p>
        </w:tc>
        <w:tc>
          <w:tcPr>
            <w:tcW w:w="1926" w:type="dxa"/>
            <w:noWrap w:val="0"/>
            <w:vAlign w:val="center"/>
          </w:tcPr>
          <w:p w14:paraId="5B41F1C8">
            <w:pPr>
              <w:spacing w:line="300" w:lineRule="exact"/>
              <w:jc w:val="both"/>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《安全生产违法行为行政处罚办法》第四十五条</w:t>
            </w:r>
          </w:p>
        </w:tc>
        <w:tc>
          <w:tcPr>
            <w:tcW w:w="1224" w:type="dxa"/>
            <w:noWrap w:val="0"/>
            <w:vAlign w:val="center"/>
          </w:tcPr>
          <w:p w14:paraId="1BE0A257">
            <w:pPr>
              <w:spacing w:line="300" w:lineRule="exact"/>
              <w:jc w:val="both"/>
              <w:rPr>
                <w:rFonts w:hint="eastAsia" w:ascii="宋体" w:hAnsi="宋体" w:eastAsia="宋体" w:cs="宋体"/>
                <w:sz w:val="21"/>
                <w:szCs w:val="21"/>
              </w:rPr>
            </w:pPr>
          </w:p>
        </w:tc>
      </w:tr>
      <w:tr w14:paraId="53873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23" w:type="dxa"/>
            <w:noWrap w:val="0"/>
            <w:vAlign w:val="center"/>
          </w:tcPr>
          <w:p w14:paraId="436C22C6">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21</w:t>
            </w:r>
          </w:p>
        </w:tc>
        <w:tc>
          <w:tcPr>
            <w:tcW w:w="4670" w:type="dxa"/>
            <w:noWrap w:val="0"/>
            <w:vAlign w:val="center"/>
          </w:tcPr>
          <w:p w14:paraId="0C855B7C">
            <w:pPr>
              <w:spacing w:line="280" w:lineRule="exact"/>
              <w:ind w:firstLine="210" w:firstLineChars="100"/>
              <w:jc w:val="both"/>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瓦斯抽采系统、瓦斯抽采规划、年度计划、瓦斯抽采达标工艺方案设计、抽采工程竣工验收资料、抽采计量测点设置等符合要求，否则判定为瓦斯抽采基础条件不达标；预抽煤层瓦斯效果评判应包括抽采钻孔有效控制范围界定、抽采钻孔布孔均匀程度评价、抽采瓦斯效果评判指标测定、抽采效果达标评判等内容。</w:t>
            </w:r>
          </w:p>
        </w:tc>
        <w:tc>
          <w:tcPr>
            <w:tcW w:w="3448" w:type="dxa"/>
            <w:noWrap w:val="0"/>
            <w:vAlign w:val="center"/>
          </w:tcPr>
          <w:p w14:paraId="39AB739B">
            <w:pPr>
              <w:spacing w:line="280" w:lineRule="exact"/>
              <w:jc w:val="both"/>
              <w:rPr>
                <w:rFonts w:hint="eastAsia" w:ascii="宋体" w:hAnsi="宋体" w:eastAsia="宋体" w:cs="宋体"/>
                <w:color w:val="000000"/>
                <w:sz w:val="21"/>
                <w:szCs w:val="21"/>
              </w:rPr>
            </w:pPr>
            <w:r>
              <w:rPr>
                <w:rFonts w:hint="eastAsia" w:ascii="宋体" w:hAnsi="宋体" w:eastAsia="宋体" w:cs="宋体"/>
                <w:color w:val="000000"/>
                <w:sz w:val="21"/>
                <w:szCs w:val="21"/>
              </w:rPr>
              <w:t>《煤矿瓦斯抽采达标暂行规定》（安监总煤装〔2011〕163号）第二十二条、第二十三条。</w:t>
            </w:r>
          </w:p>
        </w:tc>
        <w:tc>
          <w:tcPr>
            <w:tcW w:w="2497" w:type="dxa"/>
            <w:noWrap w:val="0"/>
            <w:vAlign w:val="center"/>
          </w:tcPr>
          <w:p w14:paraId="34D65746">
            <w:pPr>
              <w:spacing w:line="300" w:lineRule="exact"/>
              <w:jc w:val="both"/>
              <w:rPr>
                <w:rFonts w:hint="eastAsia" w:ascii="宋体" w:hAnsi="宋体" w:eastAsia="宋体" w:cs="宋体"/>
                <w:color w:val="000000"/>
                <w:sz w:val="21"/>
                <w:szCs w:val="21"/>
              </w:rPr>
            </w:pPr>
          </w:p>
        </w:tc>
        <w:tc>
          <w:tcPr>
            <w:tcW w:w="1926" w:type="dxa"/>
            <w:noWrap w:val="0"/>
            <w:vAlign w:val="center"/>
          </w:tcPr>
          <w:p w14:paraId="7A439035">
            <w:pPr>
              <w:spacing w:line="300" w:lineRule="exact"/>
              <w:jc w:val="both"/>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《安全生产违法行为行政处罚办法》第四十五条。</w:t>
            </w:r>
          </w:p>
        </w:tc>
        <w:tc>
          <w:tcPr>
            <w:tcW w:w="1224" w:type="dxa"/>
            <w:noWrap w:val="0"/>
            <w:vAlign w:val="center"/>
          </w:tcPr>
          <w:p w14:paraId="27AF9002">
            <w:pPr>
              <w:spacing w:line="300" w:lineRule="exact"/>
              <w:jc w:val="both"/>
              <w:rPr>
                <w:rFonts w:hint="eastAsia" w:ascii="宋体" w:hAnsi="宋体" w:eastAsia="宋体" w:cs="宋体"/>
                <w:sz w:val="21"/>
                <w:szCs w:val="21"/>
              </w:rPr>
            </w:pPr>
          </w:p>
        </w:tc>
      </w:tr>
      <w:tr w14:paraId="2798C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23" w:type="dxa"/>
            <w:noWrap w:val="0"/>
            <w:vAlign w:val="center"/>
          </w:tcPr>
          <w:p w14:paraId="4BE6E39B">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22</w:t>
            </w:r>
          </w:p>
        </w:tc>
        <w:tc>
          <w:tcPr>
            <w:tcW w:w="4670" w:type="dxa"/>
            <w:noWrap w:val="0"/>
            <w:vAlign w:val="center"/>
          </w:tcPr>
          <w:p w14:paraId="268994C6">
            <w:pPr>
              <w:spacing w:line="280" w:lineRule="exact"/>
              <w:jc w:val="both"/>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有突出危险煤层的新建矿井或者突出矿井，开拓新水平的井巷第一次揭穿(开)厚度为0.3m及以上煤层时，必须测定煤层瓦斯压力及瓦斯含量等与突出危险性相关的参数。按非突出矿井设计的新建矿井在建井期间，所有平均厚度0.3m以上的煤层在首次揭煤时，应当测定瓦斯压力、瓦斯含量等参数。</w:t>
            </w:r>
          </w:p>
        </w:tc>
        <w:tc>
          <w:tcPr>
            <w:tcW w:w="3448" w:type="dxa"/>
            <w:noWrap w:val="0"/>
            <w:vAlign w:val="center"/>
          </w:tcPr>
          <w:p w14:paraId="69C3F8ED">
            <w:pPr>
              <w:spacing w:line="280" w:lineRule="exact"/>
              <w:jc w:val="both"/>
              <w:rPr>
                <w:rFonts w:hint="eastAsia" w:ascii="宋体" w:hAnsi="宋体" w:eastAsia="宋体" w:cs="宋体"/>
                <w:color w:val="000000"/>
                <w:sz w:val="21"/>
                <w:szCs w:val="21"/>
              </w:rPr>
            </w:pPr>
            <w:r>
              <w:rPr>
                <w:rFonts w:hint="eastAsia" w:ascii="宋体" w:hAnsi="宋体" w:eastAsia="宋体" w:cs="宋体"/>
                <w:color w:val="000000"/>
                <w:sz w:val="21"/>
                <w:szCs w:val="21"/>
              </w:rPr>
              <w:t>《煤矿安全规程》（原国家安全监管总局令第87号）第一百九十七条；《防治煤与瓦斯突出细则》（煤安监技装〔2019〕28号）第十七条。</w:t>
            </w:r>
          </w:p>
        </w:tc>
        <w:tc>
          <w:tcPr>
            <w:tcW w:w="2497" w:type="dxa"/>
            <w:noWrap w:val="0"/>
            <w:vAlign w:val="center"/>
          </w:tcPr>
          <w:p w14:paraId="3E1CDDCC">
            <w:pPr>
              <w:spacing w:line="300" w:lineRule="exact"/>
              <w:jc w:val="both"/>
              <w:rPr>
                <w:rFonts w:hint="eastAsia" w:ascii="宋体" w:hAnsi="宋体" w:eastAsia="宋体" w:cs="宋体"/>
                <w:color w:val="000000"/>
                <w:sz w:val="21"/>
                <w:szCs w:val="21"/>
              </w:rPr>
            </w:pPr>
          </w:p>
        </w:tc>
        <w:tc>
          <w:tcPr>
            <w:tcW w:w="1926" w:type="dxa"/>
            <w:noWrap w:val="0"/>
            <w:vAlign w:val="center"/>
          </w:tcPr>
          <w:p w14:paraId="324091FE">
            <w:pPr>
              <w:spacing w:line="300" w:lineRule="exact"/>
              <w:jc w:val="both"/>
              <w:rPr>
                <w:rFonts w:hint="eastAsia" w:ascii="宋体" w:hAnsi="宋体" w:eastAsia="宋体" w:cs="宋体"/>
                <w:color w:val="000000"/>
                <w:sz w:val="21"/>
                <w:szCs w:val="21"/>
              </w:rPr>
            </w:pPr>
            <w:r>
              <w:rPr>
                <w:rFonts w:hint="eastAsia" w:ascii="宋体" w:hAnsi="宋体" w:eastAsia="宋体" w:cs="宋体"/>
                <w:color w:val="000000"/>
                <w:sz w:val="21"/>
                <w:szCs w:val="21"/>
              </w:rPr>
              <w:t>《安全生产违法行为行政处罚办法》第四十五条第一项</w:t>
            </w:r>
            <w:r>
              <w:rPr>
                <w:rFonts w:hint="eastAsia" w:ascii="宋体" w:hAnsi="宋体" w:eastAsia="宋体" w:cs="宋体"/>
                <w:color w:val="000000"/>
                <w:sz w:val="21"/>
                <w:szCs w:val="21"/>
                <w:lang w:eastAsia="zh-CN"/>
              </w:rPr>
              <w:t>。</w:t>
            </w:r>
          </w:p>
        </w:tc>
        <w:tc>
          <w:tcPr>
            <w:tcW w:w="1224" w:type="dxa"/>
            <w:noWrap w:val="0"/>
            <w:vAlign w:val="center"/>
          </w:tcPr>
          <w:p w14:paraId="2F11D5AA">
            <w:pPr>
              <w:spacing w:line="300" w:lineRule="exact"/>
              <w:jc w:val="both"/>
              <w:rPr>
                <w:rFonts w:hint="eastAsia" w:ascii="宋体" w:hAnsi="宋体" w:eastAsia="宋体" w:cs="宋体"/>
                <w:sz w:val="21"/>
                <w:szCs w:val="21"/>
              </w:rPr>
            </w:pPr>
          </w:p>
        </w:tc>
      </w:tr>
      <w:tr w14:paraId="4A4F4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23" w:type="dxa"/>
            <w:noWrap w:val="0"/>
            <w:vAlign w:val="center"/>
          </w:tcPr>
          <w:p w14:paraId="635B4094">
            <w:pPr>
              <w:spacing w:line="300" w:lineRule="exact"/>
              <w:jc w:val="center"/>
              <w:rPr>
                <w:rFonts w:hint="eastAsia" w:ascii="宋体" w:hAnsi="宋体" w:eastAsia="宋体" w:cs="宋体"/>
                <w:sz w:val="21"/>
                <w:szCs w:val="21"/>
                <w:lang w:eastAsia="zh-CN"/>
              </w:rPr>
            </w:pPr>
            <w:r>
              <w:rPr>
                <w:rFonts w:hint="eastAsia" w:ascii="宋体" w:hAnsi="宋体" w:eastAsia="宋体" w:cs="宋体"/>
                <w:sz w:val="21"/>
                <w:szCs w:val="21"/>
              </w:rPr>
              <w:t>2</w:t>
            </w:r>
            <w:r>
              <w:rPr>
                <w:rFonts w:hint="eastAsia" w:ascii="宋体" w:hAnsi="宋体" w:eastAsia="宋体" w:cs="宋体"/>
                <w:sz w:val="21"/>
                <w:szCs w:val="21"/>
                <w:lang w:val="en-US" w:eastAsia="zh-CN"/>
              </w:rPr>
              <w:t>3</w:t>
            </w:r>
          </w:p>
        </w:tc>
        <w:tc>
          <w:tcPr>
            <w:tcW w:w="4670" w:type="dxa"/>
            <w:noWrap w:val="0"/>
            <w:vAlign w:val="center"/>
          </w:tcPr>
          <w:p w14:paraId="732036C4">
            <w:pPr>
              <w:spacing w:line="280" w:lineRule="exact"/>
              <w:ind w:firstLine="210" w:firstLineChars="100"/>
              <w:jc w:val="both"/>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矿井开拓系统巷道布置满足矿井生产、安全和抗灾的要求；</w:t>
            </w:r>
            <w:r>
              <w:rPr>
                <w:rFonts w:hint="eastAsia" w:ascii="宋体" w:hAnsi="宋体" w:eastAsia="宋体" w:cs="宋体"/>
                <w:color w:val="000000"/>
                <w:sz w:val="21"/>
                <w:szCs w:val="21"/>
              </w:rPr>
              <w:t>矿井开拓、准备、回采煤量可采期必须符合有关标准规定。</w:t>
            </w:r>
          </w:p>
        </w:tc>
        <w:tc>
          <w:tcPr>
            <w:tcW w:w="3448" w:type="dxa"/>
            <w:noWrap w:val="0"/>
            <w:vAlign w:val="center"/>
          </w:tcPr>
          <w:p w14:paraId="44040997">
            <w:pPr>
              <w:spacing w:line="280" w:lineRule="exact"/>
              <w:jc w:val="both"/>
              <w:rPr>
                <w:rFonts w:hint="eastAsia" w:ascii="宋体" w:hAnsi="宋体" w:eastAsia="宋体" w:cs="宋体"/>
                <w:color w:val="000000"/>
                <w:sz w:val="21"/>
                <w:szCs w:val="21"/>
              </w:rPr>
            </w:pPr>
            <w:r>
              <w:rPr>
                <w:rFonts w:hint="eastAsia" w:ascii="宋体" w:hAnsi="宋体" w:eastAsia="宋体" w:cs="宋体"/>
                <w:color w:val="000000"/>
                <w:sz w:val="21"/>
                <w:szCs w:val="21"/>
              </w:rPr>
              <w:t>《煤矿重大生产安全事故隐患判定标准》第</w:t>
            </w:r>
            <w:r>
              <w:rPr>
                <w:rFonts w:hint="eastAsia" w:ascii="宋体" w:hAnsi="宋体" w:eastAsia="宋体" w:cs="宋体"/>
                <w:color w:val="000000"/>
                <w:sz w:val="21"/>
                <w:szCs w:val="21"/>
                <w:lang w:eastAsia="zh-CN"/>
              </w:rPr>
              <w:t>四</w:t>
            </w:r>
            <w:r>
              <w:rPr>
                <w:rFonts w:hint="eastAsia" w:ascii="宋体" w:hAnsi="宋体" w:eastAsia="宋体" w:cs="宋体"/>
                <w:color w:val="000000"/>
                <w:sz w:val="21"/>
                <w:szCs w:val="21"/>
              </w:rPr>
              <w:t>条</w:t>
            </w:r>
            <w:r>
              <w:rPr>
                <w:rFonts w:hint="eastAsia" w:ascii="宋体" w:hAnsi="宋体" w:eastAsia="宋体" w:cs="宋体"/>
                <w:color w:val="000000"/>
                <w:sz w:val="21"/>
                <w:szCs w:val="21"/>
                <w:lang w:eastAsia="zh-CN"/>
              </w:rPr>
              <w:t>。</w:t>
            </w:r>
          </w:p>
        </w:tc>
        <w:tc>
          <w:tcPr>
            <w:tcW w:w="2497" w:type="dxa"/>
            <w:noWrap w:val="0"/>
            <w:vAlign w:val="center"/>
          </w:tcPr>
          <w:p w14:paraId="6C65C99C">
            <w:pPr>
              <w:spacing w:line="300" w:lineRule="exact"/>
              <w:jc w:val="both"/>
              <w:rPr>
                <w:rFonts w:hint="eastAsia" w:ascii="宋体" w:hAnsi="宋体" w:eastAsia="宋体" w:cs="宋体"/>
                <w:color w:val="000000"/>
                <w:sz w:val="21"/>
                <w:szCs w:val="21"/>
              </w:rPr>
            </w:pPr>
            <w:r>
              <w:rPr>
                <w:rFonts w:hint="eastAsia" w:ascii="宋体" w:hAnsi="宋体" w:eastAsia="宋体" w:cs="宋体"/>
                <w:color w:val="000000"/>
                <w:sz w:val="21"/>
                <w:szCs w:val="21"/>
              </w:rPr>
              <w:t>《煤炭工业矿井设计规范》（GB50215-2015）第3.3.1条；《煤矿建设项目安全设施设计审查和竣工验收规范》（AQ1055-2008）第4.2.4条</w:t>
            </w:r>
          </w:p>
        </w:tc>
        <w:tc>
          <w:tcPr>
            <w:tcW w:w="1926" w:type="dxa"/>
            <w:noWrap w:val="0"/>
            <w:vAlign w:val="center"/>
          </w:tcPr>
          <w:p w14:paraId="4E303729">
            <w:pPr>
              <w:spacing w:line="300" w:lineRule="exact"/>
              <w:jc w:val="both"/>
              <w:rPr>
                <w:rFonts w:hint="eastAsia" w:ascii="宋体" w:hAnsi="宋体" w:eastAsia="宋体" w:cs="宋体"/>
                <w:color w:val="000000"/>
                <w:sz w:val="21"/>
                <w:szCs w:val="21"/>
              </w:rPr>
            </w:pPr>
            <w:r>
              <w:rPr>
                <w:rFonts w:hint="eastAsia" w:ascii="宋体" w:hAnsi="宋体" w:eastAsia="宋体" w:cs="宋体"/>
                <w:color w:val="000000"/>
                <w:sz w:val="21"/>
                <w:szCs w:val="21"/>
              </w:rPr>
              <w:t>《国务院关于预防煤矿生产安全事故的特别规定》第十条第一款</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第十一条</w:t>
            </w:r>
            <w:r>
              <w:rPr>
                <w:rFonts w:hint="eastAsia" w:ascii="宋体" w:hAnsi="宋体" w:eastAsia="宋体" w:cs="宋体"/>
                <w:color w:val="000000"/>
                <w:sz w:val="21"/>
                <w:szCs w:val="21"/>
                <w:lang w:eastAsia="zh-CN"/>
              </w:rPr>
              <w:t>。</w:t>
            </w:r>
          </w:p>
        </w:tc>
        <w:tc>
          <w:tcPr>
            <w:tcW w:w="1224" w:type="dxa"/>
            <w:noWrap w:val="0"/>
            <w:vAlign w:val="center"/>
          </w:tcPr>
          <w:p w14:paraId="670685C8">
            <w:pPr>
              <w:spacing w:line="300" w:lineRule="exact"/>
              <w:jc w:val="both"/>
              <w:rPr>
                <w:rFonts w:hint="eastAsia" w:ascii="宋体" w:hAnsi="宋体" w:eastAsia="宋体" w:cs="宋体"/>
                <w:sz w:val="21"/>
                <w:szCs w:val="21"/>
              </w:rPr>
            </w:pPr>
          </w:p>
        </w:tc>
      </w:tr>
      <w:tr w14:paraId="0E3F4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23" w:type="dxa"/>
            <w:noWrap w:val="0"/>
            <w:vAlign w:val="center"/>
          </w:tcPr>
          <w:p w14:paraId="3527B942">
            <w:pPr>
              <w:spacing w:line="300" w:lineRule="exact"/>
              <w:jc w:val="center"/>
              <w:rPr>
                <w:rFonts w:hint="eastAsia" w:ascii="宋体" w:hAnsi="宋体" w:eastAsia="宋体" w:cs="宋体"/>
                <w:sz w:val="21"/>
                <w:szCs w:val="21"/>
                <w:lang w:eastAsia="zh-CN"/>
              </w:rPr>
            </w:pPr>
            <w:r>
              <w:rPr>
                <w:rFonts w:hint="eastAsia" w:ascii="宋体" w:hAnsi="宋体" w:eastAsia="宋体" w:cs="宋体"/>
                <w:sz w:val="21"/>
                <w:szCs w:val="21"/>
              </w:rPr>
              <w:t>2</w:t>
            </w:r>
            <w:r>
              <w:rPr>
                <w:rFonts w:hint="eastAsia" w:ascii="宋体" w:hAnsi="宋体" w:eastAsia="宋体" w:cs="宋体"/>
                <w:sz w:val="21"/>
                <w:szCs w:val="21"/>
                <w:lang w:val="en-US" w:eastAsia="zh-CN"/>
              </w:rPr>
              <w:t>4</w:t>
            </w:r>
          </w:p>
        </w:tc>
        <w:tc>
          <w:tcPr>
            <w:tcW w:w="4670" w:type="dxa"/>
            <w:noWrap w:val="0"/>
            <w:vAlign w:val="center"/>
          </w:tcPr>
          <w:p w14:paraId="6DEB7B36">
            <w:pPr>
              <w:spacing w:line="280" w:lineRule="exact"/>
              <w:ind w:firstLine="210" w:firstLineChars="100"/>
              <w:jc w:val="both"/>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个采（盘）区内同一煤层的一翼最多只能布置1个采煤工作面和2个煤（半煤岩）巷掘进工作面同时作业。一个采（盘）区内同一煤层双翼开采或者多煤层开采的，该采（盘）区最多只能布置2个采煤工作面和4个煤（半煤岩）巷掘进工作面同时作业。</w:t>
            </w:r>
          </w:p>
          <w:p w14:paraId="2FCC16D5">
            <w:pPr>
              <w:spacing w:line="280" w:lineRule="exact"/>
              <w:jc w:val="both"/>
              <w:rPr>
                <w:rFonts w:hint="eastAsia" w:ascii="宋体" w:hAnsi="宋体" w:eastAsia="宋体" w:cs="宋体"/>
                <w:color w:val="000000"/>
                <w:sz w:val="21"/>
                <w:szCs w:val="21"/>
              </w:rPr>
            </w:pPr>
            <w:r>
              <w:rPr>
                <w:rFonts w:hint="eastAsia" w:ascii="宋体" w:hAnsi="宋体" w:eastAsia="宋体" w:cs="宋体"/>
                <w:color w:val="000000"/>
                <w:kern w:val="0"/>
                <w:sz w:val="21"/>
                <w:szCs w:val="21"/>
              </w:rPr>
              <w:t>下山采区未形成完整的通风、排水等生产系统前，严禁掘进回采巷道。</w:t>
            </w:r>
          </w:p>
        </w:tc>
        <w:tc>
          <w:tcPr>
            <w:tcW w:w="3448" w:type="dxa"/>
            <w:noWrap w:val="0"/>
            <w:vAlign w:val="center"/>
          </w:tcPr>
          <w:p w14:paraId="7C41C3BB">
            <w:pPr>
              <w:spacing w:line="280" w:lineRule="exact"/>
              <w:jc w:val="both"/>
              <w:rPr>
                <w:rFonts w:hint="eastAsia" w:ascii="宋体" w:hAnsi="宋体" w:eastAsia="宋体" w:cs="宋体"/>
                <w:color w:val="000000"/>
                <w:sz w:val="21"/>
                <w:szCs w:val="21"/>
              </w:rPr>
            </w:pPr>
            <w:r>
              <w:rPr>
                <w:rFonts w:hint="eastAsia" w:ascii="宋体" w:hAnsi="宋体" w:eastAsia="宋体" w:cs="宋体"/>
                <w:color w:val="000000"/>
                <w:sz w:val="21"/>
                <w:szCs w:val="21"/>
              </w:rPr>
              <w:t>《煤矿安全规程》第</w:t>
            </w:r>
            <w:r>
              <w:rPr>
                <w:rFonts w:hint="eastAsia" w:ascii="宋体" w:hAnsi="宋体" w:eastAsia="宋体" w:cs="宋体"/>
                <w:color w:val="000000"/>
                <w:sz w:val="21"/>
                <w:szCs w:val="21"/>
                <w:lang w:eastAsia="zh-CN"/>
              </w:rPr>
              <w:t>九十五</w:t>
            </w:r>
            <w:r>
              <w:rPr>
                <w:rFonts w:hint="eastAsia" w:ascii="宋体" w:hAnsi="宋体" w:eastAsia="宋体" w:cs="宋体"/>
                <w:color w:val="000000"/>
                <w:sz w:val="21"/>
                <w:szCs w:val="21"/>
              </w:rPr>
              <w:t>条</w:t>
            </w:r>
            <w:r>
              <w:rPr>
                <w:rFonts w:hint="eastAsia" w:ascii="宋体" w:hAnsi="宋体" w:eastAsia="宋体" w:cs="宋体"/>
                <w:color w:val="000000"/>
                <w:sz w:val="21"/>
                <w:szCs w:val="21"/>
                <w:lang w:eastAsia="zh-CN"/>
              </w:rPr>
              <w:t>。</w:t>
            </w:r>
          </w:p>
        </w:tc>
        <w:tc>
          <w:tcPr>
            <w:tcW w:w="2497" w:type="dxa"/>
            <w:noWrap w:val="0"/>
            <w:vAlign w:val="center"/>
          </w:tcPr>
          <w:p w14:paraId="1D3AE708">
            <w:pPr>
              <w:spacing w:line="300" w:lineRule="exact"/>
              <w:jc w:val="both"/>
              <w:rPr>
                <w:rFonts w:hint="eastAsia" w:ascii="宋体" w:hAnsi="宋体" w:eastAsia="宋体" w:cs="宋体"/>
                <w:color w:val="000000"/>
                <w:sz w:val="21"/>
                <w:szCs w:val="21"/>
              </w:rPr>
            </w:pPr>
          </w:p>
        </w:tc>
        <w:tc>
          <w:tcPr>
            <w:tcW w:w="1926" w:type="dxa"/>
            <w:noWrap w:val="0"/>
            <w:vAlign w:val="center"/>
          </w:tcPr>
          <w:p w14:paraId="7FFE0C31">
            <w:pPr>
              <w:spacing w:line="300" w:lineRule="exact"/>
              <w:jc w:val="both"/>
              <w:rPr>
                <w:rFonts w:hint="eastAsia" w:ascii="宋体" w:hAnsi="宋体" w:eastAsia="宋体" w:cs="宋体"/>
                <w:color w:val="000000"/>
                <w:sz w:val="21"/>
                <w:szCs w:val="21"/>
              </w:rPr>
            </w:pPr>
            <w:r>
              <w:rPr>
                <w:rFonts w:hint="eastAsia" w:ascii="宋体" w:hAnsi="宋体" w:eastAsia="宋体" w:cs="宋体"/>
                <w:color w:val="000000"/>
                <w:sz w:val="21"/>
                <w:szCs w:val="21"/>
              </w:rPr>
              <w:t>《国务院关于预防煤矿生产安全事故的特别规定》第十条第一款</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第十一条。</w:t>
            </w:r>
          </w:p>
        </w:tc>
        <w:tc>
          <w:tcPr>
            <w:tcW w:w="1224" w:type="dxa"/>
            <w:noWrap w:val="0"/>
            <w:vAlign w:val="center"/>
          </w:tcPr>
          <w:p w14:paraId="345F5C52">
            <w:pPr>
              <w:spacing w:line="300" w:lineRule="exact"/>
              <w:jc w:val="both"/>
              <w:rPr>
                <w:rFonts w:hint="eastAsia" w:ascii="宋体" w:hAnsi="宋体" w:eastAsia="宋体" w:cs="宋体"/>
                <w:sz w:val="21"/>
                <w:szCs w:val="21"/>
              </w:rPr>
            </w:pPr>
          </w:p>
        </w:tc>
      </w:tr>
      <w:tr w14:paraId="0D889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23" w:type="dxa"/>
            <w:noWrap w:val="0"/>
            <w:vAlign w:val="center"/>
          </w:tcPr>
          <w:p w14:paraId="2AADB91C">
            <w:pPr>
              <w:spacing w:line="300" w:lineRule="exact"/>
              <w:jc w:val="center"/>
              <w:rPr>
                <w:rFonts w:hint="eastAsia" w:ascii="宋体" w:hAnsi="宋体" w:eastAsia="宋体" w:cs="宋体"/>
                <w:kern w:val="0"/>
                <w:sz w:val="21"/>
                <w:szCs w:val="21"/>
              </w:rPr>
            </w:pPr>
          </w:p>
        </w:tc>
        <w:tc>
          <w:tcPr>
            <w:tcW w:w="4670" w:type="dxa"/>
            <w:noWrap w:val="0"/>
            <w:vAlign w:val="center"/>
          </w:tcPr>
          <w:p w14:paraId="34E32928">
            <w:pPr>
              <w:spacing w:line="280" w:lineRule="exact"/>
              <w:ind w:firstLine="210" w:firstLineChars="100"/>
              <w:jc w:val="both"/>
              <w:rPr>
                <w:rFonts w:hint="eastAsia" w:ascii="宋体" w:hAnsi="宋体" w:eastAsia="宋体" w:cs="宋体"/>
                <w:color w:val="000000"/>
                <w:sz w:val="21"/>
                <w:szCs w:val="21"/>
              </w:rPr>
            </w:pPr>
            <w:r>
              <w:rPr>
                <w:rFonts w:hint="eastAsia" w:ascii="宋体" w:hAnsi="宋体" w:eastAsia="宋体" w:cs="宋体"/>
                <w:color w:val="000000"/>
                <w:sz w:val="21"/>
                <w:szCs w:val="21"/>
              </w:rPr>
              <w:t>掘进巷道在揭露老空区前，必须制定探查老空区的安全措施，包括接近老空区时必须预留的煤(岩)柱厚度和探明水、火、瓦斯等内容。必须根据探明的情况采取措施，进行处理。在揭露老空区时，必须将人员撤至安全地点。只有经过检查，证明老空区内的水、瓦斯和其他有害气体等无危险后，方可恢复工作。</w:t>
            </w:r>
          </w:p>
        </w:tc>
        <w:tc>
          <w:tcPr>
            <w:tcW w:w="3448" w:type="dxa"/>
            <w:noWrap w:val="0"/>
            <w:vAlign w:val="center"/>
          </w:tcPr>
          <w:p w14:paraId="0C2C20DA">
            <w:pPr>
              <w:spacing w:line="280" w:lineRule="exact"/>
              <w:jc w:val="both"/>
              <w:rPr>
                <w:rFonts w:hint="eastAsia" w:ascii="宋体" w:hAnsi="宋体" w:eastAsia="宋体" w:cs="宋体"/>
                <w:color w:val="000000"/>
                <w:sz w:val="21"/>
                <w:szCs w:val="21"/>
              </w:rPr>
            </w:pPr>
            <w:r>
              <w:rPr>
                <w:rFonts w:hint="eastAsia" w:ascii="宋体" w:hAnsi="宋体" w:eastAsia="宋体" w:cs="宋体"/>
                <w:color w:val="000000"/>
                <w:sz w:val="21"/>
                <w:szCs w:val="21"/>
              </w:rPr>
              <w:t>《煤矿安全规程》（原国家安全监管总局令第87号）第九十三条。</w:t>
            </w:r>
          </w:p>
        </w:tc>
        <w:tc>
          <w:tcPr>
            <w:tcW w:w="2497" w:type="dxa"/>
            <w:noWrap w:val="0"/>
            <w:vAlign w:val="center"/>
          </w:tcPr>
          <w:p w14:paraId="6DF1D5E4">
            <w:pPr>
              <w:spacing w:line="300" w:lineRule="exact"/>
              <w:jc w:val="both"/>
              <w:rPr>
                <w:rFonts w:hint="eastAsia" w:ascii="宋体" w:hAnsi="宋体" w:eastAsia="宋体" w:cs="宋体"/>
                <w:color w:val="000000"/>
                <w:sz w:val="21"/>
                <w:szCs w:val="21"/>
              </w:rPr>
            </w:pPr>
          </w:p>
        </w:tc>
        <w:tc>
          <w:tcPr>
            <w:tcW w:w="1926" w:type="dxa"/>
            <w:noWrap w:val="0"/>
            <w:vAlign w:val="center"/>
          </w:tcPr>
          <w:p w14:paraId="39D32BD4">
            <w:pPr>
              <w:spacing w:line="300" w:lineRule="exact"/>
              <w:jc w:val="both"/>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《安全生产违法行为行政处罚办法》第四十五条。</w:t>
            </w:r>
          </w:p>
          <w:p w14:paraId="58977209">
            <w:pPr>
              <w:spacing w:line="300" w:lineRule="exact"/>
              <w:jc w:val="both"/>
              <w:rPr>
                <w:rFonts w:hint="eastAsia" w:ascii="宋体" w:hAnsi="宋体" w:eastAsia="宋体" w:cs="宋体"/>
                <w:color w:val="000000"/>
                <w:sz w:val="21"/>
                <w:szCs w:val="21"/>
              </w:rPr>
            </w:pPr>
          </w:p>
        </w:tc>
        <w:tc>
          <w:tcPr>
            <w:tcW w:w="1224" w:type="dxa"/>
            <w:noWrap w:val="0"/>
            <w:vAlign w:val="center"/>
          </w:tcPr>
          <w:p w14:paraId="2DD1B8FE">
            <w:pPr>
              <w:spacing w:line="300" w:lineRule="exact"/>
              <w:jc w:val="both"/>
              <w:rPr>
                <w:rFonts w:hint="eastAsia" w:ascii="宋体" w:hAnsi="宋体" w:eastAsia="宋体" w:cs="宋体"/>
                <w:sz w:val="21"/>
                <w:szCs w:val="21"/>
              </w:rPr>
            </w:pPr>
          </w:p>
        </w:tc>
      </w:tr>
      <w:tr w14:paraId="5D2CB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23" w:type="dxa"/>
            <w:noWrap w:val="0"/>
            <w:vAlign w:val="center"/>
          </w:tcPr>
          <w:p w14:paraId="3B69B80D">
            <w:pPr>
              <w:spacing w:line="300" w:lineRule="exact"/>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2</w:t>
            </w:r>
            <w:r>
              <w:rPr>
                <w:rFonts w:hint="eastAsia" w:ascii="宋体" w:hAnsi="宋体" w:eastAsia="宋体" w:cs="宋体"/>
                <w:kern w:val="0"/>
                <w:sz w:val="21"/>
                <w:szCs w:val="21"/>
                <w:lang w:val="en-US" w:eastAsia="zh-CN"/>
              </w:rPr>
              <w:t>5</w:t>
            </w:r>
          </w:p>
        </w:tc>
        <w:tc>
          <w:tcPr>
            <w:tcW w:w="4670" w:type="dxa"/>
            <w:noWrap w:val="0"/>
            <w:vAlign w:val="center"/>
          </w:tcPr>
          <w:p w14:paraId="43B8CBBC">
            <w:pPr>
              <w:spacing w:line="280" w:lineRule="exact"/>
              <w:ind w:firstLine="210" w:firstLineChars="100"/>
              <w:jc w:val="both"/>
              <w:rPr>
                <w:rFonts w:hint="eastAsia" w:ascii="宋体" w:hAnsi="宋体" w:eastAsia="宋体" w:cs="宋体"/>
                <w:color w:val="000000"/>
                <w:sz w:val="21"/>
                <w:szCs w:val="21"/>
              </w:rPr>
            </w:pPr>
            <w:r>
              <w:rPr>
                <w:rFonts w:hint="eastAsia" w:ascii="宋体" w:hAnsi="宋体" w:eastAsia="宋体" w:cs="宋体"/>
                <w:color w:val="000000"/>
                <w:sz w:val="21"/>
                <w:szCs w:val="21"/>
              </w:rPr>
              <w:t>开采容易自燃和自燃煤层时，同一煤层应当至少测定1次采煤工作面采空区自然发火“三带”分布范围。当采煤工作面采煤方法、通风方式等发生重大变化时，应当重新测定。开采容易自燃和自燃煤层时，必须制定防治采空区(特别是工作面始采线、终采线、上下煤柱线和三角点)、巷道高冒区、煤柱破坏区自然发火的技术措施。</w:t>
            </w:r>
          </w:p>
        </w:tc>
        <w:tc>
          <w:tcPr>
            <w:tcW w:w="3448" w:type="dxa"/>
            <w:noWrap w:val="0"/>
            <w:vAlign w:val="center"/>
          </w:tcPr>
          <w:p w14:paraId="1488B8D1">
            <w:pPr>
              <w:spacing w:line="280" w:lineRule="exact"/>
              <w:jc w:val="both"/>
              <w:rPr>
                <w:rFonts w:hint="eastAsia" w:ascii="宋体" w:hAnsi="宋体" w:eastAsia="宋体" w:cs="宋体"/>
                <w:color w:val="000000"/>
                <w:sz w:val="21"/>
                <w:szCs w:val="21"/>
              </w:rPr>
            </w:pPr>
            <w:r>
              <w:rPr>
                <w:rFonts w:hint="eastAsia" w:ascii="宋体" w:hAnsi="宋体" w:eastAsia="宋体" w:cs="宋体"/>
                <w:color w:val="000000"/>
                <w:sz w:val="21"/>
                <w:szCs w:val="21"/>
              </w:rPr>
              <w:t>《煤矿防灭火细则》（矿安〔2021〕156号）第十四条；《煤矿安全规程》（原国家安全监管总局令第87号）第二百六十五条；《煤矿防灭火细则》（矿安〔2021〕156号）第二十一条。</w:t>
            </w:r>
          </w:p>
        </w:tc>
        <w:tc>
          <w:tcPr>
            <w:tcW w:w="2497" w:type="dxa"/>
            <w:noWrap w:val="0"/>
            <w:vAlign w:val="center"/>
          </w:tcPr>
          <w:p w14:paraId="679B39E9">
            <w:pPr>
              <w:spacing w:line="300" w:lineRule="exact"/>
              <w:jc w:val="both"/>
              <w:rPr>
                <w:rFonts w:hint="eastAsia" w:ascii="宋体" w:hAnsi="宋体" w:eastAsia="宋体" w:cs="宋体"/>
                <w:color w:val="000000"/>
                <w:sz w:val="21"/>
                <w:szCs w:val="21"/>
              </w:rPr>
            </w:pPr>
          </w:p>
        </w:tc>
        <w:tc>
          <w:tcPr>
            <w:tcW w:w="1926" w:type="dxa"/>
            <w:noWrap w:val="0"/>
            <w:vAlign w:val="center"/>
          </w:tcPr>
          <w:p w14:paraId="4FFE8EBC">
            <w:pPr>
              <w:spacing w:line="300" w:lineRule="exact"/>
              <w:jc w:val="both"/>
              <w:rPr>
                <w:rFonts w:hint="eastAsia" w:ascii="宋体" w:hAnsi="宋体" w:eastAsia="宋体" w:cs="宋体"/>
                <w:color w:val="000000"/>
                <w:sz w:val="21"/>
                <w:szCs w:val="21"/>
              </w:rPr>
            </w:pPr>
            <w:r>
              <w:rPr>
                <w:rFonts w:hint="eastAsia" w:ascii="宋体" w:hAnsi="宋体" w:eastAsia="宋体" w:cs="宋体"/>
                <w:color w:val="000000"/>
                <w:sz w:val="21"/>
                <w:szCs w:val="21"/>
              </w:rPr>
              <w:t>《国务院关于预防煤矿生产安全事故的特别规定》第十条第一款</w:t>
            </w:r>
            <w:r>
              <w:rPr>
                <w:rFonts w:hint="eastAsia" w:ascii="宋体" w:hAnsi="宋体" w:eastAsia="宋体" w:cs="宋体"/>
                <w:color w:val="000000"/>
                <w:sz w:val="21"/>
                <w:szCs w:val="21"/>
                <w:lang w:eastAsia="zh-CN"/>
              </w:rPr>
              <w:t>。</w:t>
            </w:r>
          </w:p>
        </w:tc>
        <w:tc>
          <w:tcPr>
            <w:tcW w:w="1224" w:type="dxa"/>
            <w:noWrap w:val="0"/>
            <w:vAlign w:val="center"/>
          </w:tcPr>
          <w:p w14:paraId="1FDB0207">
            <w:pPr>
              <w:spacing w:line="300" w:lineRule="exact"/>
              <w:jc w:val="both"/>
              <w:rPr>
                <w:rFonts w:hint="eastAsia" w:ascii="宋体" w:hAnsi="宋体" w:eastAsia="宋体" w:cs="宋体"/>
                <w:sz w:val="21"/>
                <w:szCs w:val="21"/>
              </w:rPr>
            </w:pPr>
          </w:p>
        </w:tc>
      </w:tr>
      <w:tr w14:paraId="6915E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23" w:type="dxa"/>
            <w:noWrap w:val="0"/>
            <w:vAlign w:val="center"/>
          </w:tcPr>
          <w:p w14:paraId="65FD7079">
            <w:pPr>
              <w:spacing w:line="300" w:lineRule="exact"/>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2</w:t>
            </w:r>
            <w:r>
              <w:rPr>
                <w:rFonts w:hint="eastAsia" w:ascii="宋体" w:hAnsi="宋体" w:eastAsia="宋体" w:cs="宋体"/>
                <w:kern w:val="0"/>
                <w:sz w:val="21"/>
                <w:szCs w:val="21"/>
                <w:lang w:val="en-US" w:eastAsia="zh-CN"/>
              </w:rPr>
              <w:t>6</w:t>
            </w:r>
          </w:p>
        </w:tc>
        <w:tc>
          <w:tcPr>
            <w:tcW w:w="4670" w:type="dxa"/>
            <w:noWrap w:val="0"/>
            <w:vAlign w:val="center"/>
          </w:tcPr>
          <w:p w14:paraId="30DEE240">
            <w:pPr>
              <w:spacing w:line="280" w:lineRule="exact"/>
              <w:jc w:val="both"/>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煤矿安全监控系统应具有伪数据标注及异常数据分析，瓦斯涌出、火灾等的预测预警，多系统融合条件下的综合数据分析，可与煤矿安全监控系统检查分析工具对接数据等大数据分析与应用功能。</w:t>
            </w:r>
          </w:p>
        </w:tc>
        <w:tc>
          <w:tcPr>
            <w:tcW w:w="3448" w:type="dxa"/>
            <w:noWrap w:val="0"/>
            <w:vAlign w:val="center"/>
          </w:tcPr>
          <w:p w14:paraId="40105E8B">
            <w:pPr>
              <w:spacing w:line="280" w:lineRule="exact"/>
              <w:jc w:val="both"/>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《煤矿安全监控系统及检测仪器使用管理规范》（AQ1029—2019）4.9</w:t>
            </w:r>
          </w:p>
        </w:tc>
        <w:tc>
          <w:tcPr>
            <w:tcW w:w="2497" w:type="dxa"/>
            <w:noWrap w:val="0"/>
            <w:vAlign w:val="center"/>
          </w:tcPr>
          <w:p w14:paraId="5A13D2E9">
            <w:pPr>
              <w:spacing w:line="300" w:lineRule="exact"/>
              <w:jc w:val="both"/>
              <w:rPr>
                <w:rFonts w:hint="eastAsia" w:ascii="宋体" w:hAnsi="宋体" w:eastAsia="宋体" w:cs="宋体"/>
                <w:color w:val="000000"/>
                <w:sz w:val="21"/>
                <w:szCs w:val="21"/>
              </w:rPr>
            </w:pPr>
          </w:p>
        </w:tc>
        <w:tc>
          <w:tcPr>
            <w:tcW w:w="1926" w:type="dxa"/>
            <w:noWrap w:val="0"/>
            <w:vAlign w:val="center"/>
          </w:tcPr>
          <w:p w14:paraId="0D66DB55">
            <w:pPr>
              <w:spacing w:line="300" w:lineRule="exact"/>
              <w:jc w:val="both"/>
              <w:rPr>
                <w:rFonts w:hint="eastAsia" w:ascii="宋体" w:hAnsi="宋体" w:eastAsia="宋体" w:cs="宋体"/>
                <w:color w:val="000000"/>
                <w:sz w:val="21"/>
                <w:szCs w:val="21"/>
              </w:rPr>
            </w:pPr>
            <w:r>
              <w:rPr>
                <w:rFonts w:hint="eastAsia" w:ascii="宋体" w:hAnsi="宋体" w:eastAsia="宋体" w:cs="宋体"/>
                <w:color w:val="000000"/>
                <w:sz w:val="21"/>
                <w:szCs w:val="21"/>
              </w:rPr>
              <w:t>《中华人民共和国安全生产法》第九十九条第二项</w:t>
            </w:r>
            <w:r>
              <w:rPr>
                <w:rFonts w:hint="eastAsia" w:ascii="宋体" w:hAnsi="宋体" w:eastAsia="宋体" w:cs="宋体"/>
                <w:color w:val="000000"/>
                <w:sz w:val="21"/>
                <w:szCs w:val="21"/>
                <w:lang w:eastAsia="zh-CN"/>
              </w:rPr>
              <w:t>。</w:t>
            </w:r>
          </w:p>
        </w:tc>
        <w:tc>
          <w:tcPr>
            <w:tcW w:w="1224" w:type="dxa"/>
            <w:noWrap w:val="0"/>
            <w:vAlign w:val="center"/>
          </w:tcPr>
          <w:p w14:paraId="2F88DE05">
            <w:pPr>
              <w:spacing w:line="300" w:lineRule="exact"/>
              <w:jc w:val="both"/>
              <w:rPr>
                <w:rFonts w:hint="eastAsia" w:ascii="宋体" w:hAnsi="宋体" w:eastAsia="宋体" w:cs="宋体"/>
                <w:sz w:val="21"/>
                <w:szCs w:val="21"/>
              </w:rPr>
            </w:pPr>
          </w:p>
        </w:tc>
      </w:tr>
      <w:tr w14:paraId="05C05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23" w:type="dxa"/>
            <w:noWrap w:val="0"/>
            <w:vAlign w:val="center"/>
          </w:tcPr>
          <w:p w14:paraId="25E3AED8">
            <w:pPr>
              <w:spacing w:line="300" w:lineRule="exact"/>
              <w:jc w:val="center"/>
              <w:rPr>
                <w:rFonts w:hint="eastAsia" w:ascii="宋体" w:hAnsi="宋体" w:eastAsia="宋体" w:cs="宋体"/>
                <w:sz w:val="21"/>
                <w:szCs w:val="21"/>
                <w:lang w:eastAsia="zh-CN"/>
              </w:rPr>
            </w:pPr>
            <w:r>
              <w:rPr>
                <w:rFonts w:hint="eastAsia" w:ascii="宋体" w:hAnsi="宋体" w:eastAsia="宋体" w:cs="宋体"/>
                <w:sz w:val="21"/>
                <w:szCs w:val="21"/>
              </w:rPr>
              <w:t>2</w:t>
            </w:r>
            <w:r>
              <w:rPr>
                <w:rFonts w:hint="eastAsia" w:ascii="宋体" w:hAnsi="宋体" w:eastAsia="宋体" w:cs="宋体"/>
                <w:sz w:val="21"/>
                <w:szCs w:val="21"/>
                <w:lang w:val="en-US" w:eastAsia="zh-CN"/>
              </w:rPr>
              <w:t>7</w:t>
            </w:r>
          </w:p>
        </w:tc>
        <w:tc>
          <w:tcPr>
            <w:tcW w:w="4670" w:type="dxa"/>
            <w:noWrap w:val="0"/>
            <w:vAlign w:val="center"/>
          </w:tcPr>
          <w:p w14:paraId="109DB664">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0" w:beforeAutospacing="0" w:after="0" w:afterAutospacing="0" w:line="280" w:lineRule="exact"/>
              <w:jc w:val="both"/>
              <w:rPr>
                <w:rFonts w:hint="eastAsia" w:ascii="宋体" w:hAnsi="宋体" w:eastAsia="宋体" w:cs="宋体"/>
                <w:color w:val="000000"/>
                <w:sz w:val="21"/>
                <w:szCs w:val="21"/>
              </w:rPr>
            </w:pPr>
            <w:r>
              <w:rPr>
                <w:rFonts w:hint="eastAsia" w:ascii="宋体" w:hAnsi="宋体" w:eastAsia="宋体" w:cs="宋体"/>
                <w:color w:val="000000"/>
                <w:sz w:val="21"/>
                <w:szCs w:val="21"/>
              </w:rPr>
              <w:t>煤矿安全监控系统应具有在瓦斯超限、断电等需立即撤人的紧急情况下，可自动与应急广播、通信、人员位置监测等系统应急联动的功能。有断电、馈电状态监测、报警、故障闭锁、甲烷电闭锁、风电闭锁等功能。是否存在人为破坏、数据造假、遮挡传感器、修改后台数据、压风吹传感器等违法行为。</w:t>
            </w:r>
          </w:p>
        </w:tc>
        <w:tc>
          <w:tcPr>
            <w:tcW w:w="3448" w:type="dxa"/>
            <w:noWrap w:val="0"/>
            <w:vAlign w:val="center"/>
          </w:tcPr>
          <w:p w14:paraId="0CAC754A">
            <w:pPr>
              <w:spacing w:line="280" w:lineRule="exact"/>
              <w:jc w:val="both"/>
              <w:rPr>
                <w:rFonts w:hint="eastAsia" w:ascii="宋体" w:hAnsi="宋体" w:eastAsia="宋体" w:cs="宋体"/>
                <w:color w:val="000000"/>
                <w:sz w:val="21"/>
                <w:szCs w:val="21"/>
              </w:rPr>
            </w:pPr>
            <w:r>
              <w:rPr>
                <w:rFonts w:hint="eastAsia" w:ascii="宋体" w:hAnsi="宋体" w:eastAsia="宋体" w:cs="宋体"/>
                <w:color w:val="000000"/>
                <w:kern w:val="0"/>
                <w:sz w:val="21"/>
                <w:szCs w:val="21"/>
              </w:rPr>
              <w:t>《煤矿安全监控系统及检测仪器使用管理规范》（AQ1029—2019）4.10；《煤矿安全监控系统通用技术要求》（AQ 6201-2019）5.5.2.7；《煤矿安全规程》第四百九十条；《安全生产法》第三十六条第三款。</w:t>
            </w:r>
          </w:p>
        </w:tc>
        <w:tc>
          <w:tcPr>
            <w:tcW w:w="2497" w:type="dxa"/>
            <w:noWrap w:val="0"/>
            <w:vAlign w:val="center"/>
          </w:tcPr>
          <w:p w14:paraId="498A9F9D">
            <w:pPr>
              <w:spacing w:line="300" w:lineRule="exact"/>
              <w:jc w:val="both"/>
              <w:rPr>
                <w:rFonts w:hint="eastAsia" w:ascii="宋体" w:hAnsi="宋体" w:eastAsia="宋体" w:cs="宋体"/>
                <w:color w:val="000000"/>
                <w:sz w:val="21"/>
                <w:szCs w:val="21"/>
              </w:rPr>
            </w:pPr>
          </w:p>
        </w:tc>
        <w:tc>
          <w:tcPr>
            <w:tcW w:w="1926" w:type="dxa"/>
            <w:noWrap w:val="0"/>
            <w:vAlign w:val="center"/>
          </w:tcPr>
          <w:p w14:paraId="4440770A">
            <w:pPr>
              <w:numPr>
                <w:ilvl w:val="0"/>
                <w:numId w:val="0"/>
              </w:numPr>
              <w:spacing w:line="300" w:lineRule="exact"/>
              <w:jc w:val="both"/>
              <w:rPr>
                <w:rFonts w:hint="eastAsia" w:ascii="宋体" w:hAnsi="宋体" w:eastAsia="宋体" w:cs="宋体"/>
                <w:color w:val="000000"/>
                <w:sz w:val="21"/>
                <w:szCs w:val="21"/>
              </w:rPr>
            </w:pPr>
            <w:r>
              <w:rPr>
                <w:rFonts w:hint="eastAsia" w:ascii="宋体" w:hAnsi="宋体" w:eastAsia="宋体" w:cs="宋体"/>
                <w:color w:val="000000"/>
                <w:sz w:val="21"/>
                <w:szCs w:val="21"/>
              </w:rPr>
              <w:t>《国务院关于预防煤矿生产安全事故的特别规定》第十条第一款</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《中华人民共和国安全生产法》第六十九条；《中华人民共和国安全生产法》第九十九条第二项</w:t>
            </w:r>
            <w:r>
              <w:rPr>
                <w:rFonts w:hint="eastAsia" w:ascii="宋体" w:hAnsi="宋体" w:eastAsia="宋体" w:cs="宋体"/>
                <w:color w:val="000000"/>
                <w:sz w:val="21"/>
                <w:szCs w:val="21"/>
                <w:lang w:eastAsia="zh-CN"/>
              </w:rPr>
              <w:t>。</w:t>
            </w:r>
          </w:p>
        </w:tc>
        <w:tc>
          <w:tcPr>
            <w:tcW w:w="1224" w:type="dxa"/>
            <w:noWrap w:val="0"/>
            <w:vAlign w:val="center"/>
          </w:tcPr>
          <w:p w14:paraId="232348DD">
            <w:pPr>
              <w:spacing w:line="300" w:lineRule="exact"/>
              <w:jc w:val="both"/>
              <w:rPr>
                <w:rFonts w:hint="eastAsia" w:ascii="宋体" w:hAnsi="宋体" w:eastAsia="宋体" w:cs="宋体"/>
                <w:sz w:val="21"/>
                <w:szCs w:val="21"/>
              </w:rPr>
            </w:pPr>
          </w:p>
        </w:tc>
      </w:tr>
      <w:tr w14:paraId="30E03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23" w:type="dxa"/>
            <w:noWrap w:val="0"/>
            <w:vAlign w:val="center"/>
          </w:tcPr>
          <w:p w14:paraId="725FD48F">
            <w:pPr>
              <w:spacing w:line="300" w:lineRule="exact"/>
              <w:jc w:val="center"/>
              <w:rPr>
                <w:rFonts w:hint="eastAsia" w:ascii="宋体" w:hAnsi="宋体" w:eastAsia="宋体" w:cs="宋体"/>
                <w:sz w:val="21"/>
                <w:szCs w:val="21"/>
                <w:lang w:eastAsia="zh-CN"/>
              </w:rPr>
            </w:pPr>
            <w:r>
              <w:rPr>
                <w:rFonts w:hint="eastAsia" w:ascii="宋体" w:hAnsi="宋体" w:eastAsia="宋体" w:cs="宋体"/>
                <w:sz w:val="21"/>
                <w:szCs w:val="21"/>
              </w:rPr>
              <w:t>2</w:t>
            </w:r>
            <w:r>
              <w:rPr>
                <w:rFonts w:hint="eastAsia" w:ascii="宋体" w:hAnsi="宋体" w:eastAsia="宋体" w:cs="宋体"/>
                <w:sz w:val="21"/>
                <w:szCs w:val="21"/>
                <w:lang w:val="en-US" w:eastAsia="zh-CN"/>
              </w:rPr>
              <w:t>8</w:t>
            </w:r>
          </w:p>
        </w:tc>
        <w:tc>
          <w:tcPr>
            <w:tcW w:w="4670" w:type="dxa"/>
            <w:noWrap w:val="0"/>
            <w:vAlign w:val="center"/>
          </w:tcPr>
          <w:p w14:paraId="4898E59C">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0" w:beforeAutospacing="0" w:after="0" w:afterAutospacing="0" w:line="280" w:lineRule="exact"/>
              <w:ind w:firstLine="210" w:firstLineChars="100"/>
              <w:jc w:val="both"/>
              <w:rPr>
                <w:rFonts w:hint="eastAsia" w:ascii="宋体" w:hAnsi="宋体" w:eastAsia="宋体" w:cs="宋体"/>
                <w:color w:val="000000"/>
                <w:sz w:val="21"/>
                <w:szCs w:val="21"/>
              </w:rPr>
            </w:pPr>
            <w:r>
              <w:rPr>
                <w:rFonts w:hint="eastAsia" w:ascii="宋体" w:hAnsi="宋体" w:eastAsia="宋体" w:cs="宋体"/>
                <w:color w:val="000000"/>
                <w:sz w:val="21"/>
                <w:szCs w:val="21"/>
              </w:rPr>
              <w:t>冲击地压矿井必须设立专门的防冲机构，并配备专业防冲技术人员与施工队伍；专业防冲技术人员应明确专业技术要求、最低人数等；</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配备的专业防冲技术人员数量必须满足防冲工作需要。煤矿企业(煤矿)的主要负责人（法定代表人、实际控制人）是冲击地压防治的第一责任人，对防治工作全面负责；其他负责人对分管范围内冲击地压防治工作负责；煤矿企业(煤矿)总工程师是冲击地压防治的技术负责人，对防治技术工作负责。</w:t>
            </w:r>
          </w:p>
        </w:tc>
        <w:tc>
          <w:tcPr>
            <w:tcW w:w="3448" w:type="dxa"/>
            <w:noWrap w:val="0"/>
            <w:vAlign w:val="center"/>
          </w:tcPr>
          <w:p w14:paraId="1DF6E6F3">
            <w:pPr>
              <w:spacing w:line="280" w:lineRule="exact"/>
              <w:jc w:val="both"/>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煤矿重大事故隐患判定标准》（中华人民共和国应急管理部令第4号）第十一条第二项；《煤矿安全规程》（原国家安全监管总局令第87号）第二百二十八条；《防治煤矿冲击地压细则》（煤安监技装〔2018〕8号）第十八条。</w:t>
            </w:r>
          </w:p>
        </w:tc>
        <w:tc>
          <w:tcPr>
            <w:tcW w:w="2497" w:type="dxa"/>
            <w:noWrap w:val="0"/>
            <w:vAlign w:val="center"/>
          </w:tcPr>
          <w:p w14:paraId="1D183F7C">
            <w:pPr>
              <w:spacing w:line="300" w:lineRule="exact"/>
              <w:jc w:val="both"/>
              <w:rPr>
                <w:rFonts w:hint="eastAsia" w:ascii="宋体" w:hAnsi="宋体" w:eastAsia="宋体" w:cs="宋体"/>
                <w:color w:val="000000"/>
                <w:sz w:val="21"/>
                <w:szCs w:val="21"/>
              </w:rPr>
            </w:pPr>
          </w:p>
        </w:tc>
        <w:tc>
          <w:tcPr>
            <w:tcW w:w="1926" w:type="dxa"/>
            <w:noWrap w:val="0"/>
            <w:vAlign w:val="center"/>
          </w:tcPr>
          <w:p w14:paraId="63351ED5">
            <w:pPr>
              <w:spacing w:line="300" w:lineRule="exact"/>
              <w:jc w:val="both"/>
              <w:rPr>
                <w:rFonts w:hint="eastAsia" w:ascii="宋体" w:hAnsi="宋体" w:eastAsia="宋体" w:cs="宋体"/>
                <w:color w:val="000000"/>
                <w:sz w:val="21"/>
                <w:szCs w:val="21"/>
              </w:rPr>
            </w:pPr>
            <w:r>
              <w:rPr>
                <w:rFonts w:hint="eastAsia" w:ascii="宋体" w:hAnsi="宋体" w:eastAsia="宋体" w:cs="宋体"/>
                <w:color w:val="000000"/>
                <w:sz w:val="21"/>
                <w:szCs w:val="21"/>
              </w:rPr>
              <w:t>《国务院关于预防煤矿生产安全事故的特别规定》第十条第一款</w:t>
            </w:r>
            <w:r>
              <w:rPr>
                <w:rFonts w:hint="eastAsia" w:ascii="宋体" w:hAnsi="宋体" w:eastAsia="宋体" w:cs="宋体"/>
                <w:color w:val="000000"/>
                <w:sz w:val="21"/>
                <w:szCs w:val="21"/>
                <w:lang w:eastAsia="zh-CN"/>
              </w:rPr>
              <w:t>。</w:t>
            </w:r>
          </w:p>
        </w:tc>
        <w:tc>
          <w:tcPr>
            <w:tcW w:w="1224" w:type="dxa"/>
            <w:noWrap w:val="0"/>
            <w:vAlign w:val="center"/>
          </w:tcPr>
          <w:p w14:paraId="52090D6A">
            <w:pPr>
              <w:spacing w:line="300" w:lineRule="exact"/>
              <w:jc w:val="both"/>
              <w:rPr>
                <w:rFonts w:hint="eastAsia" w:ascii="宋体" w:hAnsi="宋体" w:eastAsia="宋体" w:cs="宋体"/>
                <w:sz w:val="21"/>
                <w:szCs w:val="21"/>
              </w:rPr>
            </w:pPr>
          </w:p>
        </w:tc>
      </w:tr>
      <w:tr w14:paraId="22F95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23" w:type="dxa"/>
            <w:noWrap w:val="0"/>
            <w:vAlign w:val="center"/>
          </w:tcPr>
          <w:p w14:paraId="73FD5BCD">
            <w:pPr>
              <w:spacing w:line="3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29</w:t>
            </w:r>
          </w:p>
        </w:tc>
        <w:tc>
          <w:tcPr>
            <w:tcW w:w="4670" w:type="dxa"/>
            <w:noWrap w:val="0"/>
            <w:vAlign w:val="center"/>
          </w:tcPr>
          <w:p w14:paraId="7225E298">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0" w:beforeAutospacing="0" w:after="0" w:afterAutospacing="0" w:line="280" w:lineRule="exact"/>
              <w:ind w:firstLine="210" w:firstLineChars="100"/>
              <w:jc w:val="both"/>
              <w:rPr>
                <w:rFonts w:hint="eastAsia" w:ascii="宋体" w:hAnsi="宋体" w:eastAsia="宋体" w:cs="宋体"/>
                <w:color w:val="000000"/>
                <w:sz w:val="21"/>
                <w:szCs w:val="21"/>
              </w:rPr>
            </w:pPr>
            <w:r>
              <w:rPr>
                <w:rFonts w:hint="eastAsia" w:ascii="宋体" w:hAnsi="宋体" w:eastAsia="宋体" w:cs="宋体"/>
                <w:color w:val="000000"/>
                <w:sz w:val="21"/>
                <w:szCs w:val="21"/>
              </w:rPr>
              <w:t>有下列情况之一的，应当进行煤岩冲击倾向性鉴定： </w:t>
            </w:r>
          </w:p>
          <w:p w14:paraId="336D0044">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0" w:beforeAutospacing="0" w:after="0" w:afterAutospacing="0" w:line="280" w:lineRule="exact"/>
              <w:ind w:firstLine="210" w:firstLineChars="100"/>
              <w:jc w:val="both"/>
              <w:rPr>
                <w:rFonts w:hint="eastAsia" w:ascii="宋体" w:hAnsi="宋体" w:eastAsia="宋体" w:cs="宋体"/>
                <w:color w:val="000000"/>
                <w:sz w:val="21"/>
                <w:szCs w:val="21"/>
              </w:rPr>
            </w:pPr>
            <w:r>
              <w:rPr>
                <w:rFonts w:hint="eastAsia" w:ascii="宋体" w:hAnsi="宋体" w:eastAsia="宋体" w:cs="宋体"/>
                <w:color w:val="000000"/>
                <w:sz w:val="21"/>
                <w:szCs w:val="21"/>
              </w:rPr>
              <w:t>有强烈震动、瞬间底(帮)鼓、煤岩弹射等动力现象的。 </w:t>
            </w:r>
          </w:p>
          <w:p w14:paraId="596FD044">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0" w:beforeAutospacing="0" w:after="0" w:afterAutospacing="0" w:line="280" w:lineRule="exact"/>
              <w:jc w:val="both"/>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埋深超过400m的煤层，且煤层上方100m范围内存在单层厚度超过10m、单轴抗压强度大于60MPa的坚硬岩层。</w:t>
            </w:r>
          </w:p>
          <w:p w14:paraId="350A1708">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0" w:beforeAutospacing="0" w:after="0" w:afterAutospacing="0" w:line="280" w:lineRule="exact"/>
              <w:ind w:firstLine="210" w:firstLineChars="100"/>
              <w:jc w:val="both"/>
              <w:rPr>
                <w:rFonts w:hint="eastAsia" w:ascii="宋体" w:hAnsi="宋体" w:eastAsia="宋体" w:cs="宋体"/>
                <w:color w:val="000000"/>
                <w:sz w:val="21"/>
                <w:szCs w:val="21"/>
              </w:rPr>
            </w:pPr>
            <w:r>
              <w:rPr>
                <w:rFonts w:hint="eastAsia" w:ascii="宋体" w:hAnsi="宋体" w:eastAsia="宋体" w:cs="宋体"/>
                <w:color w:val="000000"/>
                <w:sz w:val="21"/>
                <w:szCs w:val="21"/>
              </w:rPr>
              <w:t>相邻矿井开采的同一煤层发生过冲击地压的。 </w:t>
            </w:r>
          </w:p>
          <w:p w14:paraId="0905CE0A">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0" w:beforeAutospacing="0" w:after="0" w:afterAutospacing="0" w:line="280" w:lineRule="exact"/>
              <w:ind w:firstLine="210" w:firstLineChars="100"/>
              <w:jc w:val="both"/>
              <w:rPr>
                <w:rFonts w:hint="eastAsia" w:ascii="宋体" w:hAnsi="宋体" w:eastAsia="宋体" w:cs="宋体"/>
                <w:color w:val="000000"/>
                <w:sz w:val="21"/>
                <w:szCs w:val="21"/>
              </w:rPr>
            </w:pPr>
            <w:r>
              <w:rPr>
                <w:rFonts w:hint="eastAsia" w:ascii="宋体" w:hAnsi="宋体" w:eastAsia="宋体" w:cs="宋体"/>
                <w:color w:val="000000"/>
                <w:sz w:val="21"/>
                <w:szCs w:val="21"/>
              </w:rPr>
              <w:t>冲击地压矿井开采新水平、新煤层。</w:t>
            </w:r>
          </w:p>
        </w:tc>
        <w:tc>
          <w:tcPr>
            <w:tcW w:w="3448" w:type="dxa"/>
            <w:noWrap w:val="0"/>
            <w:vAlign w:val="center"/>
          </w:tcPr>
          <w:p w14:paraId="032F53D5">
            <w:pPr>
              <w:spacing w:line="280" w:lineRule="exact"/>
              <w:jc w:val="both"/>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《煤矿重大事故隐患判定标准》（应急管理部令第4号）第十一条第（一）项；《煤矿安全规程》（原国家安全监管总局令第87号）第二百二十六条；《防治煤矿冲击地压细则》（煤安监技装〔2018〕8号）第十条。</w:t>
            </w:r>
          </w:p>
        </w:tc>
        <w:tc>
          <w:tcPr>
            <w:tcW w:w="2497" w:type="dxa"/>
            <w:noWrap w:val="0"/>
            <w:vAlign w:val="center"/>
          </w:tcPr>
          <w:p w14:paraId="1C38281F">
            <w:pPr>
              <w:spacing w:line="300" w:lineRule="exact"/>
              <w:jc w:val="both"/>
              <w:rPr>
                <w:rFonts w:hint="eastAsia" w:ascii="宋体" w:hAnsi="宋体" w:eastAsia="宋体" w:cs="宋体"/>
                <w:color w:val="000000"/>
                <w:sz w:val="21"/>
                <w:szCs w:val="21"/>
              </w:rPr>
            </w:pPr>
          </w:p>
        </w:tc>
        <w:tc>
          <w:tcPr>
            <w:tcW w:w="1926" w:type="dxa"/>
            <w:noWrap w:val="0"/>
            <w:vAlign w:val="center"/>
          </w:tcPr>
          <w:p w14:paraId="13A8FD80">
            <w:pPr>
              <w:spacing w:line="300" w:lineRule="exact"/>
              <w:jc w:val="both"/>
              <w:rPr>
                <w:rFonts w:hint="eastAsia" w:ascii="宋体" w:hAnsi="宋体" w:eastAsia="宋体" w:cs="宋体"/>
                <w:color w:val="000000"/>
                <w:sz w:val="21"/>
                <w:szCs w:val="21"/>
              </w:rPr>
            </w:pPr>
            <w:r>
              <w:rPr>
                <w:rFonts w:hint="eastAsia" w:ascii="宋体" w:hAnsi="宋体" w:eastAsia="宋体" w:cs="宋体"/>
                <w:color w:val="000000"/>
                <w:sz w:val="21"/>
                <w:szCs w:val="21"/>
              </w:rPr>
              <w:t>《国务院关于预防煤矿生产安全事故的特别规定》第十条第一款</w:t>
            </w:r>
            <w:r>
              <w:rPr>
                <w:rFonts w:hint="eastAsia" w:ascii="宋体" w:hAnsi="宋体" w:eastAsia="宋体" w:cs="宋体"/>
                <w:color w:val="000000"/>
                <w:sz w:val="21"/>
                <w:szCs w:val="21"/>
                <w:lang w:eastAsia="zh-CN"/>
              </w:rPr>
              <w:t>。</w:t>
            </w:r>
          </w:p>
        </w:tc>
        <w:tc>
          <w:tcPr>
            <w:tcW w:w="1224" w:type="dxa"/>
            <w:noWrap w:val="0"/>
            <w:vAlign w:val="center"/>
          </w:tcPr>
          <w:p w14:paraId="05A04CC5">
            <w:pPr>
              <w:spacing w:line="300" w:lineRule="exact"/>
              <w:jc w:val="both"/>
              <w:rPr>
                <w:rFonts w:hint="eastAsia" w:ascii="宋体" w:hAnsi="宋体" w:eastAsia="宋体" w:cs="宋体"/>
                <w:sz w:val="21"/>
                <w:szCs w:val="21"/>
              </w:rPr>
            </w:pPr>
          </w:p>
        </w:tc>
      </w:tr>
      <w:tr w14:paraId="022E6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23" w:type="dxa"/>
            <w:noWrap w:val="0"/>
            <w:vAlign w:val="center"/>
          </w:tcPr>
          <w:p w14:paraId="0A1F9BEE">
            <w:pPr>
              <w:spacing w:line="3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30</w:t>
            </w:r>
          </w:p>
        </w:tc>
        <w:tc>
          <w:tcPr>
            <w:tcW w:w="4670" w:type="dxa"/>
            <w:noWrap w:val="0"/>
            <w:vAlign w:val="center"/>
          </w:tcPr>
          <w:p w14:paraId="0A9CF230">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0" w:beforeAutospacing="0" w:after="0" w:afterAutospacing="0" w:line="280" w:lineRule="exact"/>
              <w:ind w:firstLine="210" w:firstLineChars="100"/>
              <w:jc w:val="both"/>
              <w:rPr>
                <w:rFonts w:hint="eastAsia" w:ascii="宋体" w:hAnsi="宋体" w:eastAsia="宋体" w:cs="宋体"/>
                <w:color w:val="000000"/>
                <w:sz w:val="21"/>
                <w:szCs w:val="21"/>
              </w:rPr>
            </w:pPr>
            <w:r>
              <w:rPr>
                <w:rFonts w:hint="eastAsia" w:ascii="宋体" w:hAnsi="宋体" w:eastAsia="宋体" w:cs="宋体"/>
                <w:color w:val="000000"/>
                <w:kern w:val="0"/>
                <w:sz w:val="21"/>
                <w:szCs w:val="21"/>
                <w:lang w:val="en-US" w:eastAsia="zh-CN" w:bidi="ar-SA"/>
              </w:rPr>
              <w:t>采剥工作面布置在采矿许可证规定的范围之内，严禁超层越界开采。</w:t>
            </w:r>
          </w:p>
        </w:tc>
        <w:tc>
          <w:tcPr>
            <w:tcW w:w="3448" w:type="dxa"/>
            <w:noWrap w:val="0"/>
            <w:vAlign w:val="center"/>
          </w:tcPr>
          <w:p w14:paraId="370690B8">
            <w:pPr>
              <w:spacing w:line="280" w:lineRule="exact"/>
              <w:jc w:val="both"/>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《中华人民共和国安全生产法》第六十二条第一款第二项；《国务院关于预防煤矿生 产安全事故的特别规定》第十条第一款，第十一条；</w:t>
            </w:r>
          </w:p>
          <w:p w14:paraId="4C136230">
            <w:pPr>
              <w:spacing w:line="280" w:lineRule="exact"/>
              <w:jc w:val="both"/>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《煤矿重大生产安全事故隐患判定标准》第一条。</w:t>
            </w:r>
          </w:p>
        </w:tc>
        <w:tc>
          <w:tcPr>
            <w:tcW w:w="2497" w:type="dxa"/>
            <w:noWrap w:val="0"/>
            <w:vAlign w:val="center"/>
          </w:tcPr>
          <w:p w14:paraId="40652036">
            <w:pPr>
              <w:spacing w:line="300" w:lineRule="exact"/>
              <w:jc w:val="both"/>
              <w:rPr>
                <w:rFonts w:hint="eastAsia" w:ascii="宋体" w:hAnsi="宋体" w:eastAsia="宋体" w:cs="宋体"/>
                <w:color w:val="000000"/>
                <w:sz w:val="21"/>
                <w:szCs w:val="21"/>
              </w:rPr>
            </w:pPr>
          </w:p>
        </w:tc>
        <w:tc>
          <w:tcPr>
            <w:tcW w:w="1926" w:type="dxa"/>
            <w:noWrap w:val="0"/>
            <w:vAlign w:val="center"/>
          </w:tcPr>
          <w:p w14:paraId="2370B39E">
            <w:pPr>
              <w:spacing w:line="300" w:lineRule="exact"/>
              <w:jc w:val="both"/>
              <w:rPr>
                <w:rFonts w:hint="eastAsia" w:ascii="宋体" w:hAnsi="宋体" w:eastAsia="宋体" w:cs="宋体"/>
                <w:color w:val="000000"/>
                <w:sz w:val="21"/>
                <w:szCs w:val="21"/>
              </w:rPr>
            </w:pPr>
            <w:r>
              <w:rPr>
                <w:rFonts w:hint="eastAsia" w:ascii="宋体" w:hAnsi="宋体" w:eastAsia="宋体" w:cs="宋体"/>
                <w:color w:val="000000"/>
                <w:sz w:val="21"/>
                <w:szCs w:val="21"/>
              </w:rPr>
              <w:t>《国务院关于预防煤矿生产安全事故的特别规定》第十条第一款</w:t>
            </w:r>
            <w:r>
              <w:rPr>
                <w:rFonts w:hint="eastAsia" w:ascii="宋体" w:hAnsi="宋体" w:eastAsia="宋体" w:cs="宋体"/>
                <w:color w:val="000000"/>
                <w:sz w:val="21"/>
                <w:szCs w:val="21"/>
                <w:lang w:eastAsia="zh-CN"/>
              </w:rPr>
              <w:t>。</w:t>
            </w:r>
          </w:p>
        </w:tc>
        <w:tc>
          <w:tcPr>
            <w:tcW w:w="1224" w:type="dxa"/>
            <w:noWrap w:val="0"/>
            <w:vAlign w:val="center"/>
          </w:tcPr>
          <w:p w14:paraId="00E6DF52">
            <w:pPr>
              <w:spacing w:line="300" w:lineRule="exact"/>
              <w:jc w:val="both"/>
              <w:rPr>
                <w:rFonts w:hint="eastAsia" w:ascii="宋体" w:hAnsi="宋体" w:eastAsia="宋体" w:cs="宋体"/>
                <w:sz w:val="21"/>
                <w:szCs w:val="21"/>
              </w:rPr>
            </w:pPr>
          </w:p>
        </w:tc>
      </w:tr>
      <w:tr w14:paraId="75E96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23" w:type="dxa"/>
            <w:noWrap w:val="0"/>
            <w:vAlign w:val="center"/>
          </w:tcPr>
          <w:p w14:paraId="36205C1C">
            <w:pPr>
              <w:spacing w:line="3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31</w:t>
            </w:r>
          </w:p>
        </w:tc>
        <w:tc>
          <w:tcPr>
            <w:tcW w:w="4670" w:type="dxa"/>
            <w:noWrap w:val="0"/>
            <w:vAlign w:val="center"/>
          </w:tcPr>
          <w:p w14:paraId="485A6EC8">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0" w:beforeAutospacing="0" w:after="0" w:afterAutospacing="0" w:line="280" w:lineRule="exact"/>
              <w:ind w:firstLine="210" w:firstLineChars="100"/>
              <w:jc w:val="both"/>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露天采场局部及最终边坡的台阶坡面角和边坡角符合最终边坡设计要求</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最小工作平盘宽度，须保证采掘、运输设备的安全运行和供电通信线路、供排水系统、安全挡墙等的正常布置。</w:t>
            </w:r>
          </w:p>
        </w:tc>
        <w:tc>
          <w:tcPr>
            <w:tcW w:w="3448" w:type="dxa"/>
            <w:noWrap w:val="0"/>
            <w:vAlign w:val="center"/>
          </w:tcPr>
          <w:p w14:paraId="6F87B4C1">
            <w:pPr>
              <w:spacing w:line="280" w:lineRule="exact"/>
              <w:jc w:val="both"/>
              <w:rPr>
                <w:rFonts w:hint="eastAsia" w:ascii="宋体" w:hAnsi="宋体" w:eastAsia="宋体" w:cs="宋体"/>
                <w:color w:val="000000"/>
                <w:kern w:val="0"/>
                <w:sz w:val="21"/>
                <w:szCs w:val="21"/>
                <w:lang w:val="en-US" w:eastAsia="zh-CN"/>
              </w:rPr>
            </w:pPr>
            <w:r>
              <w:rPr>
                <w:rFonts w:hint="eastAsia" w:ascii="宋体" w:hAnsi="宋体" w:eastAsia="宋体" w:cs="宋体"/>
                <w:color w:val="000000"/>
                <w:spacing w:val="-8"/>
                <w:sz w:val="21"/>
                <w:szCs w:val="21"/>
              </w:rPr>
              <w:t>《煤矿安全规程》第</w:t>
            </w:r>
            <w:r>
              <w:rPr>
                <w:rFonts w:hint="eastAsia" w:ascii="宋体" w:hAnsi="宋体" w:eastAsia="宋体" w:cs="宋体"/>
                <w:color w:val="000000"/>
                <w:spacing w:val="-8"/>
                <w:sz w:val="21"/>
                <w:szCs w:val="21"/>
                <w:lang w:eastAsia="zh-CN"/>
              </w:rPr>
              <w:t>五百三十九</w:t>
            </w:r>
            <w:r>
              <w:rPr>
                <w:rFonts w:hint="eastAsia" w:ascii="宋体" w:hAnsi="宋体" w:eastAsia="宋体" w:cs="宋体"/>
                <w:color w:val="000000"/>
                <w:spacing w:val="-8"/>
                <w:sz w:val="21"/>
                <w:szCs w:val="21"/>
              </w:rPr>
              <w:t>条</w:t>
            </w:r>
            <w:r>
              <w:rPr>
                <w:rFonts w:hint="eastAsia" w:ascii="宋体" w:hAnsi="宋体" w:eastAsia="宋体" w:cs="宋体"/>
                <w:color w:val="000000"/>
                <w:spacing w:val="-8"/>
                <w:sz w:val="21"/>
                <w:szCs w:val="21"/>
                <w:lang w:eastAsia="zh-CN"/>
              </w:rPr>
              <w:t>、五百四十</w:t>
            </w:r>
            <w:r>
              <w:rPr>
                <w:rFonts w:hint="eastAsia" w:ascii="宋体" w:hAnsi="宋体" w:eastAsia="宋体" w:cs="宋体"/>
                <w:color w:val="000000"/>
                <w:spacing w:val="-8"/>
                <w:sz w:val="21"/>
                <w:szCs w:val="21"/>
                <w:lang w:val="en-US" w:eastAsia="zh-CN"/>
              </w:rPr>
              <w:t>条。</w:t>
            </w:r>
          </w:p>
        </w:tc>
        <w:tc>
          <w:tcPr>
            <w:tcW w:w="2497" w:type="dxa"/>
            <w:noWrap w:val="0"/>
            <w:vAlign w:val="center"/>
          </w:tcPr>
          <w:p w14:paraId="115E4E46">
            <w:pPr>
              <w:spacing w:line="300" w:lineRule="exact"/>
              <w:jc w:val="both"/>
              <w:rPr>
                <w:rFonts w:hint="eastAsia" w:ascii="宋体" w:hAnsi="宋体" w:eastAsia="宋体" w:cs="宋体"/>
                <w:color w:val="000000"/>
                <w:sz w:val="21"/>
                <w:szCs w:val="21"/>
              </w:rPr>
            </w:pPr>
          </w:p>
        </w:tc>
        <w:tc>
          <w:tcPr>
            <w:tcW w:w="1926" w:type="dxa"/>
            <w:noWrap w:val="0"/>
            <w:vAlign w:val="center"/>
          </w:tcPr>
          <w:p w14:paraId="230890BD">
            <w:pPr>
              <w:spacing w:line="300" w:lineRule="exact"/>
              <w:jc w:val="both"/>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《安全生产违法行为行政处罚办法》第四十五条。</w:t>
            </w:r>
          </w:p>
        </w:tc>
        <w:tc>
          <w:tcPr>
            <w:tcW w:w="1224" w:type="dxa"/>
            <w:noWrap w:val="0"/>
            <w:vAlign w:val="center"/>
          </w:tcPr>
          <w:p w14:paraId="7C9821CF">
            <w:pPr>
              <w:spacing w:line="300" w:lineRule="exact"/>
              <w:jc w:val="both"/>
              <w:rPr>
                <w:rFonts w:hint="eastAsia" w:ascii="宋体" w:hAnsi="宋体" w:eastAsia="宋体" w:cs="宋体"/>
                <w:sz w:val="21"/>
                <w:szCs w:val="21"/>
              </w:rPr>
            </w:pPr>
          </w:p>
        </w:tc>
      </w:tr>
      <w:tr w14:paraId="0CD81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23" w:type="dxa"/>
            <w:noWrap w:val="0"/>
            <w:vAlign w:val="center"/>
          </w:tcPr>
          <w:p w14:paraId="417853CD">
            <w:pPr>
              <w:spacing w:line="300" w:lineRule="exact"/>
              <w:jc w:val="center"/>
              <w:rPr>
                <w:rFonts w:hint="default" w:ascii="仿宋_GB2312" w:eastAsia="仿宋_GB2312"/>
                <w:sz w:val="21"/>
                <w:szCs w:val="21"/>
                <w:lang w:val="en-US" w:eastAsia="zh-CN"/>
              </w:rPr>
            </w:pPr>
            <w:r>
              <w:rPr>
                <w:rFonts w:hint="eastAsia" w:ascii="仿宋_GB2312"/>
                <w:sz w:val="21"/>
                <w:szCs w:val="21"/>
                <w:lang w:val="en-US" w:eastAsia="zh-CN"/>
              </w:rPr>
              <w:t>32</w:t>
            </w:r>
          </w:p>
        </w:tc>
        <w:tc>
          <w:tcPr>
            <w:tcW w:w="4670" w:type="dxa"/>
            <w:noWrap w:val="0"/>
            <w:vAlign w:val="center"/>
          </w:tcPr>
          <w:p w14:paraId="5D140043">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0" w:beforeAutospacing="0" w:after="0" w:afterAutospacing="0" w:line="280" w:lineRule="exact"/>
              <w:ind w:firstLine="210" w:firstLineChars="100"/>
              <w:jc w:val="both"/>
              <w:rPr>
                <w:rFonts w:ascii="仿宋_GB2312" w:hAnsi="Times New Roman" w:eastAsia="仿宋_GB2312" w:cs="Times New Roman"/>
                <w:color w:val="000000"/>
                <w:sz w:val="21"/>
                <w:szCs w:val="21"/>
              </w:rPr>
            </w:pPr>
            <w:r>
              <w:rPr>
                <w:rFonts w:hint="eastAsia" w:ascii="仿宋_GB2312" w:hAnsi="Times New Roman" w:eastAsia="仿宋_GB2312" w:cs="Times New Roman"/>
                <w:color w:val="000000"/>
                <w:sz w:val="21"/>
                <w:szCs w:val="21"/>
              </w:rPr>
              <w:t>露天采场局部及最终边坡的台阶坡面角和边坡角符合最终边坡设计要求。</w:t>
            </w:r>
          </w:p>
        </w:tc>
        <w:tc>
          <w:tcPr>
            <w:tcW w:w="3448" w:type="dxa"/>
            <w:noWrap w:val="0"/>
            <w:vAlign w:val="center"/>
          </w:tcPr>
          <w:p w14:paraId="21C68017">
            <w:pPr>
              <w:spacing w:line="280" w:lineRule="exact"/>
              <w:jc w:val="both"/>
              <w:rPr>
                <w:rFonts w:ascii="仿宋_GB2312"/>
                <w:color w:val="000000"/>
                <w:kern w:val="0"/>
                <w:sz w:val="21"/>
                <w:szCs w:val="21"/>
              </w:rPr>
            </w:pPr>
            <w:r>
              <w:rPr>
                <w:rFonts w:hint="eastAsia" w:ascii="仿宋_GB2312" w:hAnsi="Times New Roman" w:cs="Times New Roman"/>
                <w:color w:val="000000"/>
                <w:kern w:val="0"/>
                <w:sz w:val="21"/>
                <w:szCs w:val="21"/>
              </w:rPr>
              <w:t>《煤矿安全规程》第</w:t>
            </w:r>
            <w:r>
              <w:rPr>
                <w:rFonts w:hint="eastAsia" w:ascii="仿宋_GB2312"/>
                <w:color w:val="000000"/>
                <w:spacing w:val="-8"/>
                <w:sz w:val="21"/>
                <w:szCs w:val="21"/>
                <w:lang w:eastAsia="zh-CN"/>
              </w:rPr>
              <w:t>五百三十九</w:t>
            </w:r>
            <w:r>
              <w:rPr>
                <w:rFonts w:hint="eastAsia" w:ascii="仿宋_GB2312" w:hAnsi="Times New Roman" w:cs="Times New Roman"/>
                <w:color w:val="000000"/>
                <w:kern w:val="0"/>
                <w:sz w:val="21"/>
                <w:szCs w:val="21"/>
              </w:rPr>
              <w:t>条</w:t>
            </w:r>
          </w:p>
        </w:tc>
        <w:tc>
          <w:tcPr>
            <w:tcW w:w="2497" w:type="dxa"/>
            <w:noWrap w:val="0"/>
            <w:vAlign w:val="center"/>
          </w:tcPr>
          <w:p w14:paraId="645F400D">
            <w:pPr>
              <w:spacing w:line="300" w:lineRule="exact"/>
              <w:jc w:val="both"/>
              <w:rPr>
                <w:rFonts w:hint="eastAsia" w:ascii="仿宋_GB2312"/>
                <w:color w:val="000000"/>
                <w:sz w:val="21"/>
                <w:szCs w:val="21"/>
              </w:rPr>
            </w:pPr>
          </w:p>
        </w:tc>
        <w:tc>
          <w:tcPr>
            <w:tcW w:w="1926" w:type="dxa"/>
            <w:noWrap w:val="0"/>
            <w:vAlign w:val="center"/>
          </w:tcPr>
          <w:p w14:paraId="2249C7B7">
            <w:pPr>
              <w:spacing w:line="300" w:lineRule="exact"/>
              <w:jc w:val="both"/>
              <w:rPr>
                <w:rFonts w:hint="eastAsia" w:ascii="仿宋_GB2312" w:eastAsia="仿宋_GB2312"/>
                <w:color w:val="000000"/>
                <w:sz w:val="21"/>
                <w:szCs w:val="21"/>
                <w:lang w:val="en-US" w:eastAsia="zh-CN"/>
              </w:rPr>
            </w:pPr>
            <w:r>
              <w:rPr>
                <w:rFonts w:hint="eastAsia" w:ascii="仿宋_GB2312"/>
                <w:color w:val="000000"/>
                <w:sz w:val="21"/>
                <w:szCs w:val="21"/>
                <w:lang w:val="en-US" w:eastAsia="zh-CN"/>
              </w:rPr>
              <w:t>《安全生产违法行为行政处罚办法》第四十五条。</w:t>
            </w:r>
          </w:p>
        </w:tc>
        <w:tc>
          <w:tcPr>
            <w:tcW w:w="1224" w:type="dxa"/>
            <w:noWrap w:val="0"/>
            <w:vAlign w:val="center"/>
          </w:tcPr>
          <w:p w14:paraId="3E5BD2D3">
            <w:pPr>
              <w:spacing w:line="300" w:lineRule="exact"/>
              <w:jc w:val="both"/>
              <w:rPr>
                <w:rFonts w:hint="eastAsia" w:ascii="仿宋_GB2312"/>
                <w:sz w:val="21"/>
                <w:szCs w:val="21"/>
              </w:rPr>
            </w:pPr>
          </w:p>
        </w:tc>
      </w:tr>
      <w:tr w14:paraId="4B0C5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23" w:type="dxa"/>
            <w:noWrap w:val="0"/>
            <w:vAlign w:val="center"/>
          </w:tcPr>
          <w:p w14:paraId="30A98008">
            <w:pPr>
              <w:spacing w:line="300" w:lineRule="exact"/>
              <w:jc w:val="center"/>
              <w:rPr>
                <w:rFonts w:hint="default" w:ascii="仿宋_GB2312"/>
                <w:sz w:val="21"/>
                <w:szCs w:val="21"/>
                <w:lang w:val="en-US" w:eastAsia="zh-CN"/>
              </w:rPr>
            </w:pPr>
            <w:r>
              <w:rPr>
                <w:rFonts w:hint="eastAsia" w:ascii="仿宋_GB2312"/>
                <w:sz w:val="21"/>
                <w:szCs w:val="21"/>
                <w:lang w:val="en-US" w:eastAsia="zh-CN"/>
              </w:rPr>
              <w:t>33</w:t>
            </w:r>
          </w:p>
        </w:tc>
        <w:tc>
          <w:tcPr>
            <w:tcW w:w="4670" w:type="dxa"/>
            <w:noWrap w:val="0"/>
            <w:vAlign w:val="center"/>
          </w:tcPr>
          <w:p w14:paraId="55F59D82">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0" w:beforeAutospacing="0" w:after="0" w:afterAutospacing="0" w:line="280" w:lineRule="exact"/>
              <w:ind w:firstLine="210" w:firstLineChars="100"/>
              <w:jc w:val="both"/>
              <w:rPr>
                <w:rFonts w:hint="eastAsia" w:ascii="仿宋_GB2312" w:hAnsi="Times New Roman" w:eastAsia="仿宋_GB2312" w:cs="Times New Roman"/>
                <w:color w:val="000000"/>
                <w:sz w:val="21"/>
                <w:szCs w:val="21"/>
              </w:rPr>
            </w:pPr>
            <w:r>
              <w:rPr>
                <w:rFonts w:hint="eastAsia" w:ascii="仿宋_GB2312" w:hAnsi="Times New Roman" w:eastAsia="仿宋_GB2312" w:cs="Times New Roman"/>
                <w:color w:val="000000"/>
                <w:sz w:val="21"/>
                <w:szCs w:val="21"/>
              </w:rPr>
              <w:t>最小工作平盘宽度，须保证采掘、运输设备的安全运行和供电通信线路、供排水系统、安全挡墙等的正常布置。</w:t>
            </w:r>
          </w:p>
        </w:tc>
        <w:tc>
          <w:tcPr>
            <w:tcW w:w="3448" w:type="dxa"/>
            <w:noWrap w:val="0"/>
            <w:vAlign w:val="center"/>
          </w:tcPr>
          <w:p w14:paraId="6B5F8EC8">
            <w:pPr>
              <w:spacing w:line="280" w:lineRule="exact"/>
              <w:jc w:val="both"/>
              <w:rPr>
                <w:rFonts w:hint="eastAsia" w:ascii="仿宋_GB2312" w:hAnsi="Times New Roman" w:cs="Times New Roman"/>
                <w:color w:val="000000"/>
                <w:kern w:val="0"/>
                <w:sz w:val="21"/>
                <w:szCs w:val="21"/>
              </w:rPr>
            </w:pPr>
            <w:r>
              <w:rPr>
                <w:rFonts w:hint="eastAsia" w:ascii="仿宋_GB2312" w:hAnsi="Times New Roman" w:cs="Times New Roman"/>
                <w:color w:val="000000"/>
                <w:kern w:val="0"/>
                <w:sz w:val="21"/>
                <w:szCs w:val="21"/>
              </w:rPr>
              <w:t>《煤矿安全规程》第</w:t>
            </w:r>
            <w:r>
              <w:rPr>
                <w:rFonts w:hint="eastAsia" w:ascii="仿宋_GB2312"/>
                <w:color w:val="000000"/>
                <w:spacing w:val="-8"/>
                <w:sz w:val="21"/>
                <w:szCs w:val="21"/>
                <w:lang w:eastAsia="zh-CN"/>
              </w:rPr>
              <w:t>五百四十</w:t>
            </w:r>
            <w:r>
              <w:rPr>
                <w:rFonts w:hint="eastAsia" w:ascii="仿宋_GB2312" w:hAnsi="Times New Roman" w:cs="Times New Roman"/>
                <w:color w:val="000000"/>
                <w:kern w:val="0"/>
                <w:sz w:val="21"/>
                <w:szCs w:val="21"/>
              </w:rPr>
              <w:t>条</w:t>
            </w:r>
          </w:p>
        </w:tc>
        <w:tc>
          <w:tcPr>
            <w:tcW w:w="2497" w:type="dxa"/>
            <w:noWrap w:val="0"/>
            <w:vAlign w:val="center"/>
          </w:tcPr>
          <w:p w14:paraId="0A32DCE1">
            <w:pPr>
              <w:spacing w:line="300" w:lineRule="exact"/>
              <w:jc w:val="both"/>
              <w:rPr>
                <w:rFonts w:hint="eastAsia" w:ascii="仿宋_GB2312"/>
                <w:color w:val="000000"/>
                <w:sz w:val="21"/>
                <w:szCs w:val="21"/>
              </w:rPr>
            </w:pPr>
          </w:p>
        </w:tc>
        <w:tc>
          <w:tcPr>
            <w:tcW w:w="1926" w:type="dxa"/>
            <w:noWrap w:val="0"/>
            <w:vAlign w:val="center"/>
          </w:tcPr>
          <w:p w14:paraId="1A001AE7">
            <w:pPr>
              <w:spacing w:line="300" w:lineRule="exact"/>
              <w:jc w:val="both"/>
              <w:rPr>
                <w:rFonts w:hint="eastAsia" w:ascii="仿宋_GB2312"/>
                <w:color w:val="000000"/>
                <w:sz w:val="21"/>
                <w:szCs w:val="21"/>
              </w:rPr>
            </w:pPr>
            <w:r>
              <w:rPr>
                <w:rFonts w:hint="eastAsia" w:ascii="仿宋_GB2312"/>
                <w:color w:val="000000"/>
                <w:sz w:val="21"/>
                <w:szCs w:val="21"/>
                <w:lang w:val="en-US" w:eastAsia="zh-CN"/>
              </w:rPr>
              <w:t>《安全生产违法行为行政处罚办法》第四十五条。</w:t>
            </w:r>
          </w:p>
        </w:tc>
        <w:tc>
          <w:tcPr>
            <w:tcW w:w="1224" w:type="dxa"/>
            <w:noWrap w:val="0"/>
            <w:vAlign w:val="center"/>
          </w:tcPr>
          <w:p w14:paraId="1A7E90D8">
            <w:pPr>
              <w:spacing w:line="300" w:lineRule="exact"/>
              <w:jc w:val="both"/>
              <w:rPr>
                <w:rFonts w:hint="eastAsia" w:ascii="仿宋_GB2312"/>
                <w:sz w:val="21"/>
                <w:szCs w:val="21"/>
              </w:rPr>
            </w:pPr>
          </w:p>
        </w:tc>
      </w:tr>
      <w:tr w14:paraId="33DFE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23" w:type="dxa"/>
            <w:noWrap w:val="0"/>
            <w:vAlign w:val="center"/>
          </w:tcPr>
          <w:p w14:paraId="40ED427B">
            <w:pPr>
              <w:spacing w:line="300" w:lineRule="exact"/>
              <w:jc w:val="center"/>
              <w:rPr>
                <w:rFonts w:hint="default" w:ascii="仿宋_GB2312"/>
                <w:sz w:val="21"/>
                <w:szCs w:val="21"/>
                <w:lang w:val="en-US" w:eastAsia="zh-CN"/>
              </w:rPr>
            </w:pPr>
            <w:r>
              <w:rPr>
                <w:rFonts w:hint="eastAsia" w:ascii="仿宋_GB2312"/>
                <w:sz w:val="21"/>
                <w:szCs w:val="21"/>
                <w:lang w:val="en-US" w:eastAsia="zh-CN"/>
              </w:rPr>
              <w:t>34</w:t>
            </w:r>
          </w:p>
        </w:tc>
        <w:tc>
          <w:tcPr>
            <w:tcW w:w="4670" w:type="dxa"/>
            <w:noWrap w:val="0"/>
            <w:vAlign w:val="center"/>
          </w:tcPr>
          <w:p w14:paraId="6FF97C37">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0" w:beforeAutospacing="0" w:after="0" w:afterAutospacing="0" w:line="280" w:lineRule="exact"/>
              <w:ind w:firstLine="210" w:firstLineChars="100"/>
              <w:jc w:val="both"/>
              <w:rPr>
                <w:rFonts w:hint="eastAsia" w:ascii="仿宋_GB2312" w:hAnsi="Times New Roman" w:eastAsia="仿宋_GB2312" w:cs="Times New Roman"/>
                <w:color w:val="000000"/>
                <w:kern w:val="0"/>
                <w:sz w:val="21"/>
                <w:szCs w:val="21"/>
                <w:lang w:val="en-US" w:eastAsia="zh-CN" w:bidi="ar-SA"/>
              </w:rPr>
            </w:pPr>
            <w:r>
              <w:rPr>
                <w:rFonts w:hint="eastAsia" w:ascii="仿宋_GB2312" w:hAnsi="Times New Roman" w:eastAsia="仿宋_GB2312" w:cs="Times New Roman"/>
                <w:color w:val="000000"/>
                <w:kern w:val="0"/>
                <w:sz w:val="21"/>
                <w:szCs w:val="21"/>
                <w:lang w:val="en-US" w:eastAsia="zh-CN" w:bidi="ar-SA"/>
              </w:rPr>
              <w:t>进行专门边坡工程、地质勘探工程和稳定性分析评价；非工作帮形成一定范围的到界台阶后，定期进行边坡稳定分析和评价；工作帮边坡在临近最终设计的边坡之前，对其进行稳定性分析和评价；露天煤矿长远和年度采矿工程设计中，含边坡稳定性验算；定期对排土场边坡进行稳定性分析，采取防治措施；</w:t>
            </w:r>
          </w:p>
        </w:tc>
        <w:tc>
          <w:tcPr>
            <w:tcW w:w="3448" w:type="dxa"/>
            <w:noWrap w:val="0"/>
            <w:vAlign w:val="center"/>
          </w:tcPr>
          <w:p w14:paraId="71D45D73">
            <w:pPr>
              <w:pStyle w:val="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0" w:beforeAutospacing="0" w:after="0" w:afterAutospacing="0" w:line="280" w:lineRule="exact"/>
              <w:ind w:firstLine="210" w:firstLineChars="100"/>
              <w:jc w:val="both"/>
              <w:rPr>
                <w:rFonts w:hint="default" w:ascii="仿宋_GB2312" w:hAnsi="Times New Roman" w:eastAsia="仿宋_GB2312" w:cs="Times New Roman"/>
                <w:color w:val="000000"/>
                <w:kern w:val="0"/>
                <w:sz w:val="21"/>
                <w:szCs w:val="21"/>
                <w:lang w:val="en-US" w:eastAsia="zh-CN" w:bidi="ar-SA"/>
              </w:rPr>
            </w:pPr>
            <w:r>
              <w:rPr>
                <w:rFonts w:hint="eastAsia" w:ascii="仿宋_GB2312" w:hAnsi="Times New Roman" w:eastAsia="仿宋_GB2312" w:cs="Times New Roman"/>
                <w:color w:val="000000"/>
                <w:kern w:val="0"/>
                <w:sz w:val="21"/>
                <w:szCs w:val="21"/>
                <w:lang w:val="en-US" w:eastAsia="zh-CN" w:bidi="ar-SA"/>
              </w:rPr>
              <w:t>《煤矿安全规程》第五百八十三、五百八十四、五百八十五、五百八十六、五百八十八条。</w:t>
            </w:r>
          </w:p>
        </w:tc>
        <w:tc>
          <w:tcPr>
            <w:tcW w:w="2497" w:type="dxa"/>
            <w:noWrap w:val="0"/>
            <w:vAlign w:val="center"/>
          </w:tcPr>
          <w:p w14:paraId="70A800F7">
            <w:pPr>
              <w:spacing w:line="300" w:lineRule="exact"/>
              <w:jc w:val="both"/>
              <w:rPr>
                <w:rFonts w:hint="eastAsia" w:ascii="仿宋_GB2312"/>
                <w:color w:val="000000"/>
                <w:sz w:val="21"/>
                <w:szCs w:val="21"/>
              </w:rPr>
            </w:pPr>
          </w:p>
        </w:tc>
        <w:tc>
          <w:tcPr>
            <w:tcW w:w="1926" w:type="dxa"/>
            <w:noWrap w:val="0"/>
            <w:vAlign w:val="center"/>
          </w:tcPr>
          <w:p w14:paraId="2D265E6C">
            <w:pPr>
              <w:spacing w:line="300" w:lineRule="exact"/>
              <w:jc w:val="both"/>
              <w:rPr>
                <w:rFonts w:hint="eastAsia" w:ascii="仿宋_GB2312"/>
                <w:color w:val="000000"/>
                <w:sz w:val="21"/>
                <w:szCs w:val="21"/>
              </w:rPr>
            </w:pPr>
            <w:r>
              <w:rPr>
                <w:rFonts w:hint="eastAsia" w:ascii="仿宋_GB2312"/>
                <w:color w:val="000000"/>
                <w:sz w:val="21"/>
                <w:szCs w:val="21"/>
                <w:lang w:val="en-US" w:eastAsia="zh-CN"/>
              </w:rPr>
              <w:t>《安全生产违法行为行政处罚办法》第四十五条。</w:t>
            </w:r>
          </w:p>
        </w:tc>
        <w:tc>
          <w:tcPr>
            <w:tcW w:w="1224" w:type="dxa"/>
            <w:noWrap w:val="0"/>
            <w:vAlign w:val="center"/>
          </w:tcPr>
          <w:p w14:paraId="458E771A">
            <w:pPr>
              <w:spacing w:line="300" w:lineRule="exact"/>
              <w:jc w:val="both"/>
              <w:rPr>
                <w:rFonts w:hint="eastAsia" w:ascii="仿宋_GB2312"/>
                <w:sz w:val="21"/>
                <w:szCs w:val="21"/>
              </w:rPr>
            </w:pPr>
          </w:p>
        </w:tc>
      </w:tr>
      <w:tr w14:paraId="2A077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23" w:type="dxa"/>
            <w:noWrap w:val="0"/>
            <w:vAlign w:val="center"/>
          </w:tcPr>
          <w:p w14:paraId="2FA0E836">
            <w:pPr>
              <w:spacing w:line="3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35</w:t>
            </w:r>
          </w:p>
        </w:tc>
        <w:tc>
          <w:tcPr>
            <w:tcW w:w="4670" w:type="dxa"/>
            <w:noWrap w:val="0"/>
            <w:vAlign w:val="center"/>
          </w:tcPr>
          <w:p w14:paraId="626E3BDF">
            <w:pPr>
              <w:spacing w:line="280" w:lineRule="exact"/>
              <w:ind w:firstLine="210" w:firstLineChars="100"/>
              <w:jc w:val="both"/>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制定边坡监测措施；定期巡视采场及排土场边坡，设运输道路、采运机械和重对滑坡区采取的安全措施，专门的勘查、评价与治理工程设计；对影响生产安全的不稳定边坡采取安全措施。</w:t>
            </w:r>
          </w:p>
        </w:tc>
        <w:tc>
          <w:tcPr>
            <w:tcW w:w="3448" w:type="dxa"/>
            <w:noWrap w:val="0"/>
            <w:vAlign w:val="center"/>
          </w:tcPr>
          <w:p w14:paraId="3AE103DE">
            <w:pPr>
              <w:spacing w:line="280" w:lineRule="exact"/>
              <w:jc w:val="both"/>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《煤矿企业安全生产许可证实施办法》第九条；《煤矿安全规程》第五百八十三条、五百八十四条。</w:t>
            </w:r>
          </w:p>
        </w:tc>
        <w:tc>
          <w:tcPr>
            <w:tcW w:w="2497" w:type="dxa"/>
            <w:noWrap w:val="0"/>
            <w:vAlign w:val="center"/>
          </w:tcPr>
          <w:p w14:paraId="5E6B17BC">
            <w:pPr>
              <w:spacing w:line="300" w:lineRule="exact"/>
              <w:jc w:val="both"/>
              <w:rPr>
                <w:rFonts w:hint="eastAsia" w:ascii="宋体" w:hAnsi="宋体" w:eastAsia="宋体" w:cs="宋体"/>
                <w:color w:val="000000"/>
                <w:sz w:val="21"/>
                <w:szCs w:val="21"/>
              </w:rPr>
            </w:pPr>
          </w:p>
        </w:tc>
        <w:tc>
          <w:tcPr>
            <w:tcW w:w="1926" w:type="dxa"/>
            <w:noWrap w:val="0"/>
            <w:vAlign w:val="center"/>
          </w:tcPr>
          <w:p w14:paraId="12870E9A">
            <w:pPr>
              <w:spacing w:line="280" w:lineRule="exact"/>
              <w:jc w:val="both"/>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sz w:val="21"/>
                <w:szCs w:val="21"/>
                <w:lang w:val="en-US" w:eastAsia="zh-CN"/>
              </w:rPr>
              <w:t>《安全生产违法行为行政处罚办法》第四十五条。</w:t>
            </w:r>
          </w:p>
          <w:p w14:paraId="42800BFB">
            <w:pPr>
              <w:spacing w:line="300" w:lineRule="exact"/>
              <w:jc w:val="both"/>
              <w:rPr>
                <w:rFonts w:hint="eastAsia" w:ascii="宋体" w:hAnsi="宋体" w:eastAsia="宋体" w:cs="宋体"/>
                <w:color w:val="000000"/>
                <w:sz w:val="21"/>
                <w:szCs w:val="21"/>
              </w:rPr>
            </w:pPr>
          </w:p>
        </w:tc>
        <w:tc>
          <w:tcPr>
            <w:tcW w:w="1224" w:type="dxa"/>
            <w:noWrap w:val="0"/>
            <w:vAlign w:val="center"/>
          </w:tcPr>
          <w:p w14:paraId="7BA0475D">
            <w:pPr>
              <w:spacing w:line="300" w:lineRule="exact"/>
              <w:jc w:val="both"/>
              <w:rPr>
                <w:rFonts w:hint="eastAsia" w:ascii="宋体" w:hAnsi="宋体" w:eastAsia="宋体" w:cs="宋体"/>
                <w:sz w:val="21"/>
                <w:szCs w:val="21"/>
              </w:rPr>
            </w:pPr>
          </w:p>
        </w:tc>
      </w:tr>
      <w:tr w14:paraId="6E520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23" w:type="dxa"/>
            <w:noWrap w:val="0"/>
            <w:vAlign w:val="center"/>
          </w:tcPr>
          <w:p w14:paraId="7A1F4F66">
            <w:pPr>
              <w:spacing w:line="3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36</w:t>
            </w:r>
          </w:p>
        </w:tc>
        <w:tc>
          <w:tcPr>
            <w:tcW w:w="4670" w:type="dxa"/>
            <w:noWrap w:val="0"/>
            <w:vAlign w:val="center"/>
          </w:tcPr>
          <w:p w14:paraId="27C19369">
            <w:pPr>
              <w:spacing w:line="280" w:lineRule="exact"/>
              <w:ind w:firstLine="210" w:firstLineChars="100"/>
              <w:jc w:val="both"/>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采掘作业按设计进行，不超挖坡底线。</w:t>
            </w:r>
          </w:p>
          <w:p w14:paraId="08FB2438">
            <w:pPr>
              <w:spacing w:line="280" w:lineRule="exact"/>
              <w:jc w:val="both"/>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临近到界台阶时，采用控制爆破。</w:t>
            </w:r>
          </w:p>
          <w:p w14:paraId="1D8F2B55">
            <w:pPr>
              <w:spacing w:line="280" w:lineRule="exact"/>
              <w:jc w:val="both"/>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最终煤台阶采取防止煤风化、自然发火及沿煤层底板滑坡等措施。</w:t>
            </w:r>
          </w:p>
        </w:tc>
        <w:tc>
          <w:tcPr>
            <w:tcW w:w="3448" w:type="dxa"/>
            <w:noWrap w:val="0"/>
            <w:vAlign w:val="center"/>
          </w:tcPr>
          <w:p w14:paraId="1FB360A8">
            <w:pPr>
              <w:spacing w:line="280" w:lineRule="exact"/>
              <w:jc w:val="both"/>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《煤矿安全规程》第五百八十七条。</w:t>
            </w:r>
          </w:p>
        </w:tc>
        <w:tc>
          <w:tcPr>
            <w:tcW w:w="2497" w:type="dxa"/>
            <w:noWrap w:val="0"/>
            <w:vAlign w:val="center"/>
          </w:tcPr>
          <w:p w14:paraId="5280752B">
            <w:pPr>
              <w:spacing w:line="300" w:lineRule="exact"/>
              <w:jc w:val="both"/>
              <w:rPr>
                <w:rFonts w:hint="eastAsia" w:ascii="宋体" w:hAnsi="宋体" w:eastAsia="宋体" w:cs="宋体"/>
                <w:color w:val="000000"/>
                <w:sz w:val="21"/>
                <w:szCs w:val="21"/>
              </w:rPr>
            </w:pPr>
          </w:p>
        </w:tc>
        <w:tc>
          <w:tcPr>
            <w:tcW w:w="1926" w:type="dxa"/>
            <w:noWrap w:val="0"/>
            <w:vAlign w:val="center"/>
          </w:tcPr>
          <w:p w14:paraId="578A93C0">
            <w:pPr>
              <w:spacing w:line="300" w:lineRule="exact"/>
              <w:jc w:val="both"/>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《安全生产违法行为行政处罚办法》第四十五条。</w:t>
            </w:r>
          </w:p>
        </w:tc>
        <w:tc>
          <w:tcPr>
            <w:tcW w:w="1224" w:type="dxa"/>
            <w:noWrap w:val="0"/>
            <w:vAlign w:val="center"/>
          </w:tcPr>
          <w:p w14:paraId="71ADA20C">
            <w:pPr>
              <w:spacing w:line="300" w:lineRule="exact"/>
              <w:jc w:val="both"/>
              <w:rPr>
                <w:rFonts w:hint="eastAsia" w:ascii="宋体" w:hAnsi="宋体" w:eastAsia="宋体" w:cs="宋体"/>
                <w:sz w:val="21"/>
                <w:szCs w:val="21"/>
              </w:rPr>
            </w:pPr>
          </w:p>
        </w:tc>
      </w:tr>
      <w:tr w14:paraId="2D11F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23" w:type="dxa"/>
            <w:noWrap w:val="0"/>
            <w:vAlign w:val="center"/>
          </w:tcPr>
          <w:p w14:paraId="5DD80DE5">
            <w:pPr>
              <w:spacing w:line="3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37</w:t>
            </w:r>
          </w:p>
        </w:tc>
        <w:tc>
          <w:tcPr>
            <w:tcW w:w="4670" w:type="dxa"/>
            <w:noWrap w:val="0"/>
            <w:vAlign w:val="center"/>
          </w:tcPr>
          <w:p w14:paraId="5D7B28AD">
            <w:pPr>
              <w:spacing w:line="280" w:lineRule="exact"/>
              <w:ind w:firstLine="210" w:firstLineChars="100"/>
              <w:jc w:val="both"/>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内排土场最下部台阶的坡底与采掘台阶坡底之间留有足够的安全距离。</w:t>
            </w:r>
          </w:p>
          <w:p w14:paraId="72BD3AAF">
            <w:pPr>
              <w:spacing w:line="280" w:lineRule="exact"/>
              <w:jc w:val="both"/>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排土场保持平整，没有积水，修筑截泥、防洪和排水设施，防止或者减少水流入排土场。</w:t>
            </w:r>
          </w:p>
        </w:tc>
        <w:tc>
          <w:tcPr>
            <w:tcW w:w="3448" w:type="dxa"/>
            <w:noWrap w:val="0"/>
            <w:vAlign w:val="center"/>
          </w:tcPr>
          <w:p w14:paraId="38FE2050">
            <w:pPr>
              <w:spacing w:line="280" w:lineRule="exact"/>
              <w:jc w:val="both"/>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《煤矿安全规程》第五百八十八条、五百九十一条。</w:t>
            </w:r>
          </w:p>
        </w:tc>
        <w:tc>
          <w:tcPr>
            <w:tcW w:w="2497" w:type="dxa"/>
            <w:noWrap w:val="0"/>
            <w:vAlign w:val="center"/>
          </w:tcPr>
          <w:p w14:paraId="30A339EC">
            <w:pPr>
              <w:spacing w:line="300" w:lineRule="exact"/>
              <w:jc w:val="both"/>
              <w:rPr>
                <w:rFonts w:hint="eastAsia" w:ascii="宋体" w:hAnsi="宋体" w:eastAsia="宋体" w:cs="宋体"/>
                <w:color w:val="000000"/>
                <w:sz w:val="21"/>
                <w:szCs w:val="21"/>
              </w:rPr>
            </w:pPr>
          </w:p>
        </w:tc>
        <w:tc>
          <w:tcPr>
            <w:tcW w:w="1926" w:type="dxa"/>
            <w:noWrap w:val="0"/>
            <w:vAlign w:val="center"/>
          </w:tcPr>
          <w:p w14:paraId="00A47FD5">
            <w:pPr>
              <w:spacing w:line="300" w:lineRule="exact"/>
              <w:jc w:val="both"/>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《安全生产违法行为行政处罚办法》第四十五条。</w:t>
            </w:r>
          </w:p>
        </w:tc>
        <w:tc>
          <w:tcPr>
            <w:tcW w:w="1224" w:type="dxa"/>
            <w:noWrap w:val="0"/>
            <w:vAlign w:val="center"/>
          </w:tcPr>
          <w:p w14:paraId="2BF4F0F6">
            <w:pPr>
              <w:spacing w:line="300" w:lineRule="exact"/>
              <w:jc w:val="both"/>
              <w:rPr>
                <w:rFonts w:hint="eastAsia" w:ascii="宋体" w:hAnsi="宋体" w:eastAsia="宋体" w:cs="宋体"/>
                <w:sz w:val="21"/>
                <w:szCs w:val="21"/>
              </w:rPr>
            </w:pPr>
          </w:p>
        </w:tc>
      </w:tr>
      <w:tr w14:paraId="4AF81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23" w:type="dxa"/>
            <w:noWrap w:val="0"/>
            <w:vAlign w:val="center"/>
          </w:tcPr>
          <w:p w14:paraId="2DA29405">
            <w:pPr>
              <w:spacing w:line="3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38</w:t>
            </w:r>
          </w:p>
        </w:tc>
        <w:tc>
          <w:tcPr>
            <w:tcW w:w="4670" w:type="dxa"/>
            <w:noWrap w:val="0"/>
            <w:vAlign w:val="center"/>
          </w:tcPr>
          <w:p w14:paraId="1E986651">
            <w:pPr>
              <w:spacing w:line="280" w:lineRule="exact"/>
              <w:ind w:firstLine="210" w:firstLineChars="100"/>
              <w:jc w:val="both"/>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矿场道路宽度符合通行、会车等安全要求。运输道路设置安全挡墙，高度为矿用卡车轮胎直径的2/5～3/5倍。</w:t>
            </w:r>
          </w:p>
          <w:p w14:paraId="0F5AB8BA">
            <w:pPr>
              <w:spacing w:line="280" w:lineRule="exact"/>
              <w:jc w:val="both"/>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长距离坡道运输系统，在适当位置设缓坡道。</w:t>
            </w:r>
          </w:p>
        </w:tc>
        <w:tc>
          <w:tcPr>
            <w:tcW w:w="3448" w:type="dxa"/>
            <w:noWrap w:val="0"/>
            <w:vAlign w:val="center"/>
          </w:tcPr>
          <w:p w14:paraId="6CAFB9CC">
            <w:pPr>
              <w:spacing w:line="280" w:lineRule="exact"/>
              <w:jc w:val="both"/>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spacing w:val="-10"/>
                <w:sz w:val="21"/>
                <w:szCs w:val="21"/>
              </w:rPr>
              <w:t>《煤矿安全规程》第</w:t>
            </w:r>
            <w:r>
              <w:rPr>
                <w:rFonts w:hint="eastAsia" w:ascii="宋体" w:hAnsi="宋体" w:eastAsia="宋体" w:cs="宋体"/>
                <w:color w:val="000000"/>
                <w:spacing w:val="-10"/>
                <w:sz w:val="21"/>
                <w:szCs w:val="21"/>
                <w:lang w:eastAsia="zh-CN"/>
              </w:rPr>
              <w:t>五百六十五</w:t>
            </w:r>
            <w:r>
              <w:rPr>
                <w:rFonts w:hint="eastAsia" w:ascii="宋体" w:hAnsi="宋体" w:eastAsia="宋体" w:cs="宋体"/>
                <w:color w:val="000000"/>
                <w:spacing w:val="-10"/>
                <w:sz w:val="21"/>
                <w:szCs w:val="21"/>
              </w:rPr>
              <w:t>条</w:t>
            </w:r>
            <w:r>
              <w:rPr>
                <w:rFonts w:hint="eastAsia" w:ascii="宋体" w:hAnsi="宋体" w:eastAsia="宋体" w:cs="宋体"/>
                <w:color w:val="000000"/>
                <w:spacing w:val="-10"/>
                <w:sz w:val="21"/>
                <w:szCs w:val="21"/>
                <w:lang w:eastAsia="zh-CN"/>
              </w:rPr>
              <w:t>。</w:t>
            </w:r>
          </w:p>
        </w:tc>
        <w:tc>
          <w:tcPr>
            <w:tcW w:w="2497" w:type="dxa"/>
            <w:noWrap w:val="0"/>
            <w:vAlign w:val="center"/>
          </w:tcPr>
          <w:p w14:paraId="3028AEE2">
            <w:pPr>
              <w:spacing w:line="300" w:lineRule="exact"/>
              <w:jc w:val="both"/>
              <w:rPr>
                <w:rFonts w:hint="eastAsia" w:ascii="宋体" w:hAnsi="宋体" w:eastAsia="宋体" w:cs="宋体"/>
                <w:color w:val="000000"/>
                <w:sz w:val="21"/>
                <w:szCs w:val="21"/>
              </w:rPr>
            </w:pPr>
          </w:p>
        </w:tc>
        <w:tc>
          <w:tcPr>
            <w:tcW w:w="1926" w:type="dxa"/>
            <w:noWrap w:val="0"/>
            <w:vAlign w:val="center"/>
          </w:tcPr>
          <w:p w14:paraId="4913A790">
            <w:pPr>
              <w:spacing w:line="300" w:lineRule="exact"/>
              <w:jc w:val="both"/>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《安全生产违法行为行政处罚办法》第四十五条。</w:t>
            </w:r>
          </w:p>
        </w:tc>
        <w:tc>
          <w:tcPr>
            <w:tcW w:w="1224" w:type="dxa"/>
            <w:noWrap w:val="0"/>
            <w:vAlign w:val="center"/>
          </w:tcPr>
          <w:p w14:paraId="326D7065">
            <w:pPr>
              <w:spacing w:line="300" w:lineRule="exact"/>
              <w:jc w:val="both"/>
              <w:rPr>
                <w:rFonts w:hint="eastAsia" w:ascii="宋体" w:hAnsi="宋体" w:eastAsia="宋体" w:cs="宋体"/>
                <w:sz w:val="21"/>
                <w:szCs w:val="21"/>
              </w:rPr>
            </w:pPr>
          </w:p>
        </w:tc>
      </w:tr>
      <w:tr w14:paraId="40AA7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23" w:type="dxa"/>
            <w:noWrap w:val="0"/>
            <w:vAlign w:val="center"/>
          </w:tcPr>
          <w:p w14:paraId="6A21D575">
            <w:pPr>
              <w:spacing w:line="3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39</w:t>
            </w:r>
          </w:p>
        </w:tc>
        <w:tc>
          <w:tcPr>
            <w:tcW w:w="4670" w:type="dxa"/>
            <w:noWrap w:val="0"/>
            <w:vAlign w:val="center"/>
          </w:tcPr>
          <w:p w14:paraId="698260E2">
            <w:pPr>
              <w:spacing w:line="280" w:lineRule="exact"/>
              <w:ind w:firstLine="206" w:firstLineChars="100"/>
              <w:jc w:val="both"/>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spacing w:val="-2"/>
                <w:sz w:val="21"/>
                <w:szCs w:val="21"/>
              </w:rPr>
              <w:t>矿山道路设限速、道口等路标，特殊路段设警示标志；汽车运输为左侧通行的，在过渡区段内设置醒目的换向标志</w:t>
            </w:r>
            <w:r>
              <w:rPr>
                <w:rFonts w:hint="eastAsia" w:ascii="宋体" w:hAnsi="宋体" w:eastAsia="宋体" w:cs="宋体"/>
                <w:color w:val="000000"/>
                <w:spacing w:val="-2"/>
                <w:sz w:val="21"/>
                <w:szCs w:val="21"/>
                <w:lang w:eastAsia="zh-CN"/>
              </w:rPr>
              <w:t>；</w:t>
            </w:r>
            <w:r>
              <w:rPr>
                <w:rFonts w:hint="eastAsia" w:ascii="宋体" w:hAnsi="宋体" w:eastAsia="宋体" w:cs="宋体"/>
                <w:color w:val="000000"/>
                <w:spacing w:val="-2"/>
                <w:sz w:val="21"/>
                <w:szCs w:val="21"/>
              </w:rPr>
              <w:t>设备走行道路和作业场地坡度不大于设备允许的最大坡度，转弯半径不小于设备允许的最小转弯半径。</w:t>
            </w:r>
          </w:p>
        </w:tc>
        <w:tc>
          <w:tcPr>
            <w:tcW w:w="3448" w:type="dxa"/>
            <w:noWrap w:val="0"/>
            <w:vAlign w:val="center"/>
          </w:tcPr>
          <w:p w14:paraId="71E04259">
            <w:pPr>
              <w:spacing w:line="280" w:lineRule="exact"/>
              <w:jc w:val="both"/>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spacing w:val="-10"/>
                <w:sz w:val="21"/>
                <w:szCs w:val="21"/>
              </w:rPr>
              <w:t>《煤矿安全规程》第</w:t>
            </w:r>
            <w:r>
              <w:rPr>
                <w:rFonts w:hint="eastAsia" w:ascii="宋体" w:hAnsi="宋体" w:eastAsia="宋体" w:cs="宋体"/>
                <w:color w:val="000000"/>
                <w:spacing w:val="-10"/>
                <w:sz w:val="21"/>
                <w:szCs w:val="21"/>
                <w:lang w:eastAsia="zh-CN"/>
              </w:rPr>
              <w:t>五百一十四</w:t>
            </w:r>
            <w:r>
              <w:rPr>
                <w:rFonts w:hint="eastAsia" w:ascii="宋体" w:hAnsi="宋体" w:eastAsia="宋体" w:cs="宋体"/>
                <w:color w:val="000000"/>
                <w:spacing w:val="-10"/>
                <w:sz w:val="21"/>
                <w:szCs w:val="21"/>
              </w:rPr>
              <w:t>条</w:t>
            </w:r>
            <w:r>
              <w:rPr>
                <w:rFonts w:hint="eastAsia" w:ascii="宋体" w:hAnsi="宋体" w:eastAsia="宋体" w:cs="宋体"/>
                <w:color w:val="000000"/>
                <w:spacing w:val="-10"/>
                <w:sz w:val="21"/>
                <w:szCs w:val="21"/>
                <w:lang w:eastAsia="zh-CN"/>
              </w:rPr>
              <w:t>、</w:t>
            </w:r>
            <w:r>
              <w:rPr>
                <w:rFonts w:hint="eastAsia" w:ascii="宋体" w:hAnsi="宋体" w:eastAsia="宋体" w:cs="宋体"/>
                <w:color w:val="000000"/>
                <w:spacing w:val="-10"/>
                <w:sz w:val="21"/>
                <w:szCs w:val="21"/>
              </w:rPr>
              <w:t>第</w:t>
            </w:r>
            <w:r>
              <w:rPr>
                <w:rFonts w:hint="eastAsia" w:ascii="宋体" w:hAnsi="宋体" w:eastAsia="宋体" w:cs="宋体"/>
                <w:color w:val="000000"/>
                <w:spacing w:val="-10"/>
                <w:sz w:val="21"/>
                <w:szCs w:val="21"/>
                <w:lang w:eastAsia="zh-CN"/>
              </w:rPr>
              <w:t>五百一十二</w:t>
            </w:r>
            <w:r>
              <w:rPr>
                <w:rFonts w:hint="eastAsia" w:ascii="宋体" w:hAnsi="宋体" w:eastAsia="宋体" w:cs="宋体"/>
                <w:color w:val="000000"/>
                <w:spacing w:val="-10"/>
                <w:sz w:val="21"/>
                <w:szCs w:val="21"/>
              </w:rPr>
              <w:t>条</w:t>
            </w:r>
            <w:r>
              <w:rPr>
                <w:rFonts w:hint="eastAsia" w:ascii="宋体" w:hAnsi="宋体" w:eastAsia="宋体" w:cs="宋体"/>
                <w:color w:val="000000"/>
                <w:spacing w:val="-10"/>
                <w:sz w:val="21"/>
                <w:szCs w:val="21"/>
                <w:lang w:eastAsia="zh-CN"/>
              </w:rPr>
              <w:t>。</w:t>
            </w:r>
          </w:p>
        </w:tc>
        <w:tc>
          <w:tcPr>
            <w:tcW w:w="2497" w:type="dxa"/>
            <w:noWrap w:val="0"/>
            <w:vAlign w:val="center"/>
          </w:tcPr>
          <w:p w14:paraId="5033006D">
            <w:pPr>
              <w:spacing w:line="300" w:lineRule="exact"/>
              <w:jc w:val="both"/>
              <w:rPr>
                <w:rFonts w:hint="eastAsia" w:ascii="宋体" w:hAnsi="宋体" w:eastAsia="宋体" w:cs="宋体"/>
                <w:color w:val="000000"/>
                <w:sz w:val="21"/>
                <w:szCs w:val="21"/>
              </w:rPr>
            </w:pPr>
          </w:p>
        </w:tc>
        <w:tc>
          <w:tcPr>
            <w:tcW w:w="1926" w:type="dxa"/>
            <w:noWrap w:val="0"/>
            <w:vAlign w:val="center"/>
          </w:tcPr>
          <w:p w14:paraId="2930E082">
            <w:pPr>
              <w:spacing w:line="300" w:lineRule="exact"/>
              <w:jc w:val="both"/>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《安全生产违法行为行政处罚办法》第四十五条。</w:t>
            </w:r>
          </w:p>
        </w:tc>
        <w:tc>
          <w:tcPr>
            <w:tcW w:w="1224" w:type="dxa"/>
            <w:noWrap w:val="0"/>
            <w:vAlign w:val="center"/>
          </w:tcPr>
          <w:p w14:paraId="17B51E23">
            <w:pPr>
              <w:spacing w:line="300" w:lineRule="exact"/>
              <w:jc w:val="both"/>
              <w:rPr>
                <w:rFonts w:hint="eastAsia" w:ascii="宋体" w:hAnsi="宋体" w:eastAsia="宋体" w:cs="宋体"/>
                <w:sz w:val="21"/>
                <w:szCs w:val="21"/>
              </w:rPr>
            </w:pPr>
          </w:p>
        </w:tc>
      </w:tr>
      <w:tr w14:paraId="26544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23" w:type="dxa"/>
            <w:noWrap w:val="0"/>
            <w:vAlign w:val="center"/>
          </w:tcPr>
          <w:p w14:paraId="7C221730">
            <w:pPr>
              <w:spacing w:line="3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40</w:t>
            </w:r>
          </w:p>
        </w:tc>
        <w:tc>
          <w:tcPr>
            <w:tcW w:w="4670" w:type="dxa"/>
            <w:noWrap w:val="0"/>
            <w:vAlign w:val="center"/>
          </w:tcPr>
          <w:p w14:paraId="21990DE6">
            <w:pPr>
              <w:spacing w:line="280" w:lineRule="exact"/>
              <w:ind w:firstLine="206" w:firstLineChars="100"/>
              <w:jc w:val="both"/>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spacing w:val="-2"/>
                <w:sz w:val="21"/>
                <w:szCs w:val="21"/>
              </w:rPr>
              <w:t>矿用卡车制动、转向系统和安全装置完好，定期检验其可靠性，大型自卸车设示宽灯或者标志。</w:t>
            </w:r>
          </w:p>
        </w:tc>
        <w:tc>
          <w:tcPr>
            <w:tcW w:w="3448" w:type="dxa"/>
            <w:noWrap w:val="0"/>
            <w:vAlign w:val="center"/>
          </w:tcPr>
          <w:p w14:paraId="4730CF4E">
            <w:pPr>
              <w:spacing w:line="280" w:lineRule="exact"/>
              <w:jc w:val="both"/>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spacing w:val="-10"/>
                <w:sz w:val="21"/>
                <w:szCs w:val="21"/>
              </w:rPr>
              <w:t>《煤矿安全规程》第</w:t>
            </w:r>
            <w:r>
              <w:rPr>
                <w:rFonts w:hint="eastAsia" w:ascii="宋体" w:hAnsi="宋体" w:eastAsia="宋体" w:cs="宋体"/>
                <w:color w:val="000000"/>
                <w:spacing w:val="-10"/>
                <w:sz w:val="21"/>
                <w:szCs w:val="21"/>
                <w:lang w:eastAsia="zh-CN"/>
              </w:rPr>
              <w:t>五百六十四</w:t>
            </w:r>
            <w:r>
              <w:rPr>
                <w:rFonts w:hint="eastAsia" w:ascii="宋体" w:hAnsi="宋体" w:eastAsia="宋体" w:cs="宋体"/>
                <w:color w:val="000000"/>
                <w:spacing w:val="-10"/>
                <w:sz w:val="21"/>
                <w:szCs w:val="21"/>
              </w:rPr>
              <w:t>条</w:t>
            </w:r>
            <w:r>
              <w:rPr>
                <w:rFonts w:hint="eastAsia" w:ascii="宋体" w:hAnsi="宋体" w:eastAsia="宋体" w:cs="宋体"/>
                <w:color w:val="000000"/>
                <w:spacing w:val="-10"/>
                <w:sz w:val="21"/>
                <w:szCs w:val="21"/>
                <w:lang w:eastAsia="zh-CN"/>
              </w:rPr>
              <w:t>。</w:t>
            </w:r>
          </w:p>
        </w:tc>
        <w:tc>
          <w:tcPr>
            <w:tcW w:w="2497" w:type="dxa"/>
            <w:noWrap w:val="0"/>
            <w:vAlign w:val="center"/>
          </w:tcPr>
          <w:p w14:paraId="3154636F">
            <w:pPr>
              <w:spacing w:line="300" w:lineRule="exact"/>
              <w:jc w:val="both"/>
              <w:rPr>
                <w:rFonts w:hint="eastAsia" w:ascii="宋体" w:hAnsi="宋体" w:eastAsia="宋体" w:cs="宋体"/>
                <w:color w:val="000000"/>
                <w:sz w:val="21"/>
                <w:szCs w:val="21"/>
              </w:rPr>
            </w:pPr>
          </w:p>
        </w:tc>
        <w:tc>
          <w:tcPr>
            <w:tcW w:w="1926" w:type="dxa"/>
            <w:noWrap w:val="0"/>
            <w:vAlign w:val="center"/>
          </w:tcPr>
          <w:p w14:paraId="20AFD5F2">
            <w:pPr>
              <w:spacing w:line="300" w:lineRule="exact"/>
              <w:jc w:val="both"/>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《安全生产违法行为行政处罚办法》第四十五条。</w:t>
            </w:r>
          </w:p>
        </w:tc>
        <w:tc>
          <w:tcPr>
            <w:tcW w:w="1224" w:type="dxa"/>
            <w:noWrap w:val="0"/>
            <w:vAlign w:val="center"/>
          </w:tcPr>
          <w:p w14:paraId="6B1DC13E">
            <w:pPr>
              <w:spacing w:line="300" w:lineRule="exact"/>
              <w:jc w:val="both"/>
              <w:rPr>
                <w:rFonts w:hint="eastAsia" w:ascii="宋体" w:hAnsi="宋体" w:eastAsia="宋体" w:cs="宋体"/>
                <w:sz w:val="21"/>
                <w:szCs w:val="21"/>
              </w:rPr>
            </w:pPr>
          </w:p>
        </w:tc>
      </w:tr>
    </w:tbl>
    <w:p w14:paraId="6A66EEE4">
      <w:pPr>
        <w:jc w:val="left"/>
        <w:rPr>
          <w:spacing w:val="-2"/>
          <w:sz w:val="21"/>
          <w:szCs w:val="21"/>
        </w:rPr>
      </w:pPr>
      <w:r>
        <w:rPr>
          <w:rFonts w:hint="eastAsia"/>
          <w:spacing w:val="-2"/>
          <w:sz w:val="21"/>
          <w:szCs w:val="21"/>
        </w:rPr>
        <w:t xml:space="preserve">   </w:t>
      </w:r>
    </w:p>
    <w:p w14:paraId="39346A01"/>
    <w:p w14:paraId="4EAEC433">
      <w:pPr>
        <w:pStyle w:val="7"/>
      </w:pPr>
    </w:p>
    <w:p w14:paraId="4F3C2801">
      <w:pPr>
        <w:pStyle w:val="7"/>
      </w:pPr>
    </w:p>
    <w:p w14:paraId="2E1CA9E4">
      <w:pPr>
        <w:jc w:val="center"/>
        <w:rPr>
          <w:rFonts w:hint="eastAsia" w:ascii="方正小标宋简体" w:hAnsi="方正小标宋简体" w:eastAsia="方正小标宋简体" w:cs="方正小标宋简体"/>
          <w:b w:val="0"/>
          <w:sz w:val="44"/>
          <w:szCs w:val="44"/>
          <w:lang w:val="en-US" w:eastAsia="zh-CN"/>
        </w:rPr>
      </w:pPr>
      <w:r>
        <w:rPr>
          <w:rFonts w:hint="eastAsia" w:ascii="方正小标宋简体" w:hAnsi="方正小标宋简体" w:eastAsia="方正小标宋简体" w:cs="方正小标宋简体"/>
          <w:b w:val="0"/>
          <w:sz w:val="44"/>
          <w:szCs w:val="44"/>
          <w:lang w:val="en-US" w:eastAsia="zh-CN"/>
        </w:rPr>
        <w:t>自治区安全生产执法检查重点事项指导目录（非煤矿山企业）</w:t>
      </w:r>
    </w:p>
    <w:tbl>
      <w:tblPr>
        <w:tblStyle w:val="8"/>
        <w:tblW w:w="1541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85"/>
        <w:gridCol w:w="3"/>
        <w:gridCol w:w="469"/>
        <w:gridCol w:w="1763"/>
        <w:gridCol w:w="4949"/>
        <w:gridCol w:w="3418"/>
        <w:gridCol w:w="3324"/>
        <w:gridCol w:w="22"/>
        <w:gridCol w:w="746"/>
        <w:gridCol w:w="34"/>
      </w:tblGrid>
      <w:tr w14:paraId="1D3D8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793" w:hRule="atLeast"/>
          <w:tblHeader/>
        </w:trPr>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FA2FB3">
            <w:pPr>
              <w:keepNext w:val="0"/>
              <w:keepLines w:val="0"/>
              <w:widowControl/>
              <w:suppressLineNumbers w:val="0"/>
              <w:jc w:val="center"/>
              <w:textAlignment w:val="center"/>
              <w:rPr>
                <w:rFonts w:hint="eastAsia" w:ascii="黑体" w:hAnsi="黑体" w:eastAsia="黑体" w:cs="黑体"/>
                <w:i w:val="0"/>
                <w:color w:val="000000"/>
                <w:sz w:val="24"/>
                <w:szCs w:val="24"/>
                <w:u w:val="none"/>
              </w:rPr>
            </w:pPr>
            <w:r>
              <w:rPr>
                <w:rFonts w:hint="eastAsia" w:ascii="黑体" w:hAnsi="黑体" w:eastAsia="黑体" w:cs="黑体"/>
                <w:i w:val="0"/>
                <w:color w:val="000000"/>
                <w:kern w:val="0"/>
                <w:sz w:val="24"/>
                <w:szCs w:val="24"/>
                <w:u w:val="none"/>
                <w:lang w:val="en-US" w:eastAsia="zh-CN" w:bidi="ar"/>
              </w:rPr>
              <w:t>序号</w:t>
            </w:r>
          </w:p>
        </w:tc>
        <w:tc>
          <w:tcPr>
            <w:tcW w:w="2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BE452E">
            <w:pPr>
              <w:keepNext w:val="0"/>
              <w:keepLines w:val="0"/>
              <w:widowControl/>
              <w:suppressLineNumbers w:val="0"/>
              <w:jc w:val="center"/>
              <w:textAlignment w:val="center"/>
              <w:rPr>
                <w:rFonts w:hint="eastAsia" w:ascii="黑体" w:hAnsi="黑体" w:eastAsia="黑体" w:cs="黑体"/>
                <w:i w:val="0"/>
                <w:color w:val="000000"/>
                <w:sz w:val="24"/>
                <w:szCs w:val="24"/>
                <w:u w:val="none"/>
              </w:rPr>
            </w:pPr>
            <w:r>
              <w:rPr>
                <w:rFonts w:hint="eastAsia" w:ascii="黑体" w:hAnsi="黑体" w:eastAsia="黑体" w:cs="黑体"/>
                <w:i w:val="0"/>
                <w:color w:val="000000"/>
                <w:kern w:val="0"/>
                <w:sz w:val="24"/>
                <w:szCs w:val="24"/>
                <w:u w:val="none"/>
                <w:lang w:val="en-US" w:eastAsia="zh-CN" w:bidi="ar"/>
              </w:rPr>
              <w:t>执法检查重点事项内容</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45F25">
            <w:pPr>
              <w:keepNext w:val="0"/>
              <w:keepLines w:val="0"/>
              <w:widowControl/>
              <w:suppressLineNumbers w:val="0"/>
              <w:jc w:val="center"/>
              <w:textAlignment w:val="center"/>
              <w:rPr>
                <w:rFonts w:hint="eastAsia" w:ascii="黑体" w:hAnsi="黑体" w:eastAsia="黑体" w:cs="黑体"/>
                <w:i w:val="0"/>
                <w:color w:val="000000"/>
                <w:sz w:val="24"/>
                <w:szCs w:val="24"/>
                <w:u w:val="none"/>
              </w:rPr>
            </w:pPr>
            <w:r>
              <w:rPr>
                <w:rFonts w:hint="eastAsia" w:ascii="黑体" w:hAnsi="黑体" w:eastAsia="黑体" w:cs="黑体"/>
                <w:i w:val="0"/>
                <w:color w:val="000000"/>
                <w:kern w:val="0"/>
                <w:sz w:val="24"/>
                <w:szCs w:val="24"/>
                <w:u w:val="none"/>
                <w:lang w:val="en-US" w:eastAsia="zh-CN" w:bidi="ar"/>
              </w:rPr>
              <w:t>检查依据</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FC9AD">
            <w:pPr>
              <w:keepNext w:val="0"/>
              <w:keepLines w:val="0"/>
              <w:widowControl/>
              <w:suppressLineNumbers w:val="0"/>
              <w:jc w:val="center"/>
              <w:textAlignment w:val="center"/>
              <w:rPr>
                <w:rFonts w:hint="eastAsia" w:ascii="黑体" w:hAnsi="黑体" w:eastAsia="黑体" w:cs="黑体"/>
                <w:i w:val="0"/>
                <w:color w:val="000000"/>
                <w:sz w:val="24"/>
                <w:szCs w:val="24"/>
                <w:u w:val="none"/>
              </w:rPr>
            </w:pPr>
            <w:r>
              <w:rPr>
                <w:rFonts w:hint="eastAsia" w:ascii="黑体" w:hAnsi="黑体" w:eastAsia="黑体" w:cs="黑体"/>
                <w:i w:val="0"/>
                <w:color w:val="000000"/>
                <w:kern w:val="0"/>
                <w:sz w:val="24"/>
                <w:szCs w:val="24"/>
                <w:u w:val="none"/>
                <w:lang w:val="en-US" w:eastAsia="zh-CN" w:bidi="ar"/>
              </w:rPr>
              <w:t>有关规范性文件及标准要求</w:t>
            </w: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F1B7E">
            <w:pPr>
              <w:keepNext w:val="0"/>
              <w:keepLines w:val="0"/>
              <w:widowControl/>
              <w:suppressLineNumbers w:val="0"/>
              <w:jc w:val="center"/>
              <w:textAlignment w:val="center"/>
              <w:rPr>
                <w:rFonts w:hint="eastAsia" w:ascii="黑体" w:hAnsi="黑体" w:eastAsia="黑体" w:cs="黑体"/>
                <w:i w:val="0"/>
                <w:color w:val="000000"/>
                <w:sz w:val="24"/>
                <w:szCs w:val="24"/>
                <w:u w:val="none"/>
              </w:rPr>
            </w:pPr>
            <w:r>
              <w:rPr>
                <w:rFonts w:hint="eastAsia" w:ascii="黑体" w:hAnsi="黑体" w:eastAsia="黑体" w:cs="黑体"/>
                <w:i w:val="0"/>
                <w:color w:val="000000"/>
                <w:kern w:val="0"/>
                <w:sz w:val="24"/>
                <w:szCs w:val="24"/>
                <w:u w:val="none"/>
                <w:lang w:val="en-US" w:eastAsia="zh-CN" w:bidi="ar"/>
              </w:rPr>
              <w:t>处罚依据</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597111">
            <w:pPr>
              <w:keepNext w:val="0"/>
              <w:keepLines w:val="0"/>
              <w:widowControl/>
              <w:suppressLineNumbers w:val="0"/>
              <w:jc w:val="center"/>
              <w:textAlignment w:val="center"/>
              <w:rPr>
                <w:rFonts w:hint="eastAsia" w:ascii="黑体" w:hAnsi="黑体" w:eastAsia="黑体" w:cs="黑体"/>
                <w:i w:val="0"/>
                <w:color w:val="000000"/>
                <w:sz w:val="24"/>
                <w:szCs w:val="24"/>
                <w:u w:val="none"/>
              </w:rPr>
            </w:pPr>
            <w:r>
              <w:rPr>
                <w:rFonts w:hint="eastAsia" w:ascii="黑体" w:hAnsi="黑体" w:eastAsia="黑体" w:cs="黑体"/>
                <w:i w:val="0"/>
                <w:color w:val="000000"/>
                <w:kern w:val="0"/>
                <w:sz w:val="24"/>
                <w:szCs w:val="24"/>
                <w:u w:val="none"/>
                <w:lang w:val="en-US" w:eastAsia="zh-CN" w:bidi="ar"/>
              </w:rPr>
              <w:t>备注</w:t>
            </w:r>
          </w:p>
        </w:tc>
      </w:tr>
      <w:tr w14:paraId="239AE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wAfter w:w="0" w:type="auto"/>
          <w:trHeight w:val="585" w:hRule="atLeast"/>
        </w:trPr>
        <w:tc>
          <w:tcPr>
            <w:tcW w:w="1541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5014F1C">
            <w:pPr>
              <w:keepNext w:val="0"/>
              <w:keepLines w:val="0"/>
              <w:widowControl/>
              <w:suppressLineNumbers w:val="0"/>
              <w:jc w:val="center"/>
              <w:textAlignment w:val="center"/>
              <w:rPr>
                <w:rFonts w:hint="eastAsia" w:ascii="黑体" w:hAnsi="黑体" w:eastAsia="黑体" w:cs="黑体"/>
                <w:i w:val="0"/>
                <w:color w:val="000000"/>
                <w:kern w:val="0"/>
                <w:sz w:val="24"/>
                <w:szCs w:val="24"/>
                <w:u w:val="none"/>
                <w:lang w:val="en-US" w:eastAsia="zh-CN" w:bidi="ar"/>
              </w:rPr>
            </w:pPr>
            <w:r>
              <w:rPr>
                <w:rFonts w:hint="eastAsia" w:ascii="黑体" w:hAnsi="黑体" w:eastAsia="黑体" w:cs="黑体"/>
                <w:i w:val="0"/>
                <w:color w:val="000000"/>
                <w:kern w:val="0"/>
                <w:sz w:val="24"/>
                <w:szCs w:val="24"/>
                <w:u w:val="none"/>
                <w:lang w:val="en-US" w:eastAsia="zh-CN" w:bidi="ar"/>
              </w:rPr>
              <w:t>金属非金属地下矿山</w:t>
            </w:r>
          </w:p>
        </w:tc>
      </w:tr>
      <w:tr w14:paraId="59BAE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90" w:hRule="atLeast"/>
        </w:trPr>
        <w:tc>
          <w:tcPr>
            <w:tcW w:w="688" w:type="dxa"/>
            <w:gridSpan w:val="2"/>
            <w:vMerge w:val="restart"/>
            <w:tcBorders>
              <w:left w:val="single" w:color="000000" w:sz="4" w:space="0"/>
              <w:bottom w:val="single" w:color="000000" w:sz="4" w:space="0"/>
              <w:right w:val="single" w:color="000000" w:sz="4" w:space="0"/>
            </w:tcBorders>
            <w:shd w:val="clear" w:color="auto" w:fill="auto"/>
            <w:vAlign w:val="center"/>
          </w:tcPr>
          <w:p w14:paraId="22318D22">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2232" w:type="dxa"/>
            <w:gridSpan w:val="2"/>
            <w:tcBorders>
              <w:left w:val="single" w:color="000000" w:sz="4" w:space="0"/>
              <w:bottom w:val="single" w:color="000000" w:sz="4" w:space="0"/>
              <w:right w:val="single" w:color="000000" w:sz="4" w:space="0"/>
            </w:tcBorders>
            <w:shd w:val="clear" w:color="auto" w:fill="auto"/>
            <w:vAlign w:val="center"/>
          </w:tcPr>
          <w:p w14:paraId="1165B2B2">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1.1安全生产许可证取得</w:t>
            </w:r>
          </w:p>
        </w:tc>
        <w:tc>
          <w:tcPr>
            <w:tcW w:w="4949" w:type="dxa"/>
            <w:tcBorders>
              <w:left w:val="single" w:color="000000" w:sz="4" w:space="0"/>
              <w:bottom w:val="single" w:color="000000" w:sz="4" w:space="0"/>
              <w:right w:val="single" w:color="000000" w:sz="4" w:space="0"/>
            </w:tcBorders>
            <w:shd w:val="clear" w:color="auto" w:fill="auto"/>
            <w:vAlign w:val="center"/>
          </w:tcPr>
          <w:p w14:paraId="756EAB7C">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《安全生产许可证条例》第二条  国家对矿山企业、建筑施工企业和危险化学品、烟花爆竹、民用爆炸物品生产企业（以下统称企业）实行安全生产许可制度。</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企业未取得安全生产许可证的，不得从事生产活动。</w:t>
            </w:r>
          </w:p>
        </w:tc>
        <w:tc>
          <w:tcPr>
            <w:tcW w:w="3418" w:type="dxa"/>
            <w:tcBorders>
              <w:left w:val="single" w:color="000000" w:sz="4" w:space="0"/>
              <w:bottom w:val="single" w:color="000000" w:sz="4" w:space="0"/>
              <w:right w:val="single" w:color="000000" w:sz="4" w:space="0"/>
            </w:tcBorders>
            <w:shd w:val="clear" w:color="auto" w:fill="auto"/>
            <w:vAlign w:val="center"/>
          </w:tcPr>
          <w:p w14:paraId="19824B97">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p>
        </w:tc>
        <w:tc>
          <w:tcPr>
            <w:tcW w:w="3324" w:type="dxa"/>
            <w:tcBorders>
              <w:left w:val="single" w:color="000000" w:sz="4" w:space="0"/>
              <w:bottom w:val="single" w:color="000000" w:sz="4" w:space="0"/>
              <w:right w:val="single" w:color="000000" w:sz="4" w:space="0"/>
            </w:tcBorders>
            <w:shd w:val="clear" w:color="auto" w:fill="auto"/>
            <w:vAlign w:val="center"/>
          </w:tcPr>
          <w:p w14:paraId="3677F43E">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《安全生产许可证条例》第十九条  违反本条例规定，未取得安全生产许可证擅自进行生产的，责令停止生产，没收违法所得，并处10万元以上50万元以下的罚款；造成重大事故或者其他严重后果，构成犯罪的，依法追究刑事责任。</w:t>
            </w:r>
          </w:p>
        </w:tc>
        <w:tc>
          <w:tcPr>
            <w:tcW w:w="768" w:type="dxa"/>
            <w:gridSpan w:val="2"/>
            <w:tcBorders>
              <w:left w:val="single" w:color="000000" w:sz="4" w:space="0"/>
              <w:bottom w:val="single" w:color="000000" w:sz="4" w:space="0"/>
              <w:right w:val="single" w:color="000000" w:sz="4" w:space="0"/>
            </w:tcBorders>
            <w:shd w:val="clear" w:color="auto" w:fill="auto"/>
            <w:vAlign w:val="center"/>
          </w:tcPr>
          <w:p w14:paraId="1F3D2ED0">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1"/>
                <w:szCs w:val="21"/>
                <w:u w:val="none"/>
                <w:lang w:val="en-US" w:eastAsia="zh-CN" w:bidi="ar"/>
              </w:rPr>
            </w:pPr>
          </w:p>
        </w:tc>
      </w:tr>
      <w:tr w14:paraId="03BAF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90" w:hRule="atLeast"/>
        </w:trPr>
        <w:tc>
          <w:tcPr>
            <w:tcW w:w="688" w:type="dxa"/>
            <w:gridSpan w:val="2"/>
            <w:vMerge w:val="continue"/>
            <w:tcBorders>
              <w:left w:val="single" w:color="000000" w:sz="4" w:space="0"/>
              <w:bottom w:val="single" w:color="000000" w:sz="4" w:space="0"/>
              <w:right w:val="single" w:color="000000" w:sz="4" w:space="0"/>
            </w:tcBorders>
            <w:shd w:val="clear" w:color="auto" w:fill="auto"/>
            <w:vAlign w:val="center"/>
          </w:tcPr>
          <w:p w14:paraId="5C46D9A5">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1"/>
                <w:szCs w:val="21"/>
                <w:u w:val="none"/>
                <w:lang w:val="en-US" w:eastAsia="zh-CN" w:bidi="ar"/>
              </w:rPr>
            </w:pPr>
          </w:p>
        </w:tc>
        <w:tc>
          <w:tcPr>
            <w:tcW w:w="2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03DA18">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 安全生产许可证延期</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83E44">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《安全生产许可证条例》第九条  安全生产许可证的有效期为3年。安全生产许可证有效期满需要延期的，企业应当于期满前3个月向原安全生产许可证颁发管理机关办理延期手续。</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CAF3F">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3DDD9">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《安全生产许可证条例》第二十条  违反本条例规定，安全生产许可证有效期满未办理延期手续，继续进行生产的，责令停止生产，限期补办延期手续，没收违法所得，并处5万元以上10万元以下的罚款；逾期仍不办理延期手续，继续进行生产的，依照本条例第十九条的规定处罚。</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EFED8C">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1"/>
                <w:szCs w:val="21"/>
                <w:u w:val="none"/>
                <w:lang w:val="en-US" w:eastAsia="zh-CN" w:bidi="ar"/>
              </w:rPr>
            </w:pPr>
          </w:p>
        </w:tc>
      </w:tr>
      <w:tr w14:paraId="7D0CC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2598" w:hRule="atLeast"/>
        </w:trPr>
        <w:tc>
          <w:tcPr>
            <w:tcW w:w="688" w:type="dxa"/>
            <w:gridSpan w:val="2"/>
            <w:vMerge w:val="continue"/>
            <w:tcBorders>
              <w:left w:val="single" w:color="000000" w:sz="4" w:space="0"/>
              <w:bottom w:val="single" w:color="000000" w:sz="4" w:space="0"/>
              <w:right w:val="single" w:color="000000" w:sz="4" w:space="0"/>
            </w:tcBorders>
            <w:shd w:val="clear" w:color="auto" w:fill="auto"/>
            <w:vAlign w:val="center"/>
          </w:tcPr>
          <w:p w14:paraId="1CB4408A">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2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827A77">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1.3 安全生产许可证变更</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47432">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《非煤矿矿山企业安全生产许可证实施办法》(国家安全生产监督管理总局令第20号)第二十一条  非煤矿矿山企业在安全生产许可证有效期内有下列情形之一的，应当自工商营业执照变更之日起30个工作日内向原安全生产许可证颁发管理机关申请变更安全生产许可证：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（一）变更单位名称的；</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（二）变更主要负责人的；</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（三）变更单位地址的；</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（四）变更经济类型的；</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（五）变更许可范围的。</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CE586">
            <w:pPr>
              <w:keepNext w:val="0"/>
              <w:keepLines w:val="0"/>
              <w:pageBreakBefore w:val="0"/>
              <w:widowControl/>
              <w:suppressLineNumbers w:val="0"/>
              <w:kinsoku/>
              <w:wordWrap/>
              <w:overflowPunct/>
              <w:topLinePunct w:val="0"/>
              <w:autoSpaceDE/>
              <w:autoSpaceDN/>
              <w:bidi w:val="0"/>
              <w:adjustRightInd/>
              <w:snapToGrid/>
              <w:spacing w:line="240" w:lineRule="exact"/>
              <w:ind w:left="638" w:leftChars="304"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0DE98">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《非煤矿矿山企业安全生产许可证实施办法》(国家安全生产监督管理总局令第20号)第四十四条  非煤矿矿山企业在安全生产许可证有效期内，出现需要变更安全生产许可证的情形，未按本实施办法第二十一条的规定申请、办理变更手续的，责令限期办理变更手续，并处1万元以上3万元以下罚款。</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C5CBD4">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1"/>
                <w:szCs w:val="21"/>
                <w:u w:val="none"/>
                <w:lang w:val="en-US" w:eastAsia="zh-CN" w:bidi="ar"/>
              </w:rPr>
            </w:pPr>
          </w:p>
        </w:tc>
      </w:tr>
      <w:tr w14:paraId="0DC66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3265" w:hRule="atLeast"/>
        </w:trPr>
        <w:tc>
          <w:tcPr>
            <w:tcW w:w="688" w:type="dxa"/>
            <w:gridSpan w:val="2"/>
            <w:vMerge w:val="continue"/>
            <w:tcBorders>
              <w:left w:val="single" w:color="000000" w:sz="4" w:space="0"/>
              <w:bottom w:val="single" w:color="000000" w:sz="4" w:space="0"/>
              <w:right w:val="single" w:color="000000" w:sz="4" w:space="0"/>
            </w:tcBorders>
            <w:shd w:val="clear" w:color="auto" w:fill="auto"/>
            <w:vAlign w:val="center"/>
          </w:tcPr>
          <w:p w14:paraId="3D634BB8">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2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32AA10">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1.4因采矿许可证到期及被暂扣、撤销、吊销和注销等交回安全生产许可证</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4F9FE">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《非煤矿矿山企业安全生产许可证条例实施办法》(国家安全生产监督管理总局令第20号)第二十八条  非煤矿矿山企业发现在安全生产许可证有效期内采矿许可证到期失效的，应当在采矿许可证到期前15日内向原安全生产许可证颁发管理机关报告，并交回安全生产许可证正本和副本。</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采矿许可证被暂扣、撤销、吊销和注销的，非煤矿矿山企业应当在暂扣、撤销、吊销和注销后5日内向原安全生产许可证颁发管理机关报告，并交回安全生产许可证正本和副本。</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7DAA6">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5A2B4">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《非煤矿矿山企业安全生产许可证条例实施办法》(国家安全生产监督管理总局令第20号)第四十三条  非煤矿矿山企业在安全生产许可证有效期内出现采矿许可证有效期届满和采矿许可证被暂扣、撤销、吊销、注销的情况，未依照本实施办法第二十八条的规定向安全生产许可证颁发管理机关报告并交回安全生产许可证的，处1万元以上3万元以下罚款。</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117A0F">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p>
        </w:tc>
      </w:tr>
      <w:tr w14:paraId="4B147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3169" w:hRule="atLeast"/>
        </w:trPr>
        <w:tc>
          <w:tcPr>
            <w:tcW w:w="688" w:type="dxa"/>
            <w:gridSpan w:val="2"/>
            <w:vMerge w:val="continue"/>
            <w:tcBorders>
              <w:left w:val="single" w:color="000000" w:sz="4" w:space="0"/>
              <w:bottom w:val="single" w:color="000000" w:sz="4" w:space="0"/>
              <w:right w:val="single" w:color="000000" w:sz="4" w:space="0"/>
            </w:tcBorders>
            <w:shd w:val="clear" w:color="auto" w:fill="auto"/>
            <w:vAlign w:val="center"/>
          </w:tcPr>
          <w:p w14:paraId="19233BA5">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1"/>
                <w:szCs w:val="21"/>
                <w:u w:val="none"/>
                <w:lang w:val="en-US" w:eastAsia="zh-CN" w:bidi="ar"/>
              </w:rPr>
            </w:pPr>
          </w:p>
        </w:tc>
        <w:tc>
          <w:tcPr>
            <w:tcW w:w="2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3FBE80">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1.5 转让、冒用安全生产许可证或者使用伪造的安全生产许可证</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540EC">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《安全生产许可证条例》第十三条  企业不得转让、冒用安全生产许可证或者使用伪造的安全生产许可证。</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1CDA6">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A8601">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《安全生产许可证条例》第二十一条  违反本条例规定，转让安全生产许可证的，没收违法所得，处10万元以上50万元以下的罚款，并吊销其安全生产许可证；构成犯罪的，依法追究刑事责任；接受转让的，依照本条例第十九条的规定处罚。</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冒用安全生产许可证或者使用伪造的安全生产许可证的，依照本条例第十九条的规定处罚。</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5662F7">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p>
        </w:tc>
      </w:tr>
      <w:tr w14:paraId="29F82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8185" w:hRule="atLeast"/>
        </w:trPr>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0148E4">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73C3A">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基本图纸及与实际符合情况</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07E04">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未保存基本图纸或图实不符</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E31CD">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《中华人民共和国安全生产法》第四十一条  生产经营单位应当建立健全生产安全事故隐患排查治理制度，采取技术、管理措施，及时发现并消除事故隐患。事故隐患排查治理情况应当如实记录，并向从业人员通报。</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 xml:space="preserve">    ……</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EC784">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《金属非金属矿山安全规程》（GB16423-2020）4.1.10地下矿山应保存下列图纸，并根据实际情况的变化及时更新：</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———矿区地形地质图、水文地质图（含平面和剖面）；</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———开拓系统图；</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———中段平面图；</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———通风系统图；</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———井上、井下对排照图；</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———压风、供水、排水系统图；</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———通信系统图；</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———供配电系统图；</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———井下避灾路线图；</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———相邻采区或矿山本矿山空间位置关系图。</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图中应正确标记：</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———已掘进巷道和计划掘进巷道的位置、名称、规格；</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———采空区和已充填采空区、废弃井巷和设计开采的采位的位置、名称与尺寸；</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———通风、防尘、防火、防水、排水等主要设备和设施的位置；</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———风流方向，人员安全撤离的路线和安全出口；</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———井下通信设备位置；</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———采空区及废弃井巷的处理方式、进度、现状及地表塌陷区的位置。</w:t>
            </w: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0BD1B">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4D0828">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按设计执行。</w:t>
            </w:r>
          </w:p>
        </w:tc>
      </w:tr>
      <w:tr w14:paraId="74EFA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90" w:hRule="atLeast"/>
        </w:trPr>
        <w:tc>
          <w:tcPr>
            <w:tcW w:w="68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7F7FC0">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w:t>
            </w:r>
          </w:p>
        </w:tc>
        <w:tc>
          <w:tcPr>
            <w:tcW w:w="4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414D2C">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采掘系统</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F7B2E">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3.1 矿井的安全出口</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E41D0">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《中华人民共和国安全生产法》第四十一条  生产经营单位应当建立健全生产安全事故隐患排查治理制度，采取技术、管理措施，及时发现并消除事故隐患。事故隐患排查治理情况应当如实记录，并向从业人员通报。</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68B92">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《金属非金属矿山安全规程》（GB16423-2020）6.1.1.1矿井的安全出口应符合下列规定：</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———每个矿井至少应有两个相互独立、间距不小于30ｍ、直达地面的安全出口；矿体一翼走向长度超过1000ｍ时，此翼应有安全出口；</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———每个生产水平或中段至少应有两个便于行人的安全出口，并应同通往地面的安全出口相通；</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———井巷的分道口应有路标，注明其所在地点及通往地面出口的方向；</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———安全出口应定期检查，保证其处于良好状态。</w:t>
            </w: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6BA25">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9FCE8E">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1"/>
                <w:szCs w:val="21"/>
                <w:u w:val="none"/>
                <w:lang w:val="en-US" w:eastAsia="zh-CN" w:bidi="ar"/>
              </w:rPr>
            </w:pPr>
          </w:p>
        </w:tc>
      </w:tr>
      <w:tr w14:paraId="529B3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3169" w:hRule="atLeast"/>
        </w:trPr>
        <w:tc>
          <w:tcPr>
            <w:tcW w:w="6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E6F66">
            <w:pPr>
              <w:jc w:val="both"/>
              <w:rPr>
                <w:rFonts w:hint="eastAsia" w:ascii="宋体" w:hAnsi="宋体" w:eastAsia="宋体" w:cs="宋体"/>
                <w:i w:val="0"/>
                <w:color w:val="000000"/>
                <w:sz w:val="21"/>
                <w:szCs w:val="21"/>
                <w:u w:val="none"/>
              </w:rPr>
            </w:pPr>
          </w:p>
        </w:tc>
        <w:tc>
          <w:tcPr>
            <w:tcW w:w="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12918">
            <w:pPr>
              <w:jc w:val="both"/>
              <w:rPr>
                <w:rFonts w:hint="eastAsia" w:ascii="宋体" w:hAnsi="宋体" w:eastAsia="宋体" w:cs="宋体"/>
                <w:i w:val="0"/>
                <w:color w:val="000000"/>
                <w:sz w:val="21"/>
                <w:szCs w:val="21"/>
                <w:u w:val="none"/>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2D991">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3.2 出入井管理</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3F922">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《中华人民共和国安全生产法》第四十一条  生产经营单位应当建立健全生产安全事故隐患排查治理制度，采取技术、管理措施，及时发现并消除事故隐患。事故隐患排查治理情况应当如实记录，并向从业人员通报。</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C3EC2">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《金属非金属矿山安全规程》（GB16423-2020）4.7.8地下矿山企业应建立健全下井人员出入矿井登记和检查制度。入井人员应随身携带符合安全要求的照明灯具和自救器。</w:t>
            </w: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5129E">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《安全生产违法行为行政处罚办法》第四十五条  生产经营单位及其主要负责人或者其他人员有下列行为之一的，给予警告，并可以对生产经营单位处1万元以上3万元以下罚款，对其主要负责人、其他有关人员处1千元以上1万元以下的罚款：</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（一）违法操作规程或者安全管理规定作业的；</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E77A94">
            <w:pPr>
              <w:jc w:val="center"/>
              <w:rPr>
                <w:rFonts w:hint="eastAsia" w:ascii="宋体" w:hAnsi="宋体" w:eastAsia="宋体" w:cs="宋体"/>
                <w:i w:val="0"/>
                <w:color w:val="000000"/>
                <w:sz w:val="21"/>
                <w:szCs w:val="21"/>
                <w:u w:val="none"/>
              </w:rPr>
            </w:pPr>
          </w:p>
        </w:tc>
      </w:tr>
      <w:tr w14:paraId="4FFCF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2423" w:hRule="atLeast"/>
        </w:trPr>
        <w:tc>
          <w:tcPr>
            <w:tcW w:w="6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1ED2E0">
            <w:pPr>
              <w:jc w:val="center"/>
              <w:rPr>
                <w:rFonts w:hint="eastAsia" w:ascii="仿宋_GB2312" w:hAnsi="等线" w:eastAsia="仿宋_GB2312" w:cs="仿宋_GB2312"/>
                <w:i w:val="0"/>
                <w:color w:val="000000"/>
                <w:sz w:val="22"/>
                <w:szCs w:val="22"/>
                <w:u w:val="none"/>
              </w:rPr>
            </w:pPr>
          </w:p>
        </w:tc>
        <w:tc>
          <w:tcPr>
            <w:tcW w:w="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E834F0">
            <w:pPr>
              <w:jc w:val="center"/>
              <w:rPr>
                <w:rFonts w:hint="eastAsia" w:ascii="仿宋_GB2312" w:hAnsi="等线" w:eastAsia="仿宋_GB2312" w:cs="仿宋_GB2312"/>
                <w:i w:val="0"/>
                <w:color w:val="000000"/>
                <w:sz w:val="22"/>
                <w:szCs w:val="22"/>
                <w:u w:val="none"/>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15F60">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3.3 顶板分级管理制度或管控措施</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13331">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《中华人民共和国安全生产法》第四十一条  生产经营单位应当建立健全生产安全事故隐患排查治理制度，采取技术、管理措施，及时发现并消除事故隐患。事故隐患排查治理情况应当如实记录，并向从业人员通报。</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A09A8">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《金属非金属矿山安全规程》（GB16423-2020）6.3.1.12应建立采场顶板分级管理制度。对顶板不稳固的采场，应有监控手段和处理措施。</w:t>
            </w: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DE651">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572362">
            <w:pPr>
              <w:jc w:val="center"/>
              <w:rPr>
                <w:rFonts w:hint="eastAsia" w:ascii="宋体" w:hAnsi="宋体" w:eastAsia="宋体" w:cs="宋体"/>
                <w:i w:val="0"/>
                <w:color w:val="000000"/>
                <w:sz w:val="21"/>
                <w:szCs w:val="21"/>
                <w:u w:val="none"/>
              </w:rPr>
            </w:pPr>
          </w:p>
        </w:tc>
      </w:tr>
      <w:tr w14:paraId="0C9AD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2811" w:hRule="atLeast"/>
        </w:trPr>
        <w:tc>
          <w:tcPr>
            <w:tcW w:w="6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A2B1F2">
            <w:pPr>
              <w:jc w:val="center"/>
              <w:rPr>
                <w:rFonts w:hint="eastAsia" w:ascii="仿宋_GB2312" w:hAnsi="等线" w:eastAsia="仿宋_GB2312" w:cs="仿宋_GB2312"/>
                <w:i w:val="0"/>
                <w:color w:val="000000"/>
                <w:sz w:val="22"/>
                <w:szCs w:val="22"/>
                <w:u w:val="none"/>
              </w:rPr>
            </w:pPr>
          </w:p>
        </w:tc>
        <w:tc>
          <w:tcPr>
            <w:tcW w:w="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54284">
            <w:pPr>
              <w:jc w:val="center"/>
              <w:rPr>
                <w:rFonts w:hint="eastAsia" w:ascii="仿宋_GB2312" w:hAnsi="等线" w:eastAsia="仿宋_GB2312" w:cs="仿宋_GB2312"/>
                <w:i w:val="0"/>
                <w:color w:val="000000"/>
                <w:sz w:val="22"/>
                <w:szCs w:val="22"/>
                <w:u w:val="none"/>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C87D9">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3.4 按设计要求对不稳固岩层采掘支护</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3D597">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《中华人民共和国安全生产法》第四十一条  生产经营单位应当建立健全生产安全事故隐患排查治理制度，采取技术、管理措施，及时发现并消除事故隐患。事故隐患排查治理情况应当如实记录，并向从业人员通报。</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AD273">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《金属非金属矿山安全规程》（GB16423-2020）6.3.1.12  人员需要进入的采场作业面的顶板和侧面应保持稳定，矿岩不稳固时应采取支护措施。因爆破或其他原因而破坏的支护应及时修复，确认安全后方准作业。</w:t>
            </w: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B38A5">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020699">
            <w:pPr>
              <w:jc w:val="center"/>
              <w:rPr>
                <w:rFonts w:hint="eastAsia" w:ascii="宋体" w:hAnsi="宋体" w:eastAsia="宋体" w:cs="宋体"/>
                <w:i w:val="0"/>
                <w:color w:val="000000"/>
                <w:sz w:val="21"/>
                <w:szCs w:val="21"/>
                <w:u w:val="none"/>
              </w:rPr>
            </w:pPr>
          </w:p>
        </w:tc>
      </w:tr>
      <w:tr w14:paraId="5A14F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753" w:hRule="atLeast"/>
        </w:trPr>
        <w:tc>
          <w:tcPr>
            <w:tcW w:w="6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72E81">
            <w:pPr>
              <w:jc w:val="center"/>
              <w:rPr>
                <w:rFonts w:hint="eastAsia" w:ascii="仿宋_GB2312" w:hAnsi="等线" w:eastAsia="仿宋_GB2312" w:cs="仿宋_GB2312"/>
                <w:i w:val="0"/>
                <w:color w:val="000000"/>
                <w:sz w:val="22"/>
                <w:szCs w:val="22"/>
                <w:u w:val="none"/>
              </w:rPr>
            </w:pPr>
          </w:p>
        </w:tc>
        <w:tc>
          <w:tcPr>
            <w:tcW w:w="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18DD7">
            <w:pPr>
              <w:jc w:val="center"/>
              <w:rPr>
                <w:rFonts w:hint="eastAsia" w:ascii="仿宋_GB2312" w:hAnsi="等线" w:eastAsia="仿宋_GB2312" w:cs="仿宋_GB2312"/>
                <w:i w:val="0"/>
                <w:color w:val="000000"/>
                <w:sz w:val="22"/>
                <w:szCs w:val="22"/>
                <w:u w:val="none"/>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27FD4">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3.5 地压管理</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E36B9">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《中华人民共和国安全生产法》第四十一条  生产经营单位应当建立健全生产安全事故隐患排查治理制度，采取技术、管理措施，及时发现并消除事故隐患。事故隐患排查治理情况应当如实记录，并向从业人员通报。</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D1287">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《金属非金属矿山安全规程》（GB16423-2020）6.3.1.14工程地质复杂、有严重地压活动的矿山，应遵守下列规定：</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———设立专门机构或专职人员负责地压管理工作，做好现场监测和预测、预报工作；</w:t>
            </w: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5B038">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326E55">
            <w:pPr>
              <w:jc w:val="center"/>
              <w:rPr>
                <w:rFonts w:hint="eastAsia" w:ascii="宋体" w:hAnsi="宋体" w:eastAsia="宋体" w:cs="宋体"/>
                <w:i w:val="0"/>
                <w:color w:val="000000"/>
                <w:sz w:val="21"/>
                <w:szCs w:val="21"/>
                <w:u w:val="none"/>
              </w:rPr>
            </w:pPr>
          </w:p>
        </w:tc>
      </w:tr>
      <w:tr w14:paraId="39296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3216" w:hRule="atLeast"/>
        </w:trPr>
        <w:tc>
          <w:tcPr>
            <w:tcW w:w="6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586AC">
            <w:pPr>
              <w:jc w:val="center"/>
              <w:rPr>
                <w:rFonts w:hint="eastAsia" w:ascii="宋体" w:hAnsi="宋体" w:eastAsia="宋体" w:cs="宋体"/>
                <w:i w:val="0"/>
                <w:color w:val="000000"/>
                <w:sz w:val="21"/>
                <w:szCs w:val="21"/>
                <w:u w:val="none"/>
              </w:rPr>
            </w:pPr>
          </w:p>
        </w:tc>
        <w:tc>
          <w:tcPr>
            <w:tcW w:w="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127F78">
            <w:pPr>
              <w:jc w:val="center"/>
              <w:rPr>
                <w:rFonts w:hint="eastAsia" w:ascii="宋体" w:hAnsi="宋体" w:eastAsia="宋体" w:cs="宋体"/>
                <w:i w:val="0"/>
                <w:color w:val="000000"/>
                <w:sz w:val="21"/>
                <w:szCs w:val="21"/>
                <w:u w:val="none"/>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64F8C">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3.6生产作业区采空区处理</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0BE39">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《中华人民共和国安全生产法》第四十一条  生产经营单位应当建立健全生产安全事故隐患排查治理制度，采取技术、管理措施，及时发现并消除事故隐患。事故隐患排查治理情况应当如实记录，并向从业人员通报。</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2D15B">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《金属非金属矿山安全规程》（GB16423-2020）6.3.1.15采用空场法采矿的矿山，应采取充填、隔离或强制崩落围岩的措施，及时处理采空区。</w:t>
            </w: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6F015">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DF3CF5">
            <w:pPr>
              <w:jc w:val="center"/>
              <w:rPr>
                <w:rFonts w:hint="eastAsia" w:ascii="宋体" w:hAnsi="宋体" w:eastAsia="宋体" w:cs="宋体"/>
                <w:i w:val="0"/>
                <w:color w:val="000000"/>
                <w:sz w:val="21"/>
                <w:szCs w:val="21"/>
                <w:u w:val="none"/>
              </w:rPr>
            </w:pPr>
          </w:p>
        </w:tc>
      </w:tr>
      <w:tr w14:paraId="41F6C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90" w:hRule="atLeast"/>
        </w:trPr>
        <w:tc>
          <w:tcPr>
            <w:tcW w:w="6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53B25D">
            <w:pPr>
              <w:jc w:val="center"/>
              <w:rPr>
                <w:rFonts w:hint="eastAsia" w:ascii="宋体" w:hAnsi="宋体" w:eastAsia="宋体" w:cs="宋体"/>
                <w:i w:val="0"/>
                <w:color w:val="000000"/>
                <w:sz w:val="21"/>
                <w:szCs w:val="21"/>
                <w:u w:val="none"/>
              </w:rPr>
            </w:pPr>
          </w:p>
        </w:tc>
        <w:tc>
          <w:tcPr>
            <w:tcW w:w="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FCE0B3">
            <w:pPr>
              <w:jc w:val="center"/>
              <w:rPr>
                <w:rFonts w:hint="eastAsia" w:ascii="宋体" w:hAnsi="宋体" w:eastAsia="宋体" w:cs="宋体"/>
                <w:i w:val="0"/>
                <w:color w:val="000000"/>
                <w:sz w:val="21"/>
                <w:szCs w:val="21"/>
                <w:u w:val="none"/>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EA91D">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3.7保安矿柱</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CD7EC">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《中华人民共和国安全生产法》第四十一条  生产经营单位应当建立健全生产安全事故隐患排查治理制度，采取技术、管理措施，及时发现并消除事故隐患。事故隐患排查治理情况应当如实记录，并向从业人员通报。</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732C7">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《金属非金属矿山安全规程》（GB16423-2020）6.3.1.6应严格保持矿柱（含顶柱、底柱和间柱等）的尺寸、形状和直立度；应有专人检查和管理，确保矿柱的稳定性。</w:t>
            </w: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7DDC6">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234AFA">
            <w:pPr>
              <w:jc w:val="center"/>
              <w:rPr>
                <w:rFonts w:hint="eastAsia" w:ascii="宋体" w:hAnsi="宋体" w:eastAsia="宋体" w:cs="宋体"/>
                <w:i w:val="0"/>
                <w:color w:val="000000"/>
                <w:sz w:val="21"/>
                <w:szCs w:val="21"/>
                <w:u w:val="none"/>
              </w:rPr>
            </w:pPr>
          </w:p>
        </w:tc>
      </w:tr>
      <w:tr w14:paraId="6F531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5760" w:hRule="atLeast"/>
        </w:trPr>
        <w:tc>
          <w:tcPr>
            <w:tcW w:w="6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FDA7C6">
            <w:pPr>
              <w:jc w:val="center"/>
              <w:rPr>
                <w:rFonts w:hint="eastAsia" w:ascii="仿宋_GB2312" w:hAnsi="等线" w:eastAsia="仿宋_GB2312" w:cs="仿宋_GB2312"/>
                <w:i w:val="0"/>
                <w:color w:val="000000"/>
                <w:sz w:val="22"/>
                <w:szCs w:val="22"/>
                <w:u w:val="none"/>
              </w:rPr>
            </w:pPr>
          </w:p>
        </w:tc>
        <w:tc>
          <w:tcPr>
            <w:tcW w:w="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66A64">
            <w:pPr>
              <w:jc w:val="center"/>
              <w:rPr>
                <w:rFonts w:hint="eastAsia" w:ascii="仿宋_GB2312" w:hAnsi="等线" w:eastAsia="仿宋_GB2312" w:cs="仿宋_GB2312"/>
                <w:i w:val="0"/>
                <w:color w:val="000000"/>
                <w:sz w:val="22"/>
                <w:szCs w:val="22"/>
                <w:u w:val="none"/>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EC510">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3.8禁止使用空场法采矿（无底柱采矿法）采场内人工装运作业、横撑支柱采矿法</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01C61">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《中华人民共和国安全生产法》第三十八条　国家对严重危及生产安全的工艺、设备实行淘汰制度，具体目录由国务院应急管理部门会同国务院有关部门制定并公布。法律、行政法规对目录的制定另有规定的，适用其规定。</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生产经营单位不得使用应当淘汰的危及生产安全的工艺、设备。</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《国家安全监管总局关于发布金属非金属矿山禁止使用的设备及工艺目录（第一批）的通知》（安监总管一〔2013〕101号）</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新建、改建、扩建的金属非金属地下矿山一律禁止使用下列设备及工艺，现有生产地下矿山在用的下列设备及工艺，按照规定时限予以强制淘汰。</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18．空场法采矿（无底柱采矿法）采场内人工装运作业</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19．横撑支柱采矿法</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74D7D">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58723">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（七）使用应当淘汰的危及生产安全的工艺、设备的；</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5279C2">
            <w:pPr>
              <w:jc w:val="center"/>
              <w:rPr>
                <w:rFonts w:hint="eastAsia" w:ascii="宋体" w:hAnsi="宋体" w:eastAsia="宋体" w:cs="宋体"/>
                <w:i w:val="0"/>
                <w:color w:val="000000"/>
                <w:sz w:val="21"/>
                <w:szCs w:val="21"/>
                <w:u w:val="none"/>
              </w:rPr>
            </w:pPr>
          </w:p>
        </w:tc>
      </w:tr>
      <w:tr w14:paraId="0502C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6968" w:hRule="atLeast"/>
        </w:trPr>
        <w:tc>
          <w:tcPr>
            <w:tcW w:w="6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9C28DD">
            <w:pPr>
              <w:jc w:val="center"/>
              <w:rPr>
                <w:rFonts w:hint="eastAsia" w:ascii="仿宋_GB2312" w:hAnsi="等线" w:eastAsia="仿宋_GB2312" w:cs="仿宋_GB2312"/>
                <w:i w:val="0"/>
                <w:color w:val="000000"/>
                <w:sz w:val="22"/>
                <w:szCs w:val="22"/>
                <w:u w:val="none"/>
              </w:rPr>
            </w:pPr>
          </w:p>
        </w:tc>
        <w:tc>
          <w:tcPr>
            <w:tcW w:w="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9E7B70">
            <w:pPr>
              <w:jc w:val="center"/>
              <w:rPr>
                <w:rFonts w:hint="eastAsia" w:ascii="仿宋_GB2312" w:hAnsi="等线" w:eastAsia="仿宋_GB2312" w:cs="仿宋_GB2312"/>
                <w:i w:val="0"/>
                <w:color w:val="000000"/>
                <w:sz w:val="22"/>
                <w:szCs w:val="22"/>
                <w:u w:val="none"/>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64592">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3.9禁止使用集中铲装作业时人工装卸矿岩、未安装捕尘装置的干式凿岩作业、主要无轨运输巷道采用人力或畜力运输矿岩</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EBCD6">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《中华人民共和国安全生产法》第三十八条　国家对严重危及生产安全的工艺、设备实行淘汰制度，具体目录由国务院应急管理部门会同国务院有关部门制定并公布。法律、行政法规对目录的制定另有规定的，适用其规定。</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生产经营单位不得使用应当淘汰的危及生产安全的工艺、设备。</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《国家安全监管总局关于发布金属非金属矿山禁止使用的设备及工艺目录（第二批）的通知》（安监总管一〔2015〕13号）</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新建、改建、扩建的矿山从本目录发布之日起，一律禁止使用下列设备及工艺。现有生产矿山在用下列设备及工艺的，按照本目录规定的时限予以强制淘汰。</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5. 集中铲装作业时人工装卸矿岩；</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6．未安装捕尘装置的干式凿岩作业；</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7．主要无轨运输巷道及露天采场采用人力或畜力运输矿岩</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08B92">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D8399">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（七）使用应当淘汰的危及生产安全的工艺、设备的；</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BFB2D6">
            <w:pPr>
              <w:jc w:val="center"/>
              <w:rPr>
                <w:rFonts w:hint="eastAsia" w:ascii="宋体" w:hAnsi="宋体" w:eastAsia="宋体" w:cs="宋体"/>
                <w:i w:val="0"/>
                <w:color w:val="000000"/>
                <w:sz w:val="21"/>
                <w:szCs w:val="21"/>
                <w:u w:val="none"/>
              </w:rPr>
            </w:pPr>
          </w:p>
        </w:tc>
      </w:tr>
      <w:tr w14:paraId="237D3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3745" w:hRule="atLeast"/>
        </w:trPr>
        <w:tc>
          <w:tcPr>
            <w:tcW w:w="6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28FB19">
            <w:pPr>
              <w:jc w:val="center"/>
              <w:rPr>
                <w:rFonts w:hint="eastAsia" w:ascii="宋体" w:hAnsi="宋体" w:eastAsia="宋体" w:cs="宋体"/>
                <w:i w:val="0"/>
                <w:color w:val="000000"/>
                <w:sz w:val="21"/>
                <w:szCs w:val="21"/>
                <w:u w:val="none"/>
              </w:rPr>
            </w:pPr>
          </w:p>
        </w:tc>
        <w:tc>
          <w:tcPr>
            <w:tcW w:w="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58178">
            <w:pPr>
              <w:jc w:val="center"/>
              <w:rPr>
                <w:rFonts w:hint="eastAsia" w:ascii="宋体" w:hAnsi="宋体" w:eastAsia="宋体" w:cs="宋体"/>
                <w:i w:val="0"/>
                <w:color w:val="000000"/>
                <w:sz w:val="21"/>
                <w:szCs w:val="21"/>
                <w:u w:val="none"/>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3F35F">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3.10发包单位与外包单位安全生产管理协议</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25D85">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《中华人民共和国安全生产法》第四十九条　生产经营单位不得将生产经营项目、场所、设备发包或者出租给不具备安全生产条件或者相应资质的单位或者个人。</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生产经营项目、场所发包或者出租给其他单位的，生产经营单位应当与承包单位、承租单位签订专门的安全生产管理协议，或者在承包合同、租赁合同中约定各自的安全生产管理职责；生产经营单位对承包单位、承租单位的安全生产工作统一协调、管理，定期进行安全检查，发现安全问题的，应当及时督促整改。</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A3FAC">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E18C1">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一百零三条第二款“生产经营单位未与承包单位、承租单位签订专门的安全生产管理协议或者未在承包合同、租赁合同中明确各自的安全生产管理职责，或者未对承包单位、承租单位的安全生产统一协调、管理的，责令限期改正，处五万元以下的罚款，对其直接负责的主管人员和其他直接责任人员处一万元以下的罚款；逾期未改正的，责令停产停业整顿。”……</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46A3EA">
            <w:pPr>
              <w:jc w:val="center"/>
              <w:rPr>
                <w:rFonts w:hint="eastAsia" w:ascii="宋体" w:hAnsi="宋体" w:eastAsia="宋体" w:cs="宋体"/>
                <w:i w:val="0"/>
                <w:color w:val="000000"/>
                <w:sz w:val="21"/>
                <w:szCs w:val="21"/>
                <w:u w:val="none"/>
              </w:rPr>
            </w:pPr>
          </w:p>
        </w:tc>
      </w:tr>
      <w:tr w14:paraId="48EF6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1101" w:hRule="atLeast"/>
        </w:trPr>
        <w:tc>
          <w:tcPr>
            <w:tcW w:w="68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80B636">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w:t>
            </w:r>
          </w:p>
        </w:tc>
        <w:tc>
          <w:tcPr>
            <w:tcW w:w="4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DE4CD4">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提升系统</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2D0DC">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4.1过卷保护装置及防坠装置</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1364B">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《中华人民共和国安全生产法》第三十六条  安全设备的设计、制造、安装、使用、检测、维修、改造和报废，应当符合国家标准或者行业标准。 </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DCD12">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《金属非金属矿山安全规程》（GB16423-2020）6.4.4.16竖井提升系统应符合下列规定：</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———过卷段应设过卷缓冲装置或者楔形罐道，使过卷容器能够平稳地在过卷段内停住；</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深度大于800ｍ的竖井应设过卷缓冲装置，使过卷容器在缓冲装置内平稳停住，并不再反向下滑或反弹；</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———楔形罐道的楔形部分的斜度为1％；包括较宽部分的直线段在内的长度不小于过卷段高度的2/3；摩擦式提升系统的下行容器应比上行容器提前接触楔形罐道，提前距离不小于1ｍ。</w:t>
            </w: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0330B">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（二）安全设备的安装、使用、检测、改造和报废不符合国家标准或者行业标准的；</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F70286">
            <w:pPr>
              <w:jc w:val="center"/>
              <w:rPr>
                <w:rFonts w:hint="eastAsia" w:ascii="宋体" w:hAnsi="宋体" w:eastAsia="宋体" w:cs="宋体"/>
                <w:i w:val="0"/>
                <w:color w:val="000000"/>
                <w:sz w:val="21"/>
                <w:szCs w:val="21"/>
                <w:u w:val="none"/>
              </w:rPr>
            </w:pPr>
          </w:p>
        </w:tc>
      </w:tr>
      <w:tr w14:paraId="02C54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6953" w:hRule="atLeast"/>
        </w:trPr>
        <w:tc>
          <w:tcPr>
            <w:tcW w:w="6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12410">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09E372">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35323">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4.2提升系统的保护和闭锁连锁装置</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71B03">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《中华人民共和国安全生产法》第三十六条  安全设备的设计、制造、安装、使用、检测、改造和报废，应当符合国家标准或者行业标准。 </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88D5D">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《金属非金属矿山安全规程》（GB16423-2020）6.4.4.20主要提升矿、废石的罐笼提升系统应符合下列规定：</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———井口和井下各中段马头门应设自动安全门，并与提升机连锁；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———井口和井下各中段马头门应设摇台；</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———采用钢丝绳罐道时，井下各中段应设稳罐装置；</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———摇台和稳罐装置应与提升机闭锁。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9FE71">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（二）安全设备的安装、使用、检测、改造和报废不符合国家标准或者行业标准的；</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221258">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1"/>
                <w:szCs w:val="21"/>
                <w:u w:val="none"/>
                <w:lang w:val="en-US" w:eastAsia="zh-CN" w:bidi="ar"/>
              </w:rPr>
            </w:pPr>
          </w:p>
        </w:tc>
      </w:tr>
      <w:tr w14:paraId="31878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7352" w:hRule="atLeast"/>
        </w:trPr>
        <w:tc>
          <w:tcPr>
            <w:tcW w:w="6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8BE2F1">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42596">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40008">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4.3提升设备定期维保及检测</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599C9">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《中华人民共和国安全生产法》第三十六条  安全设备的设计、制造、安装、使用、检测、改造和报废，应当符合国家标准或者行业标准。 </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92809">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《金属非金属矿山安全规程》（GB16423-2020）6.4.4.29竖井提升系统应按照下列要求进行检查，发现问题立即处理，并将检查和处理结果记录存档：</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———提升系统的钢丝绳、悬挂装置、提升容器、防坠器等，每天由专人检查1次，每月由矿机电部门组织检查1次；</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———提升机的卷筒或摩擦轮、制动装置、调绳装置、传动装置、电动机和控制设备以及各种保护装置和闭锁装置等，每天由专人检查1次，每月由矿机电部门组织检查1次；</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———提升容器的防坠器、连接装置、保险链、罐门、导向槽、罐体、罐内阻车器等，每天由专人检查1次，每月由矿机电部门组织检查1次；</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———天轮、导向轮、过卷缓冲装置、罐道、尾绳隔离装置、安全门、摇台、阻车器、装卸矿设施等，每月由专人检查1次；</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新安装或大修后的单绳罐笼防坠器应进行脱钩试验，合格后方可使用；在用防坠器每半年进行1次不脱钩试验；每年进行1次脱钩试验；防坠器的抓捕器断面减少20％或者导向套衬瓦一侧磨损超过3ｍｍ时应更换。</w:t>
            </w: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B4079">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（二）安全设备的安装、使用、检测、改造和报废不符合国家标准或者行业标准的；</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7C964D">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1"/>
                <w:szCs w:val="21"/>
                <w:u w:val="none"/>
                <w:lang w:val="en-US" w:eastAsia="zh-CN" w:bidi="ar"/>
              </w:rPr>
            </w:pPr>
          </w:p>
        </w:tc>
      </w:tr>
      <w:tr w14:paraId="71DEF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8185" w:hRule="atLeast"/>
        </w:trPr>
        <w:tc>
          <w:tcPr>
            <w:tcW w:w="6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5A4A5">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4FCFB6">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EE8F7">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4.4禁止使用非定型竖井罐笼、Φ1.2米以下（不含Φ1.2米）用于升降人员的提升绞车、KJ型矿井提升机、JKA型矿井提升机、XKT型矿井提升机、带式制动矿用提升绞车、TKD型提升机电控装置及使用继电器结构原理的提升机电控装置</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CB039">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《中华人民共和国安全生产法》第三十八条　国家对严重危及生产安全的工艺、设备实行淘汰制度，具体目录由国务院应急管理部门会同国务院有关部门制定并公布。法律、行政法规对目录的制定另有规定的，适用其规定。</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生产经营单位不得使用应当淘汰的危及生产安全的工艺、设备。</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《国家安全监管总局关于发布金属非金属矿山禁止使用的设备及工艺目录（第一批）的通知》（安监总管一〔2013〕101号）</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新建、改建、扩建的金属非金属地下矿山一律禁止使用下列设备及工艺，现有生产地下矿山在用的下列设备及工艺，按照规定时限予以强制淘汰。</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1．非定型竖井罐笼（自发布之日起一年后禁止使用）</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2．Φ1.2米以下（不含Φ1.2米）用于升降人员的提升绞车（自发布之日起一年后禁止使用）</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3．KJ型矿井提升机（自发布之日起一年后禁止使用）</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4．JKA型矿井提升机（自发布之日起一年后禁止使用）</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5．XKT型矿井提升机（自发布之日起一年后禁止使用）</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6．JTK型矿用提升绞车（自发布之日起一年半后禁止用于主提升）</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7．带式制动矿用提升绞车（自发布之日起立即禁止用于主提升）</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国家安全监管总局关于发布金属非金属矿山禁止使用的设备及工艺目录（第二批）的通知（安监总管一〔2015〕13号）</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新建、改建、扩建的矿山从本目录发布之日起，一律禁止使用下列设备及工艺。现有生产矿山在用下列设备及工艺的，按照本目录规定的时限予以强制淘汰。</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9．TKD型提升机电控装置及使用继电器结构原理的提升机电控装置（金属非金属地下矿山自发布之日起一年后禁止使用）。</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B41E9">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861FB">
            <w:pPr>
              <w:keepNext w:val="0"/>
              <w:keepLines w:val="0"/>
              <w:pageBreakBefore w:val="0"/>
              <w:widowControl/>
              <w:suppressLineNumbers w:val="0"/>
              <w:kinsoku/>
              <w:wordWrap/>
              <w:overflowPunct/>
              <w:topLinePunct w:val="0"/>
              <w:autoSpaceDE/>
              <w:autoSpaceDN/>
              <w:bidi w:val="0"/>
              <w:adjustRightInd/>
              <w:snapToGrid/>
              <w:spacing w:line="240" w:lineRule="exact"/>
              <w:ind w:left="-420" w:leftChars="-20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（七）使用应当淘汰的危及生产安全的工艺、设备的；</w:t>
            </w:r>
          </w:p>
          <w:p w14:paraId="58D04704">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EEA534">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1"/>
                <w:szCs w:val="21"/>
                <w:u w:val="none"/>
                <w:lang w:val="en-US" w:eastAsia="zh-CN" w:bidi="ar"/>
              </w:rPr>
            </w:pPr>
          </w:p>
        </w:tc>
      </w:tr>
      <w:tr w14:paraId="73A0A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3205" w:hRule="atLeast"/>
        </w:trPr>
        <w:tc>
          <w:tcPr>
            <w:tcW w:w="68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F5C86D">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w:t>
            </w:r>
          </w:p>
        </w:tc>
        <w:tc>
          <w:tcPr>
            <w:tcW w:w="4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D7D1C1">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通风系统</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B328E">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5.1 机械通风系统</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E6DF2">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《中华人民共和国安全生产法》第四十一条  生产经营单位应当建立健全生产安全事故隐患排查治理制度，采取技术、管理措施，及时发现并消除事故隐患。事故隐患排查治理情况应当如实记录，并向从业人员通报。</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FCEE7">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金属非金属矿山安全规程》（GB16423-2020）6.6.2.1地下矿山应采用机械通风。设有在线监测系统的矿山应根据监测结果及时调整通风系统；未设置在线监测系统的矿山每年应对通风系统进行1次检测，并根据检测结果及时调整通风系统。矿山应及时更新通风系统图。通风系统图应标明通风设备、风量、风流方向、通风构筑物、与通风系统隔离的区域等。</w:t>
            </w: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27F99">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98C749">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r>
      <w:tr w14:paraId="25E04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90" w:hRule="atLeast"/>
        </w:trPr>
        <w:tc>
          <w:tcPr>
            <w:tcW w:w="6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EDF8B">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1"/>
                <w:szCs w:val="21"/>
                <w:u w:val="none"/>
                <w:lang w:val="en-US" w:eastAsia="zh-CN" w:bidi="ar"/>
              </w:rPr>
            </w:pPr>
          </w:p>
        </w:tc>
        <w:tc>
          <w:tcPr>
            <w:tcW w:w="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B4475">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1"/>
                <w:szCs w:val="21"/>
                <w:u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CBF6B">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5.2 主通风机及运行</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C0BB6">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《中华人民共和国安全生产法》第三十三条  安全设备的设计、制造、安装、使用、检测、改造和报废，应当符合国家标准或者行业标准。 </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B8880">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金属非金属矿山安全规程》（GB16423-2020）6.6.3.1正常生产情况下主通风机应连续运转，满足井下生产所需风量。当主通风机发生故障或需要停机检查时，应立即向调度室和矿山企业主要负责人报告，并采取必要措施。</w:t>
            </w: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4E787">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（二）安全设备的安装、使用、检测、改造和报废不符合国家标准或者行业标准的；</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B5A168">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r>
      <w:tr w14:paraId="41346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90" w:hRule="atLeast"/>
        </w:trPr>
        <w:tc>
          <w:tcPr>
            <w:tcW w:w="6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C9EE22">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1"/>
                <w:szCs w:val="21"/>
                <w:u w:val="none"/>
                <w:lang w:val="en-US" w:eastAsia="zh-CN" w:bidi="ar"/>
              </w:rPr>
            </w:pPr>
          </w:p>
        </w:tc>
        <w:tc>
          <w:tcPr>
            <w:tcW w:w="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A04CDF">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1"/>
                <w:szCs w:val="21"/>
                <w:u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A7D35">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5.3 局部通风设备</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B3355">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《中华人民共和国安全生产法》第三十三条  安全设备的设计、制造、安装、使用、检测、改造和报废，应当符合国家标准或者行业标准。 </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E33EB">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《金属非金属矿山安全规程》（GB16423-2020）6.4.4.1掘进工作面和通风不良的采场，应安装局部通风设备。局扇应有完善的保护装置。</w:t>
            </w: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8662A">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（二）安全设备的安装、使用、检测、改造和报废不符合国家标准或者行业标准的；</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3035A7">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r>
      <w:tr w14:paraId="74C8B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90" w:hRule="atLeast"/>
        </w:trPr>
        <w:tc>
          <w:tcPr>
            <w:tcW w:w="6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5D4336">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242E38">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EE196">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5.4 主通风机房的监控仪表设置</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A9541">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《中华人民共和国安全生产法》第三十六条　安全设备的设计、制造、安装、使用、检测、维修、改造和报废，应当符合国家标准或者行业标准。</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69AD9">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金属非金属矿山安全规程》（GB16423-2020）6.6.3.4主通风机房应设有测量风压、风量、电流、电压和轴承温度等的仪表。每班都应对通风机运转情况进行检查，并有运转记录。采用自动控制的主通风机，每两周应进行1次自控系统的检查。</w:t>
            </w: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F25E4">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（二）安全设备的安装、使用、检测、改造和报废不符合国家标准或者行业标准的；</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DDA740">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r>
      <w:tr w14:paraId="01F1B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6533" w:hRule="atLeast"/>
        </w:trPr>
        <w:tc>
          <w:tcPr>
            <w:tcW w:w="6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E19452">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1"/>
                <w:szCs w:val="21"/>
                <w:u w:val="none"/>
                <w:lang w:val="en-US" w:eastAsia="zh-CN" w:bidi="ar"/>
              </w:rPr>
            </w:pPr>
          </w:p>
        </w:tc>
        <w:tc>
          <w:tcPr>
            <w:tcW w:w="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A46AE">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1"/>
                <w:szCs w:val="21"/>
                <w:u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787D7">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5.5 便携式气体检测报警仪和自救器配备</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CFB48">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《中华人民共和国安全生产法》第三十六条　安全设备的设计、制造、安装、使用、检测、维修、改造和报废，应当符合国家标准或者行业标准。</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BC50F">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《金属非金属地下矿山监测监控系统建设规范》（AQ2031-2011）5.1  地下矿山应配置足够的便携式气体检测报警仪。便携式气体检测报警仪应能测量一氧化碳、氧气、二氧化氮浓度，并具有报警参数设置和声光报警功能。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《金属非金属地下矿山紧急避险系统建设规范》（AQ2033-2011）4.4  应为入井人员配备额定防护时间不少于30min的自救器，并按入井总人数的10%配备备用自救器。</w:t>
            </w: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0C421">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（二）安全设备的安装、使用、检测、改造和报废不符合国家标准或者行业标准的；</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8DF18A">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1"/>
                <w:szCs w:val="21"/>
                <w:u w:val="none"/>
                <w:lang w:val="en-US" w:eastAsia="zh-CN" w:bidi="ar"/>
              </w:rPr>
            </w:pPr>
          </w:p>
        </w:tc>
      </w:tr>
      <w:tr w14:paraId="1BCE9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6920" w:hRule="atLeast"/>
        </w:trPr>
        <w:tc>
          <w:tcPr>
            <w:tcW w:w="6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237863">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0E822">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1E5AE">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5.6 禁止使用ZH15隔绝式化学氧自救器和一氧化碳过滤式自救器</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6B1B3">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《中华人民共和国安全生产法》第三十八条　国家对严重危及生产安全的工艺、设备实行淘汰制度，具体目录由国务院应急管理部门会同国务院有关部门制定并公布。法律、行政法规对目录的制定另有规定的，适用其规定。</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生产经营单位不得使用应当淘汰的危及生产安全的工艺、设备。</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《国家安全监管总局关于发布金属非金属矿山禁止使用的设备及工艺目录（第一批）的通知》（安监总管一〔2013〕101号）</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新建、改建、扩建的金属非金属地下矿山一律禁止使用下列设备及工艺，现有生产地下矿山在用的下列设备及工艺，按照规定时限予以强制淘汰。</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16．ZH15隔绝式化学氧自救器</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17．一氧化碳过滤式自救器</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A6093">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7C8D5">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（七）使用应当淘汰的危及生产安全的工艺、设备的；</w:t>
            </w:r>
          </w:p>
          <w:p w14:paraId="2B129CAC">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D9638C">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1"/>
                <w:szCs w:val="21"/>
                <w:u w:val="none"/>
                <w:lang w:val="en-US" w:eastAsia="zh-CN" w:bidi="ar"/>
              </w:rPr>
            </w:pPr>
          </w:p>
        </w:tc>
      </w:tr>
      <w:tr w14:paraId="45A54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6940" w:hRule="atLeast"/>
        </w:trPr>
        <w:tc>
          <w:tcPr>
            <w:tcW w:w="6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FD7C3">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128C49">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16FB6">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5.7 禁止使用非矿用局部通风机</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D71F3">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《中华人民共和国安全生产法》第三十八条　国家对严重危及生产安全的工艺、设备实行淘汰制度，具体目录由国务院应急管理部门会同国务院有关部门制定并公布。法律、行政法规对目录的制定另有规定的，适用其规定。</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生产经营单位不得使用应当淘汰的危及生产安全的工艺、设备。</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《国家安全监管总局关于发布金属非金属矿山禁止使用的设备及工艺目录（第一批）的通知》（安监总管一〔2013〕101号）</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新建、改建、扩建的金属非金属地下矿山一律禁止使用下列设备及工艺，现有生产地下矿山在用的下列设备及工艺，按照规定时限予以强制淘汰。</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13．非矿用局部通风机</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62A1E">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w:t>
            </w: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90882">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（七）使用应当淘汰的危及生产安全的工艺、设备的；</w:t>
            </w:r>
          </w:p>
          <w:p w14:paraId="6515C002">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F81FE8">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1"/>
                <w:szCs w:val="21"/>
                <w:u w:val="none"/>
                <w:lang w:val="en-US" w:eastAsia="zh-CN" w:bidi="ar"/>
              </w:rPr>
            </w:pPr>
          </w:p>
        </w:tc>
      </w:tr>
      <w:tr w14:paraId="5B70B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7089" w:hRule="atLeast"/>
        </w:trPr>
        <w:tc>
          <w:tcPr>
            <w:tcW w:w="68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C93A90">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w:t>
            </w:r>
          </w:p>
        </w:tc>
        <w:tc>
          <w:tcPr>
            <w:tcW w:w="4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554F43">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防灭火系统</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D6B83">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6.1 动火作业管理</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DDCB8">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国家矿山安全监察局关于印发《金属非金属矿山重大事故隐患判定标准》的通知（矿安〔2022〕88号）（二十九）井下或者井口动火作业未按国家规定落实审批制度或者安全措施。</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059F3">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金属非金属矿山安全规程》（GB16423-2020）第6.9.1.19矿山应建立动火制度，在井下和井口建筑物内进行焊接等明火作业，应制定防火措施，经矿山企业主要负责人批准后方可动火。在井筒内进行焊接时应派专人监护；在作业部位的下方应设置收集焊渣的设施；焊接完毕应严格检查清理。</w:t>
            </w: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0FE7C">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安全生产违法行为行政处罚办法》第四十五条生产经营单位及其主要负责人或者其他人员有下列行为之一的，给予警告，并可以对生产经营单位处1万元以上3万元以下罚款，对其主要负责人、其他有关人员处1000元以上1万元以下的罚款：</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　　（一）违反操作规程或者安全管理规定作业的；</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 xml:space="preserve">    ……</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33EF29">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1"/>
                <w:szCs w:val="21"/>
                <w:u w:val="none"/>
                <w:lang w:val="en-US" w:eastAsia="zh-CN" w:bidi="ar"/>
              </w:rPr>
            </w:pPr>
          </w:p>
        </w:tc>
      </w:tr>
      <w:tr w14:paraId="2A83C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8185" w:hRule="atLeast"/>
        </w:trPr>
        <w:tc>
          <w:tcPr>
            <w:tcW w:w="6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3AEF0">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EC1E7">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787C6">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6.2禁止使用油断路器、非阻燃电缆（含强、弱电）、非阻燃风筒、非阻燃输送带、主要井巷木支护、火雷管、导火索</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35F96">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《中华人民共和国安全生产法》第三十八条　国家对严重危及生产安全的工艺、设备实行淘汰制度，具体目录由国务院应急管理部门会同国务院有关部门制定并公布。法律、行政法规对目录的制定另有规定的，适用其规定。</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生产经营单位不得使用应当淘汰的危及生产安全的工艺、设备。</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《国家安全监管总局关于发布金属非金属矿山禁止使用的设备及工艺目录（第一批）的通知》（安监总管一〔2013〕101号）</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新建、改建、扩建的金属非金属地下矿山一律禁止使用下列设备及工艺，现有生产地下矿山在用的下列设备及工艺，按照规定时限予以强制淘汰。……</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9．油断路器（自发布之日起立即禁止使用）</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10．非阻燃电缆（含强、弱电）（自发布之日起一年后禁止使用）</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11．非阻燃风筒（自发布之日起半年后禁止使用）</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12．非阻燃输送带（自发布之日起一年后禁止使用）</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14．主要井巷木支护（新掘、维修井巷自发布之日起立即禁止使用）</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15．火雷管、导火索（自发布之日起立即禁止使用）</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20772">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2E8DF">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（七）使用应当淘汰的危及生产安全的工艺、设备的；</w:t>
            </w:r>
          </w:p>
          <w:p w14:paraId="055C5B84">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F79864">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1"/>
                <w:szCs w:val="21"/>
                <w:u w:val="none"/>
                <w:lang w:val="en-US" w:eastAsia="zh-CN" w:bidi="ar"/>
              </w:rPr>
            </w:pPr>
          </w:p>
        </w:tc>
      </w:tr>
      <w:tr w14:paraId="6D759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5292" w:hRule="atLeast"/>
        </w:trPr>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035D4F">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7</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AE372">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防排水系统</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C089F">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探放水作业管理及水文地质类型为中等及复杂的矿井没有设立专门防治水机构、配备探放水作业队伍或配齐专用探放水设备</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5B0D2">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《中华人民共和国安全生产法》第四十一条　生产经营单位应当建立安全风险分级管控制度，按照安全风险分级采取相应的管控措施。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 xml:space="preserve">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 </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E7534">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《金属非金属矿山安全规程》（GB16423-2020）6.8.3.5对接近水体的地带或与水体有联系的可疑地段，应坚持“有疑必探，先探后掘”的原则，编制探水设计。</w:t>
            </w: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1A2D6">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DFCD6A">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1"/>
                <w:szCs w:val="21"/>
                <w:u w:val="none"/>
                <w:lang w:val="en-US" w:eastAsia="zh-CN" w:bidi="ar"/>
              </w:rPr>
            </w:pPr>
          </w:p>
        </w:tc>
      </w:tr>
      <w:tr w14:paraId="22C07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4801" w:hRule="atLeast"/>
        </w:trPr>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B259D1">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8</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6A05F">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供配电系统</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2D49A">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双回路供电</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4EDCB">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《中华人民共和国安全生产法》第四十一条　生产经营单位应当建立安全风险分级管控制度，按照安全风险分级采取相应的管控措施。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 xml:space="preserve">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 </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01EE4">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《金属非金属矿山安全规程》（GB16423-2020） 5.6.1.4采矿场采用双回路供电时，每回路供电能力应均能供全负荷；采用三回路供电时，每个回路的供电能力不应小于全部负荷的50％。</w:t>
            </w: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8DA59">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877370">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1"/>
                <w:szCs w:val="21"/>
                <w:u w:val="none"/>
                <w:lang w:val="en-US" w:eastAsia="zh-CN" w:bidi="ar"/>
              </w:rPr>
            </w:pPr>
          </w:p>
        </w:tc>
      </w:tr>
      <w:tr w14:paraId="7C98D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6336" w:hRule="atLeast"/>
        </w:trPr>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91B72B">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9</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95C02">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地表错动区域管理</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4C6D6">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相邻矿山开采错动线重叠，未按照设计要求采取相应措施</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58B35">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《中华人民共和国安全生产法》第四十一条　生产经营单位应当建立安全风险分级管控制度，按照安全风险分级采取相应的管控措施。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 xml:space="preserve">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 </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国家矿山安全监察局关于印发《金属非金属矿山重大事故隐患判定标准》的通知 (矿安〔2022〕88号):</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（十四）相邻矿山开采岩体移动范围存在交叉重叠等相互影响时，未按设计留设保安矿（岩）柱或者采取其他措施。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6A7C4">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《金属非金属矿山安全规程》（GB16423-2020）6.3.1.2地下开采时，应圈定岩体移动范围或岩体移动监测范围；地表主要建构筑物、主要井筒应布置在地表岩体移动范围之外，或者留保安矿柱消除其影响。</w:t>
            </w: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E4EC8">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26F879">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1"/>
                <w:szCs w:val="21"/>
                <w:u w:val="none"/>
                <w:lang w:val="en-US" w:eastAsia="zh-CN" w:bidi="ar"/>
              </w:rPr>
            </w:pPr>
          </w:p>
        </w:tc>
      </w:tr>
      <w:tr w14:paraId="3C084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7384" w:hRule="atLeast"/>
        </w:trPr>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D45A4D">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E15B0">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相邻矿山管理</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D019B">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相邻矿山井巷互联互通</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10353">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《中华人民共和国安全生产法》第四十一条　生产经营单位应当建立安全风险分级管控制度，按照安全风险分级采取相应的管控措施。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 xml:space="preserve">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 </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国家矿山安全监察局关于印发《金属非金属矿山重大事故隐患判定标准》的通知 (矿安〔2022〕88号):</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（三）不同矿权主体的相邻矿山井巷相互贯通，或者同一矿权主体相邻独立生产系统的井巷擅自贯通。</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BF325">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90F92">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C25FB4">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1"/>
                <w:szCs w:val="21"/>
                <w:u w:val="none"/>
                <w:lang w:val="en-US" w:eastAsia="zh-CN" w:bidi="ar"/>
              </w:rPr>
            </w:pPr>
          </w:p>
        </w:tc>
      </w:tr>
      <w:tr w14:paraId="2876C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wAfter w:w="0" w:type="auto"/>
          <w:trHeight w:val="452" w:hRule="atLeast"/>
        </w:trPr>
        <w:tc>
          <w:tcPr>
            <w:tcW w:w="1541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DC0236D">
            <w:pPr>
              <w:jc w:val="center"/>
              <w:rPr>
                <w:rFonts w:hint="eastAsia" w:ascii="黑体" w:hAnsi="黑体" w:eastAsia="黑体" w:cs="黑体"/>
                <w:i w:val="0"/>
                <w:color w:val="000000"/>
                <w:sz w:val="24"/>
                <w:szCs w:val="24"/>
                <w:u w:val="none"/>
                <w:lang w:eastAsia="zh-CN"/>
              </w:rPr>
            </w:pPr>
            <w:r>
              <w:rPr>
                <w:rFonts w:hint="eastAsia" w:ascii="黑体" w:hAnsi="黑体" w:eastAsia="黑体" w:cs="黑体"/>
                <w:i w:val="0"/>
                <w:color w:val="000000"/>
                <w:sz w:val="24"/>
                <w:szCs w:val="24"/>
                <w:u w:val="none"/>
                <w:lang w:eastAsia="zh-CN"/>
              </w:rPr>
              <w:t>金属非金属露天矿山</w:t>
            </w:r>
          </w:p>
        </w:tc>
      </w:tr>
      <w:tr w14:paraId="443A4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6297" w:hRule="atLeast"/>
        </w:trPr>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B7DCCF">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F0CC8">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开采方式情况</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C9079">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分台阶开采</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0C2DF">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《中华人民共和国安全生产法》第四十一条　生产经营单位应当建立安全风险分级管控制度，按照安全风险分级采取相应的管控措施。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E1488">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《金属非金属矿山安全规程》（GB16423-2020）5.2.1.1露天开采应遵循自上而下的开采顺序，分台阶开采。</w:t>
            </w: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618B9">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978392">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r>
      <w:tr w14:paraId="2B4D4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8172" w:hRule="atLeast"/>
        </w:trPr>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2EF7DC">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59D55">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采掘作业管理情况</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BBD37">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 禁止使用扩壶爆破、掏底崩落、掏挖开采、不分层的“一面墙”开采、爆破方式对大块矿岩进行二次破碎、无稳压装置的中深孔凿岩设备、集中铲装作业时人工装卸矿岩、未安装捕尘装置的干式凿岩作业</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90BA7">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《中华人民共和国安全生产法》第三十八条　国家对严重危及生产安全的工艺、设备实行淘汰制度，具体目录由国务院应急管理部门会同国务院有关部门制定并公布。法律、行政法规对目录的制定另有规定的，适用其规定。</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《国家安全监管总局关于发布金属非金属矿山禁止使用的设备及工艺目录（第二批）的通知》（安监总管一〔2015〕13号）</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新建、改建、扩建的矿山从本目录发布之日起，一律禁止使用下列设备及工艺。现有生产矿山在用下列设备及工艺的，按照本目录规定的时限予以强制淘汰。</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1．扩壶爆破；</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2．掏底崩落、掏挖开采、不分层的“一面墙”开采；</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3．使用爆破方式对大块矿岩进行二次破碎；</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4. 无稳压装置的中深孔凿岩设备；</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5. 集中铲装作业时人工装卸矿岩；</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6．未安装捕尘装置的干式凿岩作业；</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4155C">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B373E">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DEA8A8">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p>
        </w:tc>
      </w:tr>
      <w:tr w14:paraId="1932A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6716" w:hRule="atLeast"/>
        </w:trPr>
        <w:tc>
          <w:tcPr>
            <w:tcW w:w="68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53C137">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w:t>
            </w:r>
          </w:p>
        </w:tc>
        <w:tc>
          <w:tcPr>
            <w:tcW w:w="4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27E5DC">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运输系统</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3E04B">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3.1 带式输送机运输</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27514">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《中华人民共和国安全生产法》第三十六条　安全设备的设计、制造、安装、使用、检测、维修、改造和报废，应当符合国家标准或者行业标准。</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D791A">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《金属非金属矿山安全规程》（GB16423-2020）6.4.3.5带式输送机应有下列安全保护装置：</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———装料点和卸料点设空仓、满仓等保护和报警装置，并与输送机联锁；</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———输送带清扫装置以及防大块冲击、防输送带跑偏等的保护装置；</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———紧急停车装置；</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———制动装置。</w:t>
            </w:r>
            <w:r>
              <w:rPr>
                <w:rFonts w:hint="eastAsia" w:ascii="宋体" w:hAnsi="宋体" w:eastAsia="宋体" w:cs="宋体"/>
                <w:i w:val="0"/>
                <w:color w:val="000000"/>
                <w:kern w:val="0"/>
                <w:sz w:val="21"/>
                <w:szCs w:val="21"/>
                <w:u w:val="none"/>
                <w:lang w:val="en-US" w:eastAsia="zh-CN" w:bidi="ar"/>
              </w:rPr>
              <w:br w:type="textWrapping"/>
            </w:r>
          </w:p>
          <w:p w14:paraId="6BA2C49B">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6.4.3.6  长度超过400ｍ的带式输送机应设下列保护装置：</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———防输送带撕裂、断带等保护装置；</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———防止过速、过载、打滑等的保护装置；</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———线路上的信号、电气联锁和紧急停车装置。</w:t>
            </w: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C2E6F">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（二）安全设备的安装、使用、检测、改造和报废不符合国家标准或者行业标准的；</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75C3C6">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p>
        </w:tc>
      </w:tr>
      <w:tr w14:paraId="13F5A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7076" w:hRule="atLeast"/>
        </w:trPr>
        <w:tc>
          <w:tcPr>
            <w:tcW w:w="6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5EDE17">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4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CFF09">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D3274">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3.2主要无轨运输巷道及露天采场禁止采用人力或畜力运输矿岩</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43BF6">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《中华人民共和国安全生产法》第三十八条　国家对严重危及生产安全的工艺、设备实行淘汰制度，具体目录由国务院应急管理部门会同国务院有关部门制定并公布。法律、行政法规对目录的制定另有规定的，适用其规定。</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生产经营单位不得使用应当淘汰的危及生产安全的工艺、设备。</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《国家安全监管总局关于发布金属非金属矿山禁止使用的设备及工艺目录（第二批）的通知》（安监总管一〔2015〕13号）</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新建、改建、扩建的矿山从本目录发布之日起，一律禁止使用下列设备及工艺。现有生产矿山在用下列设备及工艺的，按照本目录规定的时限予以强制淘汰。</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7．主要无轨运输巷道及露天采场采用人力或畜力运输矿岩；</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6BC34">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BCD2D">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（七）使用应当淘汰的危及生产安全的工艺、设备的；</w:t>
            </w:r>
          </w:p>
          <w:p w14:paraId="51D2CEA8">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9E965E">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r>
      <w:tr w14:paraId="55B69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6724" w:hRule="atLeast"/>
        </w:trPr>
        <w:tc>
          <w:tcPr>
            <w:tcW w:w="6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55B96D">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w:t>
            </w:r>
          </w:p>
        </w:tc>
        <w:tc>
          <w:tcPr>
            <w:tcW w:w="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86372">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边坡现场管理情况</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5718D">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地下开采改为露天开采形成的采空区</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6A7B7">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《中华人民共和国安全生产法》第四十一条　生产经营单位应当建立安全风险分级管控制度，按照安全风险分级采取相应的管控措施。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 xml:space="preserve">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 </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8C6CB">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金属非金属矿山安全规程》（GB16423-2020）5.1.3地下开采转为露天开采时，应确定全部地下工程和矿柱的位置并绘制在矿山平、剖面对照图上；开采前应处理对露天开采安全有威胁的地下工程和采空区，不能处理的，应采取安全措施并在开采过程中处理。</w:t>
            </w: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2C96B">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7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19B72A">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p>
        </w:tc>
      </w:tr>
      <w:tr w14:paraId="71E65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756" w:hRule="atLeast"/>
        </w:trPr>
        <w:tc>
          <w:tcPr>
            <w:tcW w:w="153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D58332A">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黑体" w:hAnsi="黑体" w:eastAsia="黑体" w:cs="黑体"/>
                <w:i w:val="0"/>
                <w:color w:val="000000"/>
                <w:kern w:val="0"/>
                <w:sz w:val="24"/>
                <w:szCs w:val="24"/>
                <w:u w:val="none"/>
                <w:lang w:val="en-US" w:eastAsia="zh-CN" w:bidi="ar"/>
              </w:rPr>
            </w:pPr>
          </w:p>
          <w:p w14:paraId="6E42DB5C">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黑体" w:hAnsi="黑体" w:eastAsia="黑体" w:cs="黑体"/>
                <w:i w:val="0"/>
                <w:color w:val="000000"/>
                <w:kern w:val="0"/>
                <w:sz w:val="24"/>
                <w:szCs w:val="24"/>
                <w:u w:val="none"/>
                <w:lang w:val="en-US" w:eastAsia="zh-CN" w:bidi="ar"/>
              </w:rPr>
            </w:pPr>
            <w:r>
              <w:rPr>
                <w:rFonts w:hint="eastAsia" w:ascii="黑体" w:hAnsi="黑体" w:eastAsia="黑体" w:cs="黑体"/>
                <w:i w:val="0"/>
                <w:color w:val="000000"/>
                <w:kern w:val="0"/>
                <w:sz w:val="24"/>
                <w:szCs w:val="24"/>
                <w:u w:val="none"/>
                <w:lang w:val="en-US" w:eastAsia="zh-CN" w:bidi="ar"/>
              </w:rPr>
              <w:t>尾矿库</w:t>
            </w:r>
          </w:p>
          <w:p w14:paraId="0EE74918">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黑体" w:hAnsi="黑体" w:eastAsia="黑体" w:cs="黑体"/>
                <w:i w:val="0"/>
                <w:color w:val="000000"/>
                <w:kern w:val="0"/>
                <w:sz w:val="24"/>
                <w:szCs w:val="24"/>
                <w:u w:val="none"/>
                <w:lang w:val="en-US" w:eastAsia="zh-CN" w:bidi="ar"/>
              </w:rPr>
            </w:pPr>
          </w:p>
        </w:tc>
      </w:tr>
      <w:tr w14:paraId="78AC7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7337" w:hRule="atLeast"/>
        </w:trPr>
        <w:tc>
          <w:tcPr>
            <w:tcW w:w="6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7A40A8">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47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FE4791">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坝体管理</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4E2D9">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1.1坝面维护</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17AB3">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《中华人民共和国安全生产法》第四十一条　生产经营单位应当建立安全风险分级管控制度，按照安全风险分级采取相应的管控措施。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614A8">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《尾矿库安全技术规程》(GB 39496—2020）6.3.11坝外坡面维护工作应按设计要求进行，尾矿坝下游坡面上不得有积水坑。坝体出现冲沟、裂 缝、塌坑等现象时,应及时处理。 </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p>
        </w:tc>
        <w:tc>
          <w:tcPr>
            <w:tcW w:w="33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CCB0E3">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EE7F6">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p>
        </w:tc>
      </w:tr>
      <w:tr w14:paraId="3B5C3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5053" w:hRule="atLeast"/>
        </w:trPr>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0D5311">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4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28271">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2DF71">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1.2坝肩截水沟</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DE466">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《中华人民共和国安全生产法》第四十一条　生产经营单位应当建立安全风险分级管控制度，按照安全风险分级采取相应的管控措施。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1D212">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《尾矿库安全技术规程》(GB 39496—2020)《尾矿库安全技术规程》5.3.20尾矿堆积坝平均堆积外坡比不得陡于1 ： 3。尾矿坝最终下游坡面应设置维护设施，维护设施 应满足下列要求：</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—设置排水系统，下游坡与两岸山坡结合处应设置坝肩截水沟;尾矿堆积坝的每级马道内侧或上 游式尾矿筑坝的每级子坝下游坡脚处均应设置纵向排水沟，并应在坡面上设置人字沟或竖向 排水沟；</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9.3.6检查坝面维护设施时，应检查坝肩截水沟和坝坡排水沟断面尺寸，衬砌变形、破损、断裂和磨蚀， 沟内淤堵,沿线山坡稳定性等;应检査坝坡土石覆盖等护坡实施情况。</w:t>
            </w:r>
          </w:p>
        </w:tc>
        <w:tc>
          <w:tcPr>
            <w:tcW w:w="33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EC676B">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AB7B1">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p>
        </w:tc>
      </w:tr>
      <w:tr w14:paraId="734A4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7113" w:hRule="atLeast"/>
        </w:trPr>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2BBDEB">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4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650A5C">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B1103">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1.3堆积坝坡比</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285D9">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《中华人民共和国安全生产法》第四十一条　生产经营单位应当建立安全风险分级管控制度，按照安全风险分级采取相应的管控措施。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 xml:space="preserve">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 </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3FD8D">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《尾矿库安全技术规程》(GB 39496—2020) 5.3.20尾矿堆积坝平均堆积外坡比不得陡于1 ： 3。</w:t>
            </w:r>
          </w:p>
        </w:tc>
        <w:tc>
          <w:tcPr>
            <w:tcW w:w="33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64F189">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30488">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p>
        </w:tc>
      </w:tr>
      <w:tr w14:paraId="42B92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6801" w:hRule="atLeast"/>
        </w:trPr>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2192A">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p>
        </w:tc>
        <w:tc>
          <w:tcPr>
            <w:tcW w:w="4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EAC638">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B45FD">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1.4子坝堆筑上升速度</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80851">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《中华人民共和国安全生产法》第四十一条　生产经营单位应当建立安全风险分级管控制度，按照安全风险分级采取相应的管控措施。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 xml:space="preserve">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 </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国家矿山安全监察局关于印发《金属非金属矿山重大事故隐患判定标准》的通知(矿安〔2022〕88号)</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（五）尾矿堆积坝上升速率大于设计堆积上升速率。</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92602">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《尾矿库安全技术规程》(GB 39496—2020)6.9.2尾矿库存在下列重大生产安全事故隐患之一时，应立即停产，生产经营单位应制定并实施重大事故隐患治理方案，消除事故隐患：</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——尾矿堆积坝上升速率大于设计堆积上升速率</w:t>
            </w:r>
          </w:p>
        </w:tc>
        <w:tc>
          <w:tcPr>
            <w:tcW w:w="33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12BE5D">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31374">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p>
        </w:tc>
      </w:tr>
      <w:tr w14:paraId="4218A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6921"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874CC">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4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7956FD">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防排洪情况</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AF05D">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排洪设施运行</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5C439">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《中华人民共和国安全生产法》第四十一条　生产经营单位应当建立安全风险分级管控制度，按照安全风险分级采取相应的管控措施。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 xml:space="preserve">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 </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6B044">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《尾矿库安全技术规程》(GB 39496—2020) 6.4.5尾矿库内应设置清晰醒目的水位观测标尺。汛期应加强对排洪设施检查，确保排洪设施畅通。</w:t>
            </w:r>
          </w:p>
        </w:tc>
        <w:tc>
          <w:tcPr>
            <w:tcW w:w="33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74B197">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49EDD">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p>
        </w:tc>
      </w:tr>
      <w:tr w14:paraId="6CBF1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6813" w:hRule="atLeast"/>
        </w:trPr>
        <w:tc>
          <w:tcPr>
            <w:tcW w:w="6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21F503">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w:t>
            </w:r>
          </w:p>
        </w:tc>
        <w:tc>
          <w:tcPr>
            <w:tcW w:w="47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487B76">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安全监测</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38FE2">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3.1人工安全监测设施</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BA232">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《中华人民共和国安全生产法》第四十一条　生产经营单位应当建立安全风险分级管控制度，按照安全风险分级采取相应的管控措施。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 xml:space="preserve">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 </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F785B">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《尾矿设施设计规范》（GB50863-2013）（GB50863-2013）3.4.1 三等及三等以上尾矿库应设置人工监测与自动监测相结合的安全监测设施。</w:t>
            </w:r>
          </w:p>
        </w:tc>
        <w:tc>
          <w:tcPr>
            <w:tcW w:w="33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1AEDE8">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BAA54">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p>
        </w:tc>
      </w:tr>
      <w:tr w14:paraId="00CF0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6743" w:hRule="atLeast"/>
        </w:trPr>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584F6C">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4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40B573">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33978">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3.2在线监测系统安装</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2D6F1">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《尾矿库安全监督管理规定》(原国家安全监管总局令第38号)第八条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一等、二等、三等尾矿库应当安装在线监测系统。</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9A333">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《尾矿库安全技术规程》(GB 39496—2020)9.6.3监测设施维护安全检查应检查监测设施是否定期检查和维护，监测设施的可靠性和完整性，人工监测设施与在线监测设施是否定期比对和校正。</w:t>
            </w:r>
          </w:p>
        </w:tc>
        <w:tc>
          <w:tcPr>
            <w:tcW w:w="33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FA5357">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《尾矿库安全监督管理规定》(原国家安全监管总局令第38号)第三十九条  生产经营单位或者尾矿库管理单位违反本规定第八条第二款、第十九条、第二十条、第二十一条、第二十二条、第二十四条、第二十六条、第二十九条第一款规定的，给予警告，并处1万元以上3万元以下的罚款；对主管人员和直接责任人员由其所在单位或者上级主管单位给予行政处分；构成犯罪的，依法追究刑事责任。</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28334">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18"/>
                <w:szCs w:val="18"/>
                <w:u w:val="none"/>
                <w:lang w:val="en-US" w:eastAsia="zh-CN" w:bidi="ar"/>
              </w:rPr>
            </w:pPr>
          </w:p>
        </w:tc>
      </w:tr>
      <w:tr w14:paraId="249D8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5053" w:hRule="atLeast"/>
        </w:trPr>
        <w:tc>
          <w:tcPr>
            <w:tcW w:w="6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78CF2C">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w:t>
            </w:r>
          </w:p>
        </w:tc>
        <w:tc>
          <w:tcPr>
            <w:tcW w:w="47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F7E13D">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放矿管理</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615A3">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4.1多种矿石性质不同的尾砂混合排放</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4388B">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《中华人民共和国安全生产法》第四十一条　生产经营单位应当建立安全风险分级管控制度，按照安全风险分级采取相应的管控措施。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 xml:space="preserve">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 </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国家矿山安全监察局关于印发《金属非金属矿山重大事故隐患判定标准》的通知(矿安〔2022〕88号)</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（十一）多种矿石性质不同的尾砂混合排放时，未按设计进行排放。</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《尾矿库安全监督管理规定》(原国家安全监管总局令第38号)第十八条对生产运行的尾矿库，未经技术论证和安全生产监督管理部门的批准，任何单位和个人不得对下列事项进行变更：</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(三)尾矿物化特性；</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652C5">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《尾矿库安全技术规程》(GB 39496—2020)6.9.2尾矿库存在下列重大生产安全事故隐患之一时，应立即停产，生产经营单位应制定并实施重大事故隐患治理方案，消除事故隐患：</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——多种矿石性质不同的尾砂混合排放时，未按设计要求进行排放</w:t>
            </w:r>
          </w:p>
        </w:tc>
        <w:tc>
          <w:tcPr>
            <w:tcW w:w="33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9C91A3">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E6954">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p>
        </w:tc>
      </w:tr>
      <w:tr w14:paraId="7484D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34" w:type="dxa"/>
          <w:trHeight w:val="5053" w:hRule="atLeast"/>
        </w:trPr>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1AD32">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4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13DCF9">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仿宋_GB2312" w:hAnsi="等线" w:eastAsia="仿宋_GB2312" w:cs="仿宋_GB2312"/>
                <w:i w:val="0"/>
                <w:color w:val="000000"/>
                <w:kern w:val="0"/>
                <w:sz w:val="22"/>
                <w:szCs w:val="22"/>
                <w:u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046E8">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4.2冰下放矿作业</w:t>
            </w:r>
          </w:p>
        </w:tc>
        <w:tc>
          <w:tcPr>
            <w:tcW w:w="4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7BF26">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《中华人民共和国安全生产法》第四十一条　生产经营单位应当建立安全风险分级管控制度，按照安全风险分级采取相应的管控措施。</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 xml:space="preserve">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  </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国家矿山安全监察局关于印发《金属非金属矿山重大事故隐患判定标准》的通知(矿安〔2022〕88号)</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（十二）冬季未按设计要求的冰下放矿方式进行放矿作业。</w:t>
            </w:r>
          </w:p>
        </w:tc>
        <w:tc>
          <w:tcPr>
            <w:tcW w:w="3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C5F8A">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《尾矿库安全技术规程》(GB 39496—2020)6.9.2尾矿库存在下列重大生产安全事故隐患之一时，应立即停产，生产经营单位应制定并实施重大事故隐患治理方案，消除事故隐患：</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——冬季未按照设计要求采用冰下放矿作业；</w:t>
            </w:r>
          </w:p>
        </w:tc>
        <w:tc>
          <w:tcPr>
            <w:tcW w:w="33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FF9A08">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604E8">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p>
        </w:tc>
      </w:tr>
    </w:tbl>
    <w:p w14:paraId="25BA0AF6">
      <w:pPr>
        <w:jc w:val="both"/>
        <w:rPr>
          <w:rFonts w:hint="eastAsia" w:ascii="方正小标宋简体" w:hAnsi="方正小标宋简体" w:eastAsia="方正小标宋简体" w:cs="方正小标宋简体"/>
          <w:b w:val="0"/>
          <w:sz w:val="44"/>
          <w:szCs w:val="44"/>
          <w:lang w:val="en-US" w:eastAsia="zh-CN"/>
        </w:rPr>
      </w:pPr>
    </w:p>
    <w:p w14:paraId="2A1DDC6E"/>
    <w:p w14:paraId="70F6BA79">
      <w:pPr>
        <w:pStyle w:val="7"/>
      </w:pPr>
    </w:p>
    <w:p w14:paraId="625518C3">
      <w:pPr>
        <w:pStyle w:val="7"/>
      </w:pPr>
    </w:p>
    <w:p w14:paraId="2CB92505">
      <w:pPr>
        <w:pStyle w:val="7"/>
      </w:pPr>
    </w:p>
    <w:p w14:paraId="5C19714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880" w:firstLineChars="20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自治区安全生产执法检查重点事项指导目录（工贸行业）</w:t>
      </w:r>
    </w:p>
    <w:p w14:paraId="2DDE658E">
      <w:pPr>
        <w:pStyle w:val="11"/>
        <w:rPr>
          <w:rFonts w:hint="eastAsia"/>
          <w:lang w:val="en-US" w:eastAsia="zh-CN"/>
        </w:rPr>
      </w:pPr>
    </w:p>
    <w:tbl>
      <w:tblPr>
        <w:tblStyle w:val="8"/>
        <w:tblW w:w="141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
      <w:tblGrid>
        <w:gridCol w:w="862"/>
        <w:gridCol w:w="1976"/>
        <w:gridCol w:w="3948"/>
        <w:gridCol w:w="3224"/>
        <w:gridCol w:w="3315"/>
        <w:gridCol w:w="819"/>
      </w:tblGrid>
      <w:tr w14:paraId="7AC82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570" w:hRule="atLeast"/>
          <w:tblHeader/>
          <w:jc w:val="center"/>
        </w:trPr>
        <w:tc>
          <w:tcPr>
            <w:tcW w:w="862" w:type="dxa"/>
            <w:vAlign w:val="center"/>
          </w:tcPr>
          <w:p w14:paraId="3A55CBB1">
            <w:pPr>
              <w:widowControl/>
              <w:adjustRightInd w:val="0"/>
              <w:snapToGrid w:val="0"/>
              <w:jc w:val="center"/>
              <w:rPr>
                <w:rFonts w:hint="eastAsia" w:ascii="黑体" w:hAnsi="黑体" w:eastAsia="黑体" w:cs="黑体"/>
                <w:b w:val="0"/>
                <w:bCs/>
                <w:color w:val="auto"/>
                <w:kern w:val="0"/>
                <w:sz w:val="24"/>
                <w:szCs w:val="24"/>
              </w:rPr>
            </w:pPr>
            <w:r>
              <w:rPr>
                <w:rFonts w:hint="eastAsia" w:ascii="黑体" w:hAnsi="黑体" w:eastAsia="黑体" w:cs="黑体"/>
                <w:b w:val="0"/>
                <w:bCs/>
                <w:color w:val="auto"/>
                <w:kern w:val="0"/>
                <w:sz w:val="24"/>
                <w:szCs w:val="24"/>
              </w:rPr>
              <w:t>序号</w:t>
            </w:r>
          </w:p>
        </w:tc>
        <w:tc>
          <w:tcPr>
            <w:tcW w:w="1976" w:type="dxa"/>
            <w:vAlign w:val="center"/>
          </w:tcPr>
          <w:p w14:paraId="00E47A50">
            <w:pPr>
              <w:widowControl/>
              <w:adjustRightInd w:val="0"/>
              <w:snapToGrid w:val="0"/>
              <w:jc w:val="center"/>
              <w:rPr>
                <w:rFonts w:hint="eastAsia" w:ascii="黑体" w:hAnsi="黑体" w:eastAsia="黑体" w:cs="黑体"/>
                <w:b/>
                <w:color w:val="auto"/>
                <w:kern w:val="0"/>
                <w:sz w:val="24"/>
                <w:szCs w:val="24"/>
                <w:lang w:val="en-US" w:eastAsia="zh-CN"/>
              </w:rPr>
            </w:pPr>
            <w:r>
              <w:rPr>
                <w:rFonts w:hint="eastAsia" w:ascii="黑体" w:hAnsi="黑体" w:eastAsia="黑体" w:cs="黑体"/>
                <w:b/>
                <w:color w:val="auto"/>
                <w:kern w:val="0"/>
                <w:sz w:val="24"/>
                <w:szCs w:val="24"/>
                <w:lang w:val="en-US" w:eastAsia="zh-CN"/>
              </w:rPr>
              <w:t>执法检查重点事项内容</w:t>
            </w:r>
          </w:p>
        </w:tc>
        <w:tc>
          <w:tcPr>
            <w:tcW w:w="3948" w:type="dxa"/>
            <w:vAlign w:val="center"/>
          </w:tcPr>
          <w:p w14:paraId="0801CD59">
            <w:pPr>
              <w:widowControl/>
              <w:adjustRightInd w:val="0"/>
              <w:snapToGrid w:val="0"/>
              <w:jc w:val="center"/>
              <w:rPr>
                <w:rFonts w:hint="eastAsia" w:ascii="黑体" w:hAnsi="黑体" w:eastAsia="黑体" w:cs="黑体"/>
                <w:b/>
                <w:color w:val="auto"/>
                <w:kern w:val="0"/>
                <w:sz w:val="24"/>
                <w:szCs w:val="24"/>
              </w:rPr>
            </w:pPr>
            <w:r>
              <w:rPr>
                <w:rFonts w:hint="eastAsia" w:ascii="黑体" w:hAnsi="黑体" w:eastAsia="黑体" w:cs="黑体"/>
                <w:b/>
                <w:color w:val="auto"/>
                <w:kern w:val="0"/>
                <w:sz w:val="24"/>
                <w:szCs w:val="24"/>
                <w:lang w:val="en-US" w:eastAsia="zh-CN"/>
              </w:rPr>
              <w:t>执法检查依据</w:t>
            </w:r>
          </w:p>
        </w:tc>
        <w:tc>
          <w:tcPr>
            <w:tcW w:w="3224" w:type="dxa"/>
            <w:vAlign w:val="center"/>
          </w:tcPr>
          <w:p w14:paraId="61DF0167">
            <w:pPr>
              <w:widowControl/>
              <w:adjustRightInd w:val="0"/>
              <w:snapToGrid w:val="0"/>
              <w:jc w:val="center"/>
              <w:rPr>
                <w:rFonts w:hint="eastAsia" w:ascii="黑体" w:hAnsi="黑体" w:eastAsia="黑体" w:cs="黑体"/>
                <w:b/>
                <w:color w:val="auto"/>
                <w:kern w:val="0"/>
                <w:sz w:val="24"/>
                <w:szCs w:val="24"/>
                <w:lang w:val="en-US" w:eastAsia="zh-CN"/>
              </w:rPr>
            </w:pPr>
            <w:r>
              <w:rPr>
                <w:rFonts w:hint="eastAsia" w:ascii="黑体" w:hAnsi="黑体" w:eastAsia="黑体" w:cs="黑体"/>
                <w:b/>
                <w:color w:val="auto"/>
                <w:kern w:val="0"/>
                <w:sz w:val="24"/>
                <w:szCs w:val="24"/>
                <w:lang w:val="en-US" w:eastAsia="zh-CN"/>
              </w:rPr>
              <w:t>有关规范性文件及标准要求</w:t>
            </w:r>
          </w:p>
        </w:tc>
        <w:tc>
          <w:tcPr>
            <w:tcW w:w="3315" w:type="dxa"/>
            <w:vAlign w:val="center"/>
          </w:tcPr>
          <w:p w14:paraId="32B2583D">
            <w:pPr>
              <w:widowControl/>
              <w:adjustRightInd w:val="0"/>
              <w:snapToGrid w:val="0"/>
              <w:jc w:val="center"/>
              <w:rPr>
                <w:rFonts w:hint="eastAsia" w:ascii="黑体" w:hAnsi="黑体" w:eastAsia="黑体" w:cs="黑体"/>
                <w:b/>
                <w:color w:val="auto"/>
                <w:kern w:val="0"/>
                <w:sz w:val="24"/>
                <w:szCs w:val="24"/>
                <w:lang w:eastAsia="zh-CN"/>
              </w:rPr>
            </w:pPr>
            <w:r>
              <w:rPr>
                <w:rFonts w:hint="eastAsia" w:ascii="黑体" w:hAnsi="黑体" w:eastAsia="黑体" w:cs="黑体"/>
                <w:b/>
                <w:color w:val="auto"/>
                <w:kern w:val="0"/>
                <w:sz w:val="24"/>
                <w:szCs w:val="24"/>
                <w:lang w:val="en-US" w:eastAsia="zh-CN"/>
              </w:rPr>
              <w:t>处罚依据</w:t>
            </w:r>
          </w:p>
        </w:tc>
        <w:tc>
          <w:tcPr>
            <w:tcW w:w="819" w:type="dxa"/>
            <w:vAlign w:val="center"/>
          </w:tcPr>
          <w:p w14:paraId="4529282B">
            <w:pPr>
              <w:widowControl/>
              <w:adjustRightInd w:val="0"/>
              <w:snapToGrid w:val="0"/>
              <w:jc w:val="center"/>
              <w:rPr>
                <w:rFonts w:hint="eastAsia" w:ascii="黑体" w:hAnsi="黑体" w:eastAsia="黑体" w:cs="黑体"/>
                <w:b/>
                <w:color w:val="auto"/>
                <w:kern w:val="0"/>
                <w:sz w:val="24"/>
                <w:szCs w:val="24"/>
              </w:rPr>
            </w:pPr>
            <w:r>
              <w:rPr>
                <w:rFonts w:hint="eastAsia" w:ascii="黑体" w:hAnsi="黑体" w:eastAsia="黑体" w:cs="黑体"/>
                <w:b/>
                <w:color w:val="auto"/>
                <w:kern w:val="0"/>
                <w:sz w:val="24"/>
                <w:szCs w:val="24"/>
              </w:rPr>
              <w:t>备注</w:t>
            </w:r>
          </w:p>
        </w:tc>
      </w:tr>
      <w:tr w14:paraId="593C5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570" w:hRule="atLeast"/>
          <w:jc w:val="center"/>
        </w:trPr>
        <w:tc>
          <w:tcPr>
            <w:tcW w:w="862" w:type="dxa"/>
            <w:vAlign w:val="center"/>
          </w:tcPr>
          <w:p w14:paraId="7676C9F7">
            <w:pPr>
              <w:keepNext w:val="0"/>
              <w:keepLines w:val="0"/>
              <w:widowControl/>
              <w:suppressLineNumbers w:val="0"/>
              <w:ind w:firstLine="240" w:firstLineChars="100"/>
              <w:jc w:val="left"/>
              <w:textAlignment w:val="center"/>
              <w:rPr>
                <w:rFonts w:hint="eastAsia" w:ascii="宋体" w:hAnsi="宋体" w:eastAsia="宋体" w:cs="宋体"/>
                <w:b w:val="0"/>
                <w:bCs/>
                <w:i w:val="0"/>
                <w:iCs w:val="0"/>
                <w:color w:val="000000"/>
                <w:kern w:val="0"/>
                <w:sz w:val="24"/>
                <w:szCs w:val="24"/>
                <w:u w:val="none"/>
                <w:lang w:val="en-US" w:eastAsia="zh-CN" w:bidi="ar"/>
              </w:rPr>
            </w:pPr>
            <w:r>
              <w:rPr>
                <w:rFonts w:hint="eastAsia" w:ascii="宋体" w:hAnsi="宋体" w:eastAsia="宋体" w:cs="宋体"/>
                <w:b w:val="0"/>
                <w:bCs/>
                <w:i w:val="0"/>
                <w:iCs w:val="0"/>
                <w:color w:val="000000"/>
                <w:kern w:val="0"/>
                <w:sz w:val="24"/>
                <w:szCs w:val="24"/>
                <w:u w:val="none"/>
                <w:lang w:val="en-US" w:eastAsia="zh-CN" w:bidi="ar"/>
              </w:rPr>
              <w:t>1</w:t>
            </w:r>
          </w:p>
        </w:tc>
        <w:tc>
          <w:tcPr>
            <w:tcW w:w="1976" w:type="dxa"/>
            <w:vAlign w:val="center"/>
          </w:tcPr>
          <w:p w14:paraId="773AD5D5">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企业应与承包单位、承租单位签订专门的安全生产管理协议或者未在承包合同、租赁合同中明确各自的安全生产管理职责；并对承包单位、承租单位的安全生产工作统一协调、管理，并定期进行安全检查</w:t>
            </w:r>
          </w:p>
        </w:tc>
        <w:tc>
          <w:tcPr>
            <w:tcW w:w="3948" w:type="dxa"/>
            <w:vAlign w:val="center"/>
          </w:tcPr>
          <w:p w14:paraId="0F3D191D">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1.《中华人民共和国安全生产法》第四十九条 生产经营单位不得将生产经营项目、场所、设备发包或者出租给不具备安全生产条件或者相应资质的单位或者个人。  </w:t>
            </w:r>
          </w:p>
          <w:p w14:paraId="02BD90BB">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生产经营项目、场所发包或者出租给其他单位的，生产经营单位应当与承包单位、承租单位签订专门的安全生产管理协议，或者在承包合同、租赁合同中约定各自的安全生产管理职责；生产经营单位对承包单位、承租单位的安全生产工作统一协调、管理，定期进行安全检查，发现安全问题的，应当及时督促整改。</w:t>
            </w:r>
          </w:p>
          <w:p w14:paraId="506ADA27">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2.《工贸行业重大事故隐患判定标准》（应急管理部令第10号）</w:t>
            </w:r>
          </w:p>
          <w:p w14:paraId="360B8F9E">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第三条：工贸企业有下列情形之一的，应当判定为重大事故隐患：</w:t>
            </w:r>
          </w:p>
          <w:p w14:paraId="19E5BDDD">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（一）未对承包单位、承租单位的安全生产工作统一协调、管理，或者未定期进行安全检查的。</w:t>
            </w:r>
          </w:p>
          <w:p w14:paraId="52F7C8EF">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3.《冶金企业和有色金属企业安全生产规定》（安监总局令第91号）第二十条 企业应当加强对施工、检修等重点工程和生产经营项目、场所的承包单位的安全管理，不得将有关工程、项目、场所发包给不具备安全生产条件或者相应资质的单位。企业和承包单位的承包协议应当明确约定双方的安全生产责任和义务。</w:t>
            </w:r>
          </w:p>
          <w:p w14:paraId="69B41BEF">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企业应当对承包单位的安全生产进行统一协调、管理，对从事检修工程的承包单位检修方案中的安全措施和应急处置措施进行审核，监督承包单位落实。</w:t>
            </w:r>
          </w:p>
        </w:tc>
        <w:tc>
          <w:tcPr>
            <w:tcW w:w="3224" w:type="dxa"/>
            <w:vAlign w:val="center"/>
          </w:tcPr>
          <w:p w14:paraId="5399659B">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tc>
        <w:tc>
          <w:tcPr>
            <w:tcW w:w="3315" w:type="dxa"/>
            <w:vAlign w:val="center"/>
          </w:tcPr>
          <w:p w14:paraId="144D9A33">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《中华人民共和国安全生产法》第一百零三条 </w:t>
            </w:r>
          </w:p>
          <w:p w14:paraId="77D6AE35">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p w14:paraId="1D12A787">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生产经营单位未与承包单位、承租单位签订专门的安全生产管理协议或者未在承包合同、租赁合同中明确各自的安全生产管理职责，或者未对承包单位、承租单位的安全生产统一协调、管理的，责令限期改正，处五万元以下的罚款，对其直接负责的主管人员和其他直接责任人员处一万元以下的罚款；逾期未改正的，责令停产停业整顿。</w:t>
            </w:r>
          </w:p>
        </w:tc>
        <w:tc>
          <w:tcPr>
            <w:tcW w:w="819" w:type="dxa"/>
            <w:vAlign w:val="center"/>
          </w:tcPr>
          <w:p w14:paraId="38340B16">
            <w:pPr>
              <w:keepNext w:val="0"/>
              <w:keepLines w:val="0"/>
              <w:widowControl/>
              <w:suppressLineNumbers w:val="0"/>
              <w:ind w:firstLine="220" w:firstLineChars="100"/>
              <w:jc w:val="left"/>
              <w:textAlignment w:val="center"/>
              <w:rPr>
                <w:rFonts w:hint="eastAsia" w:ascii="宋体" w:hAnsi="宋体" w:eastAsia="宋体" w:cs="宋体"/>
                <w:i w:val="0"/>
                <w:iCs w:val="0"/>
                <w:color w:val="000000"/>
                <w:kern w:val="0"/>
                <w:sz w:val="22"/>
                <w:szCs w:val="22"/>
                <w:u w:val="none"/>
                <w:lang w:val="en-US" w:eastAsia="zh-CN" w:bidi="ar"/>
              </w:rPr>
            </w:pPr>
          </w:p>
        </w:tc>
      </w:tr>
      <w:tr w14:paraId="12F1B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570" w:hRule="atLeast"/>
          <w:jc w:val="center"/>
        </w:trPr>
        <w:tc>
          <w:tcPr>
            <w:tcW w:w="862" w:type="dxa"/>
            <w:vAlign w:val="center"/>
          </w:tcPr>
          <w:p w14:paraId="2B878AAB">
            <w:pPr>
              <w:keepNext w:val="0"/>
              <w:keepLines w:val="0"/>
              <w:widowControl/>
              <w:suppressLineNumbers w:val="0"/>
              <w:jc w:val="center"/>
              <w:textAlignment w:val="center"/>
              <w:rPr>
                <w:rFonts w:hint="eastAsia" w:ascii="宋体" w:hAnsi="宋体" w:eastAsia="宋体" w:cs="宋体"/>
                <w:b w:val="0"/>
                <w:bCs/>
                <w:color w:val="auto"/>
                <w:kern w:val="0"/>
                <w:sz w:val="21"/>
                <w:szCs w:val="21"/>
                <w:lang w:val="en-US" w:eastAsia="zh-CN"/>
              </w:rPr>
            </w:pPr>
            <w:r>
              <w:rPr>
                <w:rFonts w:hint="eastAsia" w:ascii="宋体" w:hAnsi="宋体" w:eastAsia="宋体" w:cs="宋体"/>
                <w:b w:val="0"/>
                <w:bCs/>
                <w:color w:val="auto"/>
                <w:kern w:val="0"/>
                <w:sz w:val="21"/>
                <w:szCs w:val="21"/>
                <w:lang w:val="en-US" w:eastAsia="zh-CN"/>
              </w:rPr>
              <w:t>2</w:t>
            </w:r>
          </w:p>
        </w:tc>
        <w:tc>
          <w:tcPr>
            <w:tcW w:w="1976" w:type="dxa"/>
            <w:vAlign w:val="center"/>
          </w:tcPr>
          <w:p w14:paraId="037BCE35">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从事特种作业人员未按国家有关规定经专门的安全作业培训，取得相应资格便开展特殊作业的</w:t>
            </w:r>
          </w:p>
        </w:tc>
        <w:tc>
          <w:tcPr>
            <w:tcW w:w="3948" w:type="dxa"/>
            <w:vAlign w:val="center"/>
          </w:tcPr>
          <w:p w14:paraId="0FB26245">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1.《中华人民共和国安全生产法》第三十条 生产经营单位的特种作业人员必须按照国家有关规定经专门的安全作业培训，取得相应资格，方可上岗作业。</w:t>
            </w:r>
          </w:p>
          <w:p w14:paraId="7FCDD7C7">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2.《工贸行业重大事故隐患判定标准》（应急管理部令第10号）</w:t>
            </w:r>
          </w:p>
          <w:p w14:paraId="6953DC1C">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第三条：工贸企业有下列情形之一的，应当判定为重大事故隐患：</w:t>
            </w:r>
          </w:p>
          <w:p w14:paraId="226AA1C7">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（二）特种作业人员未按照规定经专门的安全作业培训并取得相应资格，上岗作业的。</w:t>
            </w:r>
          </w:p>
          <w:p w14:paraId="686E6181">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3.《冶金企业和有色金属企业安全生产规定》（安监总局令第91号）《特种作业人员安全技术培训考核管理规定》第五条 特种作业人员必须经专门的安全技术培训并考核合格，取得《中华人民共和国特种作业操作证》后，方可上岗作业。没有取得特种作业相应资格的，不得上岗从事特种作业。</w:t>
            </w:r>
          </w:p>
        </w:tc>
        <w:tc>
          <w:tcPr>
            <w:tcW w:w="3224" w:type="dxa"/>
            <w:vAlign w:val="center"/>
          </w:tcPr>
          <w:p w14:paraId="79B85B12">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tc>
        <w:tc>
          <w:tcPr>
            <w:tcW w:w="3315" w:type="dxa"/>
            <w:vAlign w:val="center"/>
          </w:tcPr>
          <w:p w14:paraId="5D8BEDBC">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《中华人民共和国安全生产法》第九十七条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特种作业人员未按照规定经专门的安全作业培训并取得相应资格，上岗作业的。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w:t>
            </w:r>
          </w:p>
        </w:tc>
        <w:tc>
          <w:tcPr>
            <w:tcW w:w="819" w:type="dxa"/>
            <w:vAlign w:val="center"/>
          </w:tcPr>
          <w:p w14:paraId="5D100E06">
            <w:pPr>
              <w:rPr>
                <w:rFonts w:hint="eastAsia" w:ascii="宋体" w:hAnsi="宋体" w:eastAsia="宋体" w:cs="宋体"/>
                <w:b/>
                <w:color w:val="auto"/>
                <w:kern w:val="0"/>
                <w:sz w:val="21"/>
                <w:szCs w:val="21"/>
                <w:lang w:val="en-US" w:eastAsia="zh-CN" w:bidi="ar-SA"/>
              </w:rPr>
            </w:pPr>
          </w:p>
        </w:tc>
      </w:tr>
      <w:tr w14:paraId="656E5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570" w:hRule="atLeast"/>
          <w:jc w:val="center"/>
        </w:trPr>
        <w:tc>
          <w:tcPr>
            <w:tcW w:w="862" w:type="dxa"/>
            <w:vAlign w:val="center"/>
          </w:tcPr>
          <w:p w14:paraId="14CC3024">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3</w:t>
            </w:r>
          </w:p>
        </w:tc>
        <w:tc>
          <w:tcPr>
            <w:tcW w:w="1976" w:type="dxa"/>
            <w:vAlign w:val="center"/>
          </w:tcPr>
          <w:p w14:paraId="225225B2">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1"/>
                <w:szCs w:val="21"/>
                <w:u w:val="none"/>
                <w:lang w:val="en-US" w:eastAsia="zh-CN" w:bidi="ar"/>
              </w:rPr>
              <w:t>★金属冶炼企业主要负责人、安全生产管理人员应该按照规定考核合格</w:t>
            </w:r>
          </w:p>
        </w:tc>
        <w:tc>
          <w:tcPr>
            <w:tcW w:w="3948" w:type="dxa"/>
            <w:vAlign w:val="center"/>
          </w:tcPr>
          <w:p w14:paraId="1A882E07">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1.《中华人民共和国安全生产法》第二十七条 危险物品的生产、经营、储存、装卸单位及矿山、金属冶炼、建筑施工、运输单位的主要负责人和安全生产管理人员，应当由主管对负有安全生产监督管理职责的部门对其安全生产知识和管理能力考核合格。</w:t>
            </w:r>
          </w:p>
          <w:p w14:paraId="64033906">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2.《冶金企业和有色金属企业安全生产规定》第十一条　企业主要负责人、安全生产管理人员应当接受安全生产教育和培训，具备与本企业生产经营活动相适应的安全生产知识和管理能力。其中，存在金属冶炼工艺的企业的主要负责人、安全生产管理人员自任职之日起6个月内，必须接受负有冶金有色安全生产监管职责的部门对其进行安全生产知识和管理能力考核，并考核合格。2..《工贸企业重大事故隐患判定标准》（应急管理部令第10号）</w:t>
            </w:r>
          </w:p>
          <w:p w14:paraId="729059DA">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第三条 工贸企业有下列情形之一的，应当判定为重大隐患（三）金属冶炼企业主要负责人、安全生产管理人员未按照规定考核合格。</w:t>
            </w:r>
          </w:p>
          <w:p w14:paraId="34581EC7">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3.《冶金企业和有色金属企业安全生产规定》（安监总局令第91号）第十一条 企业主要负责人、安全生产管理人员应当接受安全生产教育和培训，具备与本企业生产经营活动相适应的安全生产知识和管理能力。其中，存在金属冶炼工艺的企业的主要负责人、安全生产管理人员自任职之日起六个月内，必须接受负有冶金有色安全生产监管职责的部门对其进行安全生产知识和管理能力考核，并考核合格。</w:t>
            </w:r>
          </w:p>
        </w:tc>
        <w:tc>
          <w:tcPr>
            <w:tcW w:w="3224" w:type="dxa"/>
            <w:vAlign w:val="center"/>
          </w:tcPr>
          <w:p w14:paraId="3BA99F69">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tc>
        <w:tc>
          <w:tcPr>
            <w:tcW w:w="3315" w:type="dxa"/>
            <w:vAlign w:val="center"/>
          </w:tcPr>
          <w:p w14:paraId="7C10F2D3">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《中华人民共和国安全生产法》第九十七条 生产经营单位有下列行为之一的，责令限期整改，处十万元以下的罚款；逾期未改正的，责令停产停业整顿，并处十万元以上二十万元以下的罚款，对其直接负责的主管人员和其他直接责任人员处二万元以上五万元以下的罚款：</w:t>
            </w:r>
          </w:p>
          <w:p w14:paraId="32EDF7C6">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p w14:paraId="5C9CC453">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（二） 危险物品的生产、经营、储存、装卸单位及矿山、金属冶炼、建筑施工、运输单位的主要负责人和安全生产管理人员，未按照规定经考核合格的。</w:t>
            </w:r>
          </w:p>
          <w:p w14:paraId="7A6CA64C">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819" w:type="dxa"/>
            <w:vAlign w:val="center"/>
          </w:tcPr>
          <w:p w14:paraId="4FACA0EA">
            <w:pPr>
              <w:widowControl/>
              <w:adjustRightInd w:val="0"/>
              <w:snapToGrid w:val="0"/>
              <w:jc w:val="center"/>
              <w:rPr>
                <w:rFonts w:hint="eastAsia" w:ascii="宋体" w:hAnsi="宋体" w:eastAsia="宋体" w:cs="宋体"/>
                <w:b/>
                <w:color w:val="FF0000"/>
                <w:kern w:val="0"/>
                <w:sz w:val="21"/>
                <w:szCs w:val="21"/>
                <w:lang w:val="en-US" w:eastAsia="zh-CN" w:bidi="ar-SA"/>
              </w:rPr>
            </w:pPr>
          </w:p>
        </w:tc>
      </w:tr>
      <w:tr w14:paraId="46E1E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570" w:hRule="atLeast"/>
          <w:jc w:val="center"/>
        </w:trPr>
        <w:tc>
          <w:tcPr>
            <w:tcW w:w="862" w:type="dxa"/>
            <w:vAlign w:val="center"/>
          </w:tcPr>
          <w:p w14:paraId="14608DE6">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4</w:t>
            </w:r>
          </w:p>
        </w:tc>
        <w:tc>
          <w:tcPr>
            <w:tcW w:w="1976" w:type="dxa"/>
            <w:vAlign w:val="center"/>
          </w:tcPr>
          <w:p w14:paraId="160DBB3E">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1"/>
                <w:szCs w:val="21"/>
                <w:u w:val="none"/>
                <w:lang w:val="en-US" w:eastAsia="zh-CN" w:bidi="ar"/>
              </w:rPr>
              <w:t>★冶金企业、有色企业会议室、活动室、休息室、操作室、交接班室、更衣室（含澡堂）等6类人员聚集场所,以及钢铁水罐冷（热）修工位不应设置在铁水、钢水、液渣吊运跨的地坪区域内；</w:t>
            </w:r>
          </w:p>
        </w:tc>
        <w:tc>
          <w:tcPr>
            <w:tcW w:w="3948" w:type="dxa"/>
            <w:vAlign w:val="top"/>
          </w:tcPr>
          <w:p w14:paraId="54498261">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1.《中华人民共和国安全生产法》第四十一条 ……</w:t>
            </w:r>
          </w:p>
          <w:p w14:paraId="6C1942D0">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生产经营单位应当建立健全并落实生产安全事故隐患排查治理制度，采取技术、管理措施，及时发现并消除事故隐患。</w:t>
            </w:r>
          </w:p>
          <w:p w14:paraId="22E06784">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《冶金企业和有色金属企业安全生产规定》第二十七条： 企业的操作室、会议室、活动室、休息室、更衣室等场所不得设置在高温熔融金属吊运的影响范围内。</w:t>
            </w:r>
          </w:p>
          <w:p w14:paraId="5B81CEAE">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《工贸行业重大事故隐患判定标准》（应急管理部令第10号）</w:t>
            </w:r>
          </w:p>
          <w:p w14:paraId="6B732D5B">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第四条：冶金企业有下列情形之一的，应当判定为重大事故隐患：</w:t>
            </w:r>
          </w:p>
          <w:p w14:paraId="3A5F1E9D">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（一）会议室、活动室、休息室、操作室、交接班室、更衣室（含澡堂）等6类人员聚集场所,以及钢铁水罐冷（热）修工位设置在铁水、钢水、液渣吊运跨的地坪区域内的。</w:t>
            </w:r>
          </w:p>
          <w:p w14:paraId="632530EB">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第五条 有色企业有下列情形之一的，应当判定为重大事故隐患:</w:t>
            </w:r>
          </w:p>
          <w:p w14:paraId="570246D4">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（一）会议室、活动室、休息室、操作室、交接班室、更衣室（含澡堂）等6类人员聚集场所设置在熔融金属吊运跨的地坪区域内的；</w:t>
            </w:r>
          </w:p>
          <w:p w14:paraId="4DFBD084">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tc>
        <w:tc>
          <w:tcPr>
            <w:tcW w:w="3224" w:type="dxa"/>
            <w:vAlign w:val="center"/>
          </w:tcPr>
          <w:p w14:paraId="5FC64D66">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1.《高温熔融金属吊运安全规程》（AQ7011-2018）</w:t>
            </w:r>
          </w:p>
          <w:p w14:paraId="64352502">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5.7  高温熔融金属和熔渣吊运行走区域禁止设置操作室、会议室、交接班室、活动室、休息室、更衣室、澡堂等人员集聚场所；危险区域附近的上述建筑物的门、窗应背对吊运区域。</w:t>
            </w:r>
          </w:p>
          <w:p w14:paraId="7842D1F8">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5.17  熔融金属罐冷热修区不应设在吊运路线上，应设置通风降温设施，地面应有安全通道。</w:t>
            </w:r>
          </w:p>
          <w:p w14:paraId="31FE0058">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2.《有色金属工程设计防火规范》（GB 50630-2010）</w:t>
            </w:r>
          </w:p>
          <w:p w14:paraId="5D984949">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4.5.6  冶炼生产厂房内具有熔融体作业区的防火设计应符合下列规定：</w:t>
            </w:r>
          </w:p>
          <w:p w14:paraId="264816A2">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1）.作业范围内（含地下、上空）严禁设置车间生活间。</w:t>
            </w:r>
          </w:p>
          <w:p w14:paraId="531C3424">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6.2.2  受炽热烘烤、熔体喷溅、明火作用的区域，不应设置控制（操作、值班）室。当必须设置时，其构件应采用不燃烧体，并应对门、窗和结构构件采取防火保护措施；当具有爆炸危险时，尚应设置有效地防爆设施。</w:t>
            </w:r>
          </w:p>
          <w:p w14:paraId="561A8831">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2.《铜及铜合金熔铸安全设计规范》（GB 30187-2013）</w:t>
            </w:r>
          </w:p>
          <w:p w14:paraId="0837CF0B">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11.2  起吊高温铜液的起重机，其行走路线应尽量短，并禁止通过操作室、人行通道等有人区域。</w:t>
            </w:r>
          </w:p>
        </w:tc>
        <w:tc>
          <w:tcPr>
            <w:tcW w:w="3315" w:type="dxa"/>
            <w:vAlign w:val="top"/>
          </w:tcPr>
          <w:p w14:paraId="0D2FAFDD">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14:paraId="299E3C67">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2.《冶金企业和有色金属企业安全生产规定》</w:t>
            </w:r>
            <w:r>
              <w:rPr>
                <w:rFonts w:hint="default" w:ascii="宋体" w:hAnsi="宋体" w:eastAsia="宋体" w:cs="宋体"/>
                <w:i w:val="0"/>
                <w:iCs w:val="0"/>
                <w:color w:val="000000"/>
                <w:kern w:val="0"/>
                <w:sz w:val="21"/>
                <w:szCs w:val="21"/>
                <w:u w:val="none"/>
                <w:lang w:val="en-US" w:eastAsia="zh-CN" w:bidi="ar"/>
              </w:rPr>
              <w:t>第四十六条</w:t>
            </w:r>
            <w:r>
              <w:rPr>
                <w:rFonts w:hint="eastAsia" w:ascii="宋体" w:hAnsi="宋体" w:eastAsia="宋体" w:cs="宋体"/>
                <w:i w:val="0"/>
                <w:iCs w:val="0"/>
                <w:color w:val="000000"/>
                <w:kern w:val="0"/>
                <w:sz w:val="21"/>
                <w:szCs w:val="21"/>
                <w:u w:val="none"/>
                <w:lang w:val="en-US" w:eastAsia="zh-CN" w:bidi="ar"/>
              </w:rPr>
              <w:t xml:space="preserve">  </w:t>
            </w:r>
            <w:r>
              <w:rPr>
                <w:rFonts w:hint="default" w:ascii="宋体" w:hAnsi="宋体" w:eastAsia="宋体" w:cs="宋体"/>
                <w:i w:val="0"/>
                <w:iCs w:val="0"/>
                <w:color w:val="000000"/>
                <w:kern w:val="0"/>
                <w:sz w:val="21"/>
                <w:szCs w:val="21"/>
                <w:u w:val="none"/>
                <w:lang w:val="en-US" w:eastAsia="zh-CN" w:bidi="ar"/>
              </w:rPr>
              <w:t>企业违反本规定第二十四条至第三十七条的规定，构成生产安全事故隐患的，责令立即消除或者限期消除事故隐患；企业拒不执行的，责令停产停业整顿，并处十万元以上五十万元以下的罚款，对其直接负责的主管人员和其他直接责任人员处二万元以上五万元以下的罚款。</w:t>
            </w:r>
          </w:p>
        </w:tc>
        <w:tc>
          <w:tcPr>
            <w:tcW w:w="819" w:type="dxa"/>
            <w:vAlign w:val="center"/>
          </w:tcPr>
          <w:p w14:paraId="29391921">
            <w:pPr>
              <w:widowControl/>
              <w:adjustRightInd w:val="0"/>
              <w:snapToGrid w:val="0"/>
              <w:jc w:val="left"/>
              <w:rPr>
                <w:rFonts w:hint="eastAsia" w:ascii="宋体" w:hAnsi="宋体" w:eastAsia="宋体" w:cs="宋体"/>
                <w:b/>
                <w:color w:val="auto"/>
                <w:kern w:val="0"/>
                <w:sz w:val="28"/>
                <w:szCs w:val="28"/>
                <w:lang w:val="en-US" w:eastAsia="zh-CN" w:bidi="ar-SA"/>
              </w:rPr>
            </w:pPr>
          </w:p>
        </w:tc>
      </w:tr>
      <w:tr w14:paraId="1E012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570" w:hRule="atLeast"/>
          <w:jc w:val="center"/>
        </w:trPr>
        <w:tc>
          <w:tcPr>
            <w:tcW w:w="862" w:type="dxa"/>
            <w:vAlign w:val="center"/>
          </w:tcPr>
          <w:p w14:paraId="1920FFA3">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14:paraId="7774CECB">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14:paraId="1751EF82">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14:paraId="61DCE12D">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14:paraId="2EBE7E9A">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14:paraId="1A55273C">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5</w:t>
            </w:r>
          </w:p>
        </w:tc>
        <w:tc>
          <w:tcPr>
            <w:tcW w:w="1976" w:type="dxa"/>
            <w:vAlign w:val="center"/>
          </w:tcPr>
          <w:p w14:paraId="51D84FCD">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p w14:paraId="19AAA70D">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p w14:paraId="7BBF067D">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p w14:paraId="3A43B6B7">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p w14:paraId="0B8C888B">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冶金企业、有色企业生产期间冶炼、精炼和铸造生产区域的事故坑、炉下渣坑，以及熔融金属泄漏和喷溅影响范围内的炉前平台、炉基区域、厂房内吊运和地面运输通道等6类区域，机械企业生产期间铸造用熔炼炉、精炼炉、保温炉的炉底、炉坑和 事故坑，以及熔融金属泄漏、喷溅影响范围内的炉前平台、炉基区 域、造型地坑、浇注作业坑和熔融金属转运通道等8类区域严禁存在积水。</w:t>
            </w:r>
          </w:p>
        </w:tc>
        <w:tc>
          <w:tcPr>
            <w:tcW w:w="3948" w:type="dxa"/>
            <w:vAlign w:val="center"/>
          </w:tcPr>
          <w:p w14:paraId="4334ED05">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1.《中华人民共和国安全生产法》第四十一条 ……</w:t>
            </w:r>
          </w:p>
          <w:p w14:paraId="4BEBE553">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生产经营单位应当建立健全并落实生产安全事故隐患排查治理制度，采取技术、管理措施，及时发现并消除事故隐患。</w:t>
            </w:r>
          </w:p>
          <w:p w14:paraId="36F0479F">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2.《冶金企业和有色金属企业安全生产规定》第二十八条  企业在进行高温熔融金属冶炼、保温、运输、吊运过程中，应当采取防止泄漏、喷溅、爆炸伤人的安全措施，其影响区域不得有非生产性积水。</w:t>
            </w:r>
          </w:p>
          <w:p w14:paraId="26C63897">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第二十九条 ：企业对电炉、电解车间应当采取防雨措施和有效的排水设施，防止雨水进入槽下地坪，确保电炉、电解槽下没有积水。                               3.《工贸行业重大事故隐患判定标准》（应急管理部令第10号）</w:t>
            </w:r>
          </w:p>
          <w:p w14:paraId="1EFF7AB7">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第四条冶金企业有下列情形之一的，应当判定为重大事故隐患</w:t>
            </w:r>
          </w:p>
          <w:p w14:paraId="725ADD5D">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（二）生产期间冶炼、精炼和铸造生产区域的事故坑、炉下渣坑，以及熔融金属泄漏和喷溅影响范围内的炉前平台、炉基区域、厂房内吊运和地面运输通道等6类区域存在积水的；</w:t>
            </w:r>
          </w:p>
          <w:p w14:paraId="126A559C">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第五条 有色企业有下列情形之一的，应当判定为重大事故隐患:</w:t>
            </w:r>
          </w:p>
          <w:p w14:paraId="5DECD079">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（二）生产期间冶炼、精炼、铸造生产区域的事故坑、炉下渣坑，以及熔融金属泄漏、喷溅影响范围内的炉前平台、炉基区域、厂房内吊运和地面运输通道等6类区域存在非生产性积水的；</w:t>
            </w:r>
          </w:p>
          <w:p w14:paraId="16668C03">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第七条 机械企业有下列情形之一的，应当判定为重大事故隐患：</w:t>
            </w:r>
          </w:p>
          <w:p w14:paraId="502E1B58">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（三）生产期间铸造用熔炼炉、精炼炉、保温炉的炉底、炉坑和 事故坑，以及熔融金属泄漏、喷溅影响范围内的炉前平台、炉基区 域、造型地坑、浇注作业坑和熔融金属转运通道等8类区域存在积水的</w:t>
            </w:r>
          </w:p>
        </w:tc>
        <w:tc>
          <w:tcPr>
            <w:tcW w:w="3224" w:type="dxa"/>
            <w:vAlign w:val="center"/>
          </w:tcPr>
          <w:p w14:paraId="3337904D">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1.《炼钢安全规程》（AQ2001-2018）</w:t>
            </w:r>
          </w:p>
          <w:p w14:paraId="0128AA15">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6.2.7铁水预处理、转炉、AOD炉、电炉、精炼炉的炉下区域，应采取防止积水的措施；炉下漏钢坑应按防水要求设计施工，其内表应砌相应防护材料保护，且干燥后方可使用；炉下钢水罐车、渣罐车运行区域，地面应保持干燥；炉下热泼渣区，周围应设隔热防护结构，其他坪应防止积水；炉渣冲击与挖掘机铲渣地点，应在耐热混凝土基础上铺砌厚铸铁板或采取其他措施保护。</w:t>
            </w:r>
          </w:p>
          <w:p w14:paraId="3D0EA544">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6.2.8不允许渗水的坑、槽、沟，应按防水要求设计施工。</w:t>
            </w:r>
          </w:p>
          <w:p w14:paraId="0683B91D">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7.3.4混铁炉与倒罐站作业区地坪及受铁坑内，不应有水。凡受铁水辐射热及喷溅影响的建、构筑物，均应采取防护措施。</w:t>
            </w:r>
          </w:p>
          <w:p w14:paraId="25B5D072">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9.1.3炉基周围应保持清洁干燥，不应积水和堆积废料。炉基水槽应保持畅通。</w:t>
            </w:r>
          </w:p>
          <w:p w14:paraId="4292223E">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2.《有色金属工程设计防火规范》（GB 50630-2010）</w:t>
            </w:r>
          </w:p>
          <w:p w14:paraId="7E4BF8E6">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4.5.6  冶炼生产厂房内具有熔融体作业区的防火设计应符合下列规定：2.应采取防止雨雪飘淋室内的措施，严禁地面积水；不应在场地内设置水沟和给、排水管道，当必需设置时，应有避免水沟中积水和渗漏可靠构造措施。</w:t>
            </w:r>
          </w:p>
          <w:p w14:paraId="62AF0EC7">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3.《铜及铜合金熔铸安全设计规范》（GB 30187-2013）</w:t>
            </w:r>
          </w:p>
          <w:p w14:paraId="1F2D6B5C">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8.10.8  具有熔融铜液（熔渣）的作业、吊运及浇铸场所，不宜设置地沟，不应敷设上、下管道；屋面防水等级不应低于二级，并应有放置雨水渗漏的可靠措施。生产确需设置地沟或地坑时，应有严密的防水设施。</w:t>
            </w:r>
          </w:p>
          <w:p w14:paraId="299B52B9">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4.《高温熔融金属吊运安全规程》（AQ 7011-2018）：5.10存放、运输高温熔融金属和熔渣的场所，应设有防雨设施，不应设有积水的沟、坑等。如生产确需设置地面沟或坑等时，必须有严密的防水措施：易积水的沟、槽、坑，应有排水措施，不得积水。5.11熔融金属治炼（熔炼）炉的炉下及周围、熔融金属罐、渣罐和浇包吊运区域、熔融金属桶车和渣罐车运行区域，地面不得有积水，不应堆放潮湿物品和其他易燃、易爆物品。《冶金企业和有色金属企业安全生产规定》第二十八条 企业在进行高温熔融金属冶炼、保温、运输、吊运过程中，应当采取防止泄漏、喷溅、爆炸伤人的安全措施，其影响区域不得有非生产性积水。</w:t>
            </w:r>
          </w:p>
        </w:tc>
        <w:tc>
          <w:tcPr>
            <w:tcW w:w="3315" w:type="dxa"/>
            <w:vAlign w:val="center"/>
          </w:tcPr>
          <w:p w14:paraId="2FC6C30E">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14:paraId="593E493C">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2.《冶金企业和有色金属企业安全生产规定》</w:t>
            </w:r>
            <w:r>
              <w:rPr>
                <w:rFonts w:hint="default" w:ascii="宋体" w:hAnsi="宋体" w:eastAsia="宋体" w:cs="宋体"/>
                <w:i w:val="0"/>
                <w:iCs w:val="0"/>
                <w:color w:val="000000"/>
                <w:kern w:val="0"/>
                <w:sz w:val="21"/>
                <w:szCs w:val="21"/>
                <w:u w:val="none"/>
                <w:lang w:val="en-US" w:eastAsia="zh-CN" w:bidi="ar"/>
              </w:rPr>
              <w:t>第四十六条</w:t>
            </w:r>
            <w:r>
              <w:rPr>
                <w:rFonts w:hint="eastAsia" w:ascii="宋体" w:hAnsi="宋体" w:eastAsia="宋体" w:cs="宋体"/>
                <w:i w:val="0"/>
                <w:iCs w:val="0"/>
                <w:color w:val="000000"/>
                <w:kern w:val="0"/>
                <w:sz w:val="21"/>
                <w:szCs w:val="21"/>
                <w:u w:val="none"/>
                <w:lang w:val="en-US" w:eastAsia="zh-CN" w:bidi="ar"/>
              </w:rPr>
              <w:t xml:space="preserve">  </w:t>
            </w:r>
            <w:r>
              <w:rPr>
                <w:rFonts w:hint="default" w:ascii="宋体" w:hAnsi="宋体" w:eastAsia="宋体" w:cs="宋体"/>
                <w:i w:val="0"/>
                <w:iCs w:val="0"/>
                <w:color w:val="000000"/>
                <w:kern w:val="0"/>
                <w:sz w:val="21"/>
                <w:szCs w:val="21"/>
                <w:u w:val="none"/>
                <w:lang w:val="en-US" w:eastAsia="zh-CN" w:bidi="ar"/>
              </w:rPr>
              <w:t>企业违反本规定第二十四条至第三十七条的规定，构成生产安全事故隐患的，责令立即消除或者限期消除事故隐患；企业拒不执行的，责令停产停业整顿，并处十万元以上五十万元以下的罚款，对其直接负责的主管人员和其他直接责任人员处二万元以上五万元以下的罚款。</w:t>
            </w:r>
          </w:p>
        </w:tc>
        <w:tc>
          <w:tcPr>
            <w:tcW w:w="819" w:type="dxa"/>
            <w:vAlign w:val="center"/>
          </w:tcPr>
          <w:p w14:paraId="22657B6C">
            <w:pPr>
              <w:widowControl/>
              <w:adjustRightInd w:val="0"/>
              <w:snapToGrid w:val="0"/>
              <w:jc w:val="center"/>
              <w:rPr>
                <w:rFonts w:hint="eastAsia" w:ascii="宋体" w:hAnsi="宋体" w:cs="宋体"/>
                <w:b/>
                <w:color w:val="auto"/>
                <w:kern w:val="0"/>
                <w:sz w:val="28"/>
                <w:szCs w:val="28"/>
              </w:rPr>
            </w:pPr>
          </w:p>
        </w:tc>
      </w:tr>
      <w:tr w14:paraId="2F54C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570" w:hRule="atLeast"/>
          <w:jc w:val="center"/>
        </w:trPr>
        <w:tc>
          <w:tcPr>
            <w:tcW w:w="862" w:type="dxa"/>
            <w:vAlign w:val="center"/>
          </w:tcPr>
          <w:p w14:paraId="2113C3A7">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14:paraId="6FBAE276">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14:paraId="2F311725">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14:paraId="28839EBC">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6</w:t>
            </w:r>
          </w:p>
        </w:tc>
        <w:tc>
          <w:tcPr>
            <w:tcW w:w="1976" w:type="dxa"/>
            <w:vAlign w:val="center"/>
          </w:tcPr>
          <w:p w14:paraId="24B90500">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p w14:paraId="3D77E480">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p w14:paraId="12E934E9">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p w14:paraId="5CA53DF4">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p w14:paraId="581C5C75">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p w14:paraId="0082E0EB">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p w14:paraId="4163CAE5">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★冶金企业炼钢连铸流程应设置事故钢水罐、中间罐漏钢坑（槽）、中间罐溢流坑（槽）、漏钢回转溜槽，模铸流程应设置事故钢水罐（坑、槽）</w:t>
            </w:r>
          </w:p>
        </w:tc>
        <w:tc>
          <w:tcPr>
            <w:tcW w:w="3948" w:type="dxa"/>
            <w:vAlign w:val="center"/>
          </w:tcPr>
          <w:p w14:paraId="46CB44D9">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1.《中华人民共和国安全生产法》第四十一条 ……</w:t>
            </w:r>
          </w:p>
          <w:p w14:paraId="05E32D72">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生产经营单位应当建立健全并落实生产安全事故隐患排查治理制度，采取技术、管理措施，及时发现并消除事故隐患。</w:t>
            </w:r>
          </w:p>
          <w:p w14:paraId="11DFF000">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2.《冶金企业和有色金属企业安全生产规定》第二十九条 ： 企业对电炉、铸造熔炼炉、保温炉、倾翻炉、铸机、流液槽、熔盐电解槽等设备，应当设置熔融金属紧急排放和储存的设施，并在设备周围设置拦挡围堰，防止熔融金属外流。                            </w:t>
            </w:r>
          </w:p>
          <w:p w14:paraId="73C6DACC">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3.《工贸行业重大事故隐患判定标准》（应急管理部令第10号）</w:t>
            </w:r>
          </w:p>
          <w:p w14:paraId="06AA3737">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第四条冶金企业有下列情形之一的，应当判定为重大事故隐患:</w:t>
            </w:r>
          </w:p>
          <w:p w14:paraId="4361CD54">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(三）炼钢连铸流程应设置事故钢水罐、中间罐漏钢坑（槽）、中间罐溢流坑（槽）、漏钢回转溜槽，或者模铸流程未设置事故钢水罐（坑、槽）的；</w:t>
            </w:r>
          </w:p>
        </w:tc>
        <w:tc>
          <w:tcPr>
            <w:tcW w:w="3224" w:type="dxa"/>
            <w:vAlign w:val="center"/>
          </w:tcPr>
          <w:p w14:paraId="7C1C7A00">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1.《炼钢安全规程》（AQ2001-2018）</w:t>
            </w:r>
          </w:p>
          <w:p w14:paraId="587E9E19">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12.3.3  连铸浇注区，应设事故钢水罐、溢流槽、中间溢流罐、钢水罐漏钢回转溜槽、中间罐漏钢坑及钢水罐滑板事故关闭系统。应保持以上应急设施干燥，不得存放其它物品，以保证流通或容量。</w:t>
            </w:r>
          </w:p>
          <w:p w14:paraId="3F6DBBA0">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2.《高温熔融金属吊运安全规程》（AQ7011-2018）</w:t>
            </w:r>
          </w:p>
          <w:p w14:paraId="34F90B46">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5.9  吊运高温熔融金属和熔渣的区域应设置事故罐，事故罐放置应在专用位置或专用支架上，并设置明显安全警示标识。</w:t>
            </w:r>
          </w:p>
        </w:tc>
        <w:tc>
          <w:tcPr>
            <w:tcW w:w="3315" w:type="dxa"/>
            <w:vAlign w:val="center"/>
          </w:tcPr>
          <w:p w14:paraId="7A02B4C2">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14:paraId="4CBC4513">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2.《冶金企业和有色金属企业安全生产规定》</w:t>
            </w:r>
            <w:r>
              <w:rPr>
                <w:rFonts w:hint="default" w:ascii="宋体" w:hAnsi="宋体" w:eastAsia="宋体" w:cs="宋体"/>
                <w:i w:val="0"/>
                <w:iCs w:val="0"/>
                <w:color w:val="000000"/>
                <w:kern w:val="0"/>
                <w:sz w:val="21"/>
                <w:szCs w:val="21"/>
                <w:u w:val="none"/>
                <w:lang w:val="en-US" w:eastAsia="zh-CN" w:bidi="ar"/>
              </w:rPr>
              <w:t>第四十六条</w:t>
            </w:r>
            <w:r>
              <w:rPr>
                <w:rFonts w:hint="eastAsia" w:ascii="宋体" w:hAnsi="宋体" w:eastAsia="宋体" w:cs="宋体"/>
                <w:i w:val="0"/>
                <w:iCs w:val="0"/>
                <w:color w:val="000000"/>
                <w:kern w:val="0"/>
                <w:sz w:val="21"/>
                <w:szCs w:val="21"/>
                <w:u w:val="none"/>
                <w:lang w:val="en-US" w:eastAsia="zh-CN" w:bidi="ar"/>
              </w:rPr>
              <w:t xml:space="preserve">  </w:t>
            </w:r>
            <w:r>
              <w:rPr>
                <w:rFonts w:hint="default" w:ascii="宋体" w:hAnsi="宋体" w:eastAsia="宋体" w:cs="宋体"/>
                <w:i w:val="0"/>
                <w:iCs w:val="0"/>
                <w:color w:val="000000"/>
                <w:kern w:val="0"/>
                <w:sz w:val="21"/>
                <w:szCs w:val="21"/>
                <w:u w:val="none"/>
                <w:lang w:val="en-US" w:eastAsia="zh-CN" w:bidi="ar"/>
              </w:rPr>
              <w:t>企业违反本规定第二十四条至第三十七条的规定，构成生产安全事故隐患的，责令立即消除或者限期消除事故隐患；企业拒不执行的，责令停产停业整顿，并处十万元以上五十万元以下的罚款，对其直接负责的主管人员和其他直接责任人员处二万元以上五万元以下的罚款。</w:t>
            </w:r>
          </w:p>
        </w:tc>
        <w:tc>
          <w:tcPr>
            <w:tcW w:w="819" w:type="dxa"/>
            <w:vAlign w:val="center"/>
          </w:tcPr>
          <w:p w14:paraId="52ACFA9A">
            <w:pPr>
              <w:widowControl/>
              <w:adjustRightInd w:val="0"/>
              <w:snapToGrid w:val="0"/>
              <w:jc w:val="center"/>
              <w:rPr>
                <w:rFonts w:hint="eastAsia" w:ascii="宋体" w:hAnsi="宋体" w:cs="宋体"/>
                <w:b/>
                <w:color w:val="auto"/>
                <w:kern w:val="0"/>
                <w:sz w:val="28"/>
                <w:szCs w:val="28"/>
              </w:rPr>
            </w:pPr>
          </w:p>
        </w:tc>
      </w:tr>
      <w:tr w14:paraId="08004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570" w:hRule="atLeast"/>
          <w:jc w:val="center"/>
        </w:trPr>
        <w:tc>
          <w:tcPr>
            <w:tcW w:w="862" w:type="dxa"/>
            <w:vAlign w:val="center"/>
          </w:tcPr>
          <w:p w14:paraId="45AE2475">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14:paraId="179DE333">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14:paraId="485178CC">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14:paraId="6C58D48E">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14:paraId="012CDBD0">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14:paraId="05F329D9">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7</w:t>
            </w:r>
          </w:p>
        </w:tc>
        <w:tc>
          <w:tcPr>
            <w:tcW w:w="1976" w:type="dxa"/>
            <w:vAlign w:val="center"/>
          </w:tcPr>
          <w:p w14:paraId="376F6550">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p w14:paraId="3E1DAD54">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p w14:paraId="579D026D">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p w14:paraId="781721F2">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p w14:paraId="52E23CB0">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p w14:paraId="32C02A50">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p w14:paraId="15FC940A">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p w14:paraId="21A07FFB">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p w14:paraId="04831F3D">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p w14:paraId="7F441070">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p w14:paraId="490010DE">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冶金企业转炉、电弧炉、AOD炉、LF炉、RH炉、VOD炉等炼钢炉的水冷元件应设置出水温度、进出水流量差等监测报警装置，监测报警装置应与炉体倾动、氧（副）枪自动提升、电极自动断电和升起装置联锁；机械企业铸造用熔炼炉、精炼炉、压铸机、氧枪的冷却水系统应设置出水温度、进出水流量差监测报警装置，或者监测报警装置应与熔融金属加热、输送控制系统联锁</w:t>
            </w:r>
          </w:p>
        </w:tc>
        <w:tc>
          <w:tcPr>
            <w:tcW w:w="3948" w:type="dxa"/>
            <w:vAlign w:val="center"/>
          </w:tcPr>
          <w:p w14:paraId="3BFF642A">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1.《中华人民共和国安全生产法》第四十一条 ……</w:t>
            </w:r>
          </w:p>
          <w:p w14:paraId="1FF4320E">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生产经营单位应当建立健全并落实生产安全事故隐患排查治理制度，采取技术、管理措施，及时发现并消除事故隐患。</w:t>
            </w:r>
          </w:p>
          <w:p w14:paraId="28FAB4B8">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2.《工贸行业重大事故隐患判定标准》（应急管理部令第10号）</w:t>
            </w:r>
          </w:p>
          <w:p w14:paraId="6F72F229">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第四条 冶金企业有下列情形之一的，应当判定为重大事故隐患:</w:t>
            </w:r>
          </w:p>
          <w:p w14:paraId="6FA72B5D">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（四）转炉、电弧炉、AOD炉、LF炉、RH炉、VOD炉等炼钢炉的水冷元件未设置出水温度、进出水流量差等监测报警装置，或者监测报警装置未与炉体倾动、氧（副）枪自动提升、电极自动断电和升起装置联锁的；</w:t>
            </w:r>
          </w:p>
          <w:p w14:paraId="1AC52F19">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第七条 机械企业有下列情形之一的，应当判定为重大事故隐患：</w:t>
            </w:r>
          </w:p>
          <w:p w14:paraId="703F4A46">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铸造用熔炼炉、精炼炉、压铸机、氧枪的冷却水系统未设置出水温度、进出水流量差监测报警装置，或者监测报警装置未与熔融金属加热、输送控制系统联锁的。</w:t>
            </w:r>
          </w:p>
        </w:tc>
        <w:tc>
          <w:tcPr>
            <w:tcW w:w="3224" w:type="dxa"/>
            <w:vAlign w:val="center"/>
          </w:tcPr>
          <w:p w14:paraId="75F15585">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1.《炼钢安全规程》（AQ2001-2018）</w:t>
            </w:r>
          </w:p>
          <w:p w14:paraId="5094E868">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9.1.4 转炉氧枪升降装置，应配备钢绳张力测定、钢绳断裂防坠、事故驱动等安全装置；各枪位停靠点，应与转炉倾动、氧气开闭、冷却水流量和温度等联锁；当氧气压力小于规定值、冷却水流量低于规定值、出水温度超过规定值、进出水流量差大于规定值时，氧枪应自动升起，停止吹氧。转炉氧枪供水，应设置电动或气动快速切断阀。转炉副枪升降装置，应配备钢绳张力测定、钢绳断裂防坠、事故驱动等安全装置；各枪位停靠点，应与转炉倾动、冷却水流量和温度等联锁；当冷却水流量低于规定值、出水温度超过规定值、进出水流量差大于规定值时，副枪应自动升起，停止测量。转炉副枪供水，应设置电动或气动快速切断阀。……</w:t>
            </w:r>
          </w:p>
          <w:p w14:paraId="3F8F6569">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9.2.6 转炉吹氧期间发生以下情况，应及时提枪停吹：氧枪冷却水流量、氧压低于规定值，出水温度高于规定值，氧枪漏水，水冷炉口、烟罩和加料溜槽口等水冷件漏水，停电。11.1.4 受钢液高温影响的水冷元件，应采取必要的安全措施，确保在断电期间保护设备免遭损坏； 可能因冷却水泄漏酿成爆炸事故的水冷元件，如VOD、CAS-OB、IR-UT、RH-KTB中的水冷氧枪, 应配备进出水流量差报警装置；报警信号发出后，氧枪应自动提升并停止供氧，停止精炼作业。   </w:t>
            </w:r>
          </w:p>
          <w:p w14:paraId="1B11D874">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10.1.8 水冷炉壁与炉盖的水冷板、Consteel炉连接小车水套、竖井水冷件等，应配置出水温度与进出水流量差检测、报警装置。出水温度超过规定值、进出水流量差报警时，应自动断电并升起电极停止冶炼，操作人员应迅速查明原因，排除故障，然后恢复供电。</w:t>
            </w:r>
          </w:p>
          <w:p w14:paraId="2BD61F1D">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11.1.4 受钢液高温影响的水冷元件，应采取必要的安全措施，确保在断电期间保护设备免遭损坏；可能因冷却水泄漏酿成爆炸事故的水冷元件，如VOD、CAS-OB、IR-UT、RH-KTB中的水冷氧枪，应配备进出水流量差报警装置；报警信号发出后，氧枪应自动提升并停止供氧，停止精炼作业。</w:t>
            </w:r>
          </w:p>
          <w:p w14:paraId="2116E689">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2.《冲天炉与冲天炉加料机安全要求》（GB 21501-2008）</w:t>
            </w:r>
          </w:p>
          <w:p w14:paraId="023FE6E6">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5.4.7  水冷炉的炉壳应严密，冷却水不应向炉内渗漏”；</w:t>
            </w:r>
          </w:p>
          <w:p w14:paraId="5C03FF5C">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3.《电热装置的安全 第3部分：对感应和导电加热装置以及感应熔炼装置的特殊要求》（GB 5959.3-2008）</w:t>
            </w:r>
          </w:p>
          <w:p w14:paraId="379CF8D0">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4.3  如果加热感应器的冷却效果不足而对工作人员造成危险或对设备的主要部件有损害时，应发出报警信号并自动切断加热电源。</w:t>
            </w:r>
          </w:p>
        </w:tc>
        <w:tc>
          <w:tcPr>
            <w:tcW w:w="3315" w:type="dxa"/>
            <w:vAlign w:val="center"/>
          </w:tcPr>
          <w:p w14:paraId="7DD5FF21">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14:paraId="50520810">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tc>
        <w:tc>
          <w:tcPr>
            <w:tcW w:w="819" w:type="dxa"/>
            <w:vAlign w:val="center"/>
          </w:tcPr>
          <w:p w14:paraId="7AD7C2E1">
            <w:pPr>
              <w:widowControl/>
              <w:adjustRightInd w:val="0"/>
              <w:snapToGrid w:val="0"/>
              <w:jc w:val="center"/>
              <w:rPr>
                <w:rFonts w:hint="eastAsia" w:ascii="宋体" w:hAnsi="宋体" w:cs="宋体"/>
                <w:b/>
                <w:color w:val="auto"/>
                <w:kern w:val="0"/>
                <w:sz w:val="28"/>
                <w:szCs w:val="28"/>
              </w:rPr>
            </w:pPr>
          </w:p>
        </w:tc>
      </w:tr>
      <w:tr w14:paraId="2AD8F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570" w:hRule="atLeast"/>
          <w:jc w:val="center"/>
        </w:trPr>
        <w:tc>
          <w:tcPr>
            <w:tcW w:w="862" w:type="dxa"/>
            <w:vAlign w:val="center"/>
          </w:tcPr>
          <w:p w14:paraId="6DEF9BC8">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8</w:t>
            </w:r>
          </w:p>
        </w:tc>
        <w:tc>
          <w:tcPr>
            <w:tcW w:w="1976" w:type="dxa"/>
            <w:vAlign w:val="center"/>
          </w:tcPr>
          <w:p w14:paraId="25F3180D">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冶金企业高炉生产期间炉顶工作压力设定值不应超过设计文件规定的最高工作压力，炉顶工作压力监测装置应与炉顶放散阀联锁，炉顶放散阀的联锁放散压力设定值不应超过设备设计压力值</w:t>
            </w:r>
          </w:p>
          <w:p w14:paraId="055F4260">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tc>
        <w:tc>
          <w:tcPr>
            <w:tcW w:w="3948" w:type="dxa"/>
            <w:vAlign w:val="center"/>
          </w:tcPr>
          <w:p w14:paraId="39320DA0">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1.《中华人民共和国安全生产法》第四十一条 ……</w:t>
            </w:r>
          </w:p>
          <w:p w14:paraId="4159D986">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生产经营单位应当建立健全并落实生产安全事故隐患排查治理制度，采取技术、管理措施，及时发现并消除事故隐患。</w:t>
            </w:r>
          </w:p>
          <w:p w14:paraId="662A255F">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2.《工贸行业重大事故隐患判定标准》（应急管理部令第10号）</w:t>
            </w:r>
          </w:p>
          <w:p w14:paraId="66F4484B">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第四条 冶金企业有下列情形之一的，应当判定为重大事故隐患:</w:t>
            </w:r>
          </w:p>
          <w:p w14:paraId="1A171117">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（五）高炉生产期间炉顶工作压力设定值不应超过设计文件规定的最高工作压力，炉顶工作压力监测装置应与炉顶放散阀联锁，炉顶放散阀的联锁放散压力设定值不应超过设备设计压力值的；</w:t>
            </w:r>
          </w:p>
        </w:tc>
        <w:tc>
          <w:tcPr>
            <w:tcW w:w="3224" w:type="dxa"/>
            <w:vAlign w:val="center"/>
          </w:tcPr>
          <w:p w14:paraId="5E21E3BE">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《炼铁安全规程》AQ2002-2018</w:t>
            </w:r>
          </w:p>
          <w:p w14:paraId="2ABD9FF2">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8.1.1 炉顶工作压力不应超过设计值。</w:t>
            </w:r>
          </w:p>
          <w:p w14:paraId="3B1AE350">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8.3.8 炉顶系统主要设备安全联锁。</w:t>
            </w:r>
          </w:p>
          <w:p w14:paraId="34658CDC">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《高炉炼铁安全生产操作技术要求》YB∕T 4591-2017</w:t>
            </w:r>
          </w:p>
          <w:p w14:paraId="0FC9441D">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 3：炉顶放散阀应选择自动操作模式,炉顶操作的最高峰值压力不应超过设计文件规定的最高工作压 力。当炉顶压力超过设计文件规定的最高工作压力时，应及时开启炉顶放散阀泄放炉顶压力。 3《高炉炼铁工程设计规范》.GB50427-2015</w:t>
            </w:r>
          </w:p>
          <w:p w14:paraId="3656BA9C">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7.0.11正常操作时，炉顶放散阀应选择自动模式，在炉顶压力超过设备压力时控制，系统应自动开启放散阀泄，压当恢复到正常压力水平时在关闭该放散。炉顶煤气放散阀还应设置机械超压开启功能。</w:t>
            </w:r>
          </w:p>
        </w:tc>
        <w:tc>
          <w:tcPr>
            <w:tcW w:w="3315" w:type="dxa"/>
            <w:vAlign w:val="center"/>
          </w:tcPr>
          <w:p w14:paraId="7909CC55">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14:paraId="22A0FB98">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tc>
        <w:tc>
          <w:tcPr>
            <w:tcW w:w="819" w:type="dxa"/>
            <w:vAlign w:val="center"/>
          </w:tcPr>
          <w:p w14:paraId="4E814B90">
            <w:pPr>
              <w:widowControl/>
              <w:adjustRightInd w:val="0"/>
              <w:snapToGrid w:val="0"/>
              <w:jc w:val="center"/>
              <w:rPr>
                <w:rFonts w:hint="eastAsia" w:ascii="宋体" w:hAnsi="宋体" w:cs="宋体"/>
                <w:b/>
                <w:color w:val="auto"/>
                <w:kern w:val="0"/>
                <w:sz w:val="28"/>
                <w:szCs w:val="28"/>
              </w:rPr>
            </w:pPr>
          </w:p>
        </w:tc>
      </w:tr>
      <w:tr w14:paraId="4D2A9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570" w:hRule="atLeast"/>
          <w:jc w:val="center"/>
        </w:trPr>
        <w:tc>
          <w:tcPr>
            <w:tcW w:w="862" w:type="dxa"/>
            <w:vAlign w:val="center"/>
          </w:tcPr>
          <w:p w14:paraId="4616FA74">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9</w:t>
            </w:r>
          </w:p>
        </w:tc>
        <w:tc>
          <w:tcPr>
            <w:tcW w:w="1976" w:type="dxa"/>
            <w:vAlign w:val="center"/>
          </w:tcPr>
          <w:p w14:paraId="2C2E9B9D">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p w14:paraId="14F27180">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p w14:paraId="76117C1C">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p w14:paraId="10B2E93E">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p w14:paraId="0901900F">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p w14:paraId="5C3FC0C1">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冶金企业煤气生产、回收净化、加压混合、储存、使用设施附近的会议室、活动室、休息室、操作室、交接班室、更衣室等6类人员聚集场所，以及可能发生煤气泄漏、积聚的场所和部位应设置固定式一氧化碳浓度监测报警装置，监测数据应接入24小时有人值守场所</w:t>
            </w:r>
          </w:p>
        </w:tc>
        <w:tc>
          <w:tcPr>
            <w:tcW w:w="3948" w:type="dxa"/>
            <w:vAlign w:val="center"/>
          </w:tcPr>
          <w:p w14:paraId="56DC4F20">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1.《中华人民共和国安全生产法》第三十六条：安全设备的设计、制造、安装、使用、检测、维修、改造和报废，应当符合国家标准或者行业标准。</w:t>
            </w:r>
          </w:p>
          <w:p w14:paraId="64DD6D3D">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生产经营单位必须对安全设备进行经常性维护、保养，并定期检测，保证正常运转。维护、保养、检测应当作好记录，并由有关人员签字。</w:t>
            </w:r>
          </w:p>
          <w:p w14:paraId="500CD66A">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第四十一条：生产经营单位应当建立健全并落实生产安全事故隐患排查治理制度，采取技术、管理措施，及时发现并消除事故隐患。</w:t>
            </w:r>
          </w:p>
          <w:p w14:paraId="151614EF">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2.《冶金企业和有色金属企业安全生产规定》第三十二条  生产、储存、使用煤气的企业应当严格执行《工业企业煤气安全规程》（GB6222），在可能发生煤气泄漏、聚集的场所，设置固定式煤气检测报警仪和安全警示标志。                             3.《工贸行业重大事故隐患判定标准》（应急管理部令第10号）</w:t>
            </w:r>
          </w:p>
          <w:p w14:paraId="3FC95480">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第四条 冶金企业有下列情形之一的，应当判定为重大事故隐患:</w:t>
            </w:r>
          </w:p>
          <w:p w14:paraId="743101AB">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六）煤气生产、回收净化、加压混合、储存、使用设施附近的会议室、活动室、休息室、操作室、交接班室、更衣室等6类人员聚集场所，以及可能发生煤气泄漏、积聚的场所和部位未设置固定式一氧化碳浓度监测报警装置，或者监测数据未接入24小时有人值守场所的；</w:t>
            </w:r>
          </w:p>
          <w:p w14:paraId="36CB0562">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tc>
        <w:tc>
          <w:tcPr>
            <w:tcW w:w="3224" w:type="dxa"/>
            <w:vAlign w:val="center"/>
          </w:tcPr>
          <w:p w14:paraId="2D258368">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1.《工业企业煤气安全规程》（GB 6222-2005）</w:t>
            </w:r>
          </w:p>
          <w:p w14:paraId="51F5666C">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4.10 煤气危险区(如地下室、加压站、热风炉及各种煤气发生设施附近)的一氧化碳浓度应定期测定，在关键部位应设置一氧化碳监测装置。作业环境一氧化碳最高允许浓度为30mg/m3（24ppm）。</w:t>
            </w:r>
          </w:p>
          <w:p w14:paraId="4F076CF3">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8.2.4站房内应设有一氧化碳监测装置，并把检测信号传送到管理室内。</w:t>
            </w:r>
          </w:p>
          <w:p w14:paraId="3572A159">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9.2.2.3活塞上部应备有一氧化碳检测报警装置及空气呼吸器。</w:t>
            </w:r>
          </w:p>
          <w:p w14:paraId="2CAB51EA">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tc>
        <w:tc>
          <w:tcPr>
            <w:tcW w:w="3315" w:type="dxa"/>
            <w:vAlign w:val="center"/>
          </w:tcPr>
          <w:p w14:paraId="076C34CB">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1.《中华人民共和国安全生产法》第九十九条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14:paraId="460E0758">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p w14:paraId="59BA9E31">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（二）安全设备的安装、使用、检测、改造和报废不符合国家标准或者行业标准的；</w:t>
            </w:r>
          </w:p>
          <w:p w14:paraId="101AE022">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（三）未对安全设备进行经常性维护、保养和定期检测的；</w:t>
            </w:r>
          </w:p>
          <w:p w14:paraId="1A88B9D9">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14:paraId="04BDC341">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3.《冶金企业和有色金属企业安全生产规定》</w:t>
            </w:r>
            <w:r>
              <w:rPr>
                <w:rFonts w:hint="default" w:ascii="宋体" w:hAnsi="宋体" w:eastAsia="宋体" w:cs="宋体"/>
                <w:i w:val="0"/>
                <w:iCs w:val="0"/>
                <w:color w:val="000000"/>
                <w:kern w:val="0"/>
                <w:sz w:val="21"/>
                <w:szCs w:val="21"/>
                <w:u w:val="none"/>
                <w:lang w:val="en-US" w:eastAsia="zh-CN" w:bidi="ar"/>
              </w:rPr>
              <w:t>第四十六条</w:t>
            </w:r>
            <w:r>
              <w:rPr>
                <w:rFonts w:hint="eastAsia" w:ascii="宋体" w:hAnsi="宋体" w:eastAsia="宋体" w:cs="宋体"/>
                <w:i w:val="0"/>
                <w:iCs w:val="0"/>
                <w:color w:val="000000"/>
                <w:kern w:val="0"/>
                <w:sz w:val="21"/>
                <w:szCs w:val="21"/>
                <w:u w:val="none"/>
                <w:lang w:val="en-US" w:eastAsia="zh-CN" w:bidi="ar"/>
              </w:rPr>
              <w:t xml:space="preserve">  </w:t>
            </w:r>
            <w:r>
              <w:rPr>
                <w:rFonts w:hint="default" w:ascii="宋体" w:hAnsi="宋体" w:eastAsia="宋体" w:cs="宋体"/>
                <w:i w:val="0"/>
                <w:iCs w:val="0"/>
                <w:color w:val="000000"/>
                <w:kern w:val="0"/>
                <w:sz w:val="21"/>
                <w:szCs w:val="21"/>
                <w:u w:val="none"/>
                <w:lang w:val="en-US" w:eastAsia="zh-CN" w:bidi="ar"/>
              </w:rPr>
              <w:t>企业违反本规定第二十四条至第三十七条的规定，构成生产安全事故隐患的，责令立即消除或者限期消除事</w:t>
            </w:r>
            <w:r>
              <w:rPr>
                <w:rFonts w:hint="eastAsia" w:ascii="宋体" w:hAnsi="宋体" w:eastAsia="宋体" w:cs="宋体"/>
                <w:i w:val="0"/>
                <w:iCs w:val="0"/>
                <w:color w:val="000000"/>
                <w:kern w:val="0"/>
                <w:sz w:val="21"/>
                <w:szCs w:val="21"/>
                <w:u w:val="none"/>
                <w:lang w:val="en-US" w:eastAsia="zh-CN" w:bidi="ar"/>
              </w:rPr>
              <w:t xml:space="preserve">   </w:t>
            </w:r>
            <w:r>
              <w:rPr>
                <w:rFonts w:hint="default" w:ascii="宋体" w:hAnsi="宋体" w:eastAsia="宋体" w:cs="宋体"/>
                <w:i w:val="0"/>
                <w:iCs w:val="0"/>
                <w:color w:val="000000"/>
                <w:kern w:val="0"/>
                <w:sz w:val="21"/>
                <w:szCs w:val="21"/>
                <w:u w:val="none"/>
                <w:lang w:val="en-US" w:eastAsia="zh-CN" w:bidi="ar"/>
              </w:rPr>
              <w:t>故隐患；企业拒不执行的，责令停产停业整顿，并处十万元以上五十万元以下的罚款，对其直接负责的主管人员和其他直接责任人员处二万元以上五万元以下的罚款。</w:t>
            </w:r>
          </w:p>
        </w:tc>
        <w:tc>
          <w:tcPr>
            <w:tcW w:w="819" w:type="dxa"/>
            <w:vAlign w:val="center"/>
          </w:tcPr>
          <w:p w14:paraId="7487A68A">
            <w:pPr>
              <w:widowControl/>
              <w:adjustRightInd w:val="0"/>
              <w:snapToGrid w:val="0"/>
              <w:jc w:val="center"/>
              <w:rPr>
                <w:rFonts w:hint="eastAsia" w:ascii="宋体" w:hAnsi="宋体" w:cs="宋体"/>
                <w:b/>
                <w:color w:val="auto"/>
                <w:kern w:val="0"/>
                <w:sz w:val="21"/>
                <w:szCs w:val="21"/>
              </w:rPr>
            </w:pPr>
          </w:p>
        </w:tc>
      </w:tr>
      <w:tr w14:paraId="66237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570" w:hRule="atLeast"/>
          <w:jc w:val="center"/>
        </w:trPr>
        <w:tc>
          <w:tcPr>
            <w:tcW w:w="862" w:type="dxa"/>
            <w:vAlign w:val="center"/>
          </w:tcPr>
          <w:p w14:paraId="7EC9452F">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10</w:t>
            </w:r>
          </w:p>
        </w:tc>
        <w:tc>
          <w:tcPr>
            <w:tcW w:w="1976" w:type="dxa"/>
            <w:vAlign w:val="center"/>
          </w:tcPr>
          <w:p w14:paraId="2453A806">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★冶金企业加热炉、煤气柜、除尘器、加压机、烘烤器等设施，以及进入车间前的煤气管道应安装隔断装置</w:t>
            </w:r>
          </w:p>
        </w:tc>
        <w:tc>
          <w:tcPr>
            <w:tcW w:w="3948" w:type="dxa"/>
            <w:vAlign w:val="center"/>
          </w:tcPr>
          <w:p w14:paraId="500EA56D">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1.《中华人民共和国安全生产法》第四十一条 ……</w:t>
            </w:r>
          </w:p>
          <w:p w14:paraId="63BA6BA4">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生产经营单位应当建立健全并落实生产安全事故隐患排查治理制度，采取技术、管理措施，及时发现并消除事故隐患。</w:t>
            </w:r>
          </w:p>
          <w:p w14:paraId="22494468">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2.《工贸行业重大事故隐患判定标准》（应急管理部令第10号）</w:t>
            </w:r>
          </w:p>
          <w:p w14:paraId="2BEFB76C">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第四条 冶金企业有下列情形之一的，应当判定为重大事故隐患:</w:t>
            </w:r>
          </w:p>
          <w:p w14:paraId="2A105248">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（七）加热炉、煤气柜、除尘器、加压机、烘烤器等设施，以及进入车间前的煤气管道未安装隔断装置的；</w:t>
            </w:r>
          </w:p>
        </w:tc>
        <w:tc>
          <w:tcPr>
            <w:tcW w:w="3224" w:type="dxa"/>
            <w:vAlign w:val="center"/>
          </w:tcPr>
          <w:p w14:paraId="3E6BC5A2">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1.《炼铁安全规程》（AQ 2002-2018）:12.1.6 热风炉煤气总管应有符合 GB6222 要求的可靠隔断装置。煤气支管应有煤气自动切断阀。</w:t>
            </w:r>
          </w:p>
          <w:p w14:paraId="0B59BAB1">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2.《炼钢安全规程》（AQ 2001-2018）13.4.1 煤气进入车间前的管道，应装设可靠的隔断装置。</w:t>
            </w:r>
          </w:p>
          <w:p w14:paraId="36BFDDB0">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3.《钢铁企业煤气储存和输配系统设计规范》（GB 51128-2015） 8.4.1第6款：剩余煤气放散装置应设置隔断装置，调压设施，自动点火设施，燃烧设施，防回火设施和灭火设施等。        8.4.2：煤气管道的隔断装置设计符合下列规定：1、经常检修的部位应设隔断装置；3、蝶阀、闸阀和球阀等单独使用时，不应作为隔断装置，用于U型水封，盲板阀或盲板等其中之一组合使用作为隔断装置。</w:t>
            </w:r>
          </w:p>
          <w:p w14:paraId="288FA9AB">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4.《工业企业煤气安全规程》（GB 6222-2005）</w:t>
            </w:r>
          </w:p>
          <w:p w14:paraId="4B01889F">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6.2.1.10煤气分配主管上支管引接处（热发生炉煤气管除外），必须设置可靠的隔断装置。</w:t>
            </w:r>
          </w:p>
          <w:p w14:paraId="4533D20B">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6.2.1.11　车间冷煤气管的进口设有隔断装置、流量传感元件、压力表接头、取样嘴和放散管等装置时，其操作位置应设在车间外附近的平台上。</w:t>
            </w:r>
          </w:p>
          <w:p w14:paraId="4B399097">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7.1.1当燃烧装置采用强制送风的燃烧嘴时，煤气支管上应装止回装置或自动隔断阀。</w:t>
            </w:r>
          </w:p>
          <w:p w14:paraId="1A9AF07C">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7.2.1一般规定：凡经常检修的部位应设可靠的隔断装置。</w:t>
            </w:r>
          </w:p>
          <w:p w14:paraId="06222ACE">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7.5.2为防止煤气串人蒸汽或氮气管内，只有在通蒸汽或氮气时，才能把蒸汽或氮气管与煤气管道连通，停用时应断开或堵盲板。</w:t>
            </w:r>
          </w:p>
          <w:p w14:paraId="755DD04E">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10.2.1煤气设施停煤气检修时，应可靠地切断煤气来源并将内部煤气吹净。长期检修或停用的煤气设施，应打开上、下人孔、放散管等，保持设施内部的自然通风。</w:t>
            </w:r>
          </w:p>
          <w:p w14:paraId="659FCA48">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tc>
        <w:tc>
          <w:tcPr>
            <w:tcW w:w="3315" w:type="dxa"/>
            <w:vAlign w:val="center"/>
          </w:tcPr>
          <w:p w14:paraId="644D3657">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14:paraId="76233B04">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tc>
        <w:tc>
          <w:tcPr>
            <w:tcW w:w="819" w:type="dxa"/>
            <w:vAlign w:val="center"/>
          </w:tcPr>
          <w:p w14:paraId="49A50521">
            <w:pPr>
              <w:widowControl/>
              <w:adjustRightInd w:val="0"/>
              <w:snapToGrid w:val="0"/>
              <w:jc w:val="center"/>
              <w:rPr>
                <w:rFonts w:hint="eastAsia" w:ascii="宋体" w:hAnsi="宋体" w:cs="宋体"/>
                <w:b/>
                <w:color w:val="auto"/>
                <w:kern w:val="0"/>
                <w:sz w:val="28"/>
                <w:szCs w:val="28"/>
              </w:rPr>
            </w:pPr>
          </w:p>
        </w:tc>
      </w:tr>
      <w:tr w14:paraId="4E06A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570" w:hRule="atLeast"/>
          <w:jc w:val="center"/>
        </w:trPr>
        <w:tc>
          <w:tcPr>
            <w:tcW w:w="862" w:type="dxa"/>
            <w:vAlign w:val="center"/>
          </w:tcPr>
          <w:p w14:paraId="1857A278">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11</w:t>
            </w:r>
          </w:p>
        </w:tc>
        <w:tc>
          <w:tcPr>
            <w:tcW w:w="1976" w:type="dxa"/>
            <w:vAlign w:val="center"/>
          </w:tcPr>
          <w:p w14:paraId="1C64428A">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冶金企业正压煤气输配管线水封式排水器的最高封堵煤气压力不应小于30kPa，同一煤气管道隔断装置的两侧不允许共用一个排水器，不同煤气管道排水器上部的排水管不应连通，不同介质的煤气管道不允许共用一个排水器。</w:t>
            </w:r>
          </w:p>
        </w:tc>
        <w:tc>
          <w:tcPr>
            <w:tcW w:w="3948" w:type="dxa"/>
            <w:vAlign w:val="center"/>
          </w:tcPr>
          <w:p w14:paraId="5A6928FC">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1.《中华人民共和国安全生产法》第四十一条 ……</w:t>
            </w:r>
          </w:p>
          <w:p w14:paraId="13B03620">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生产经营单位应当建立健全并落实生产安全事故隐患排查治理制度，采取技术、管理措施，及时发现并消除事故隐患......</w:t>
            </w:r>
          </w:p>
          <w:p w14:paraId="638D3C17">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2.《工贸行业重大事故隐患判定标准》（应急管理部令第10号）</w:t>
            </w:r>
          </w:p>
          <w:p w14:paraId="6F4AE1CB">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第四条 冶金企业有下列情形之一的，应当判定为重大事故隐患:</w:t>
            </w:r>
          </w:p>
          <w:p w14:paraId="459F2328">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八）正压煤气输配管线水封式排水器的最高封堵煤气压力小于30kPa，或者同一煤气管道隔断装置的两侧共用一个排水器，或者不同煤气管道排水器上部的排水管连通，或者不同介质的煤气管道共用一个排水器的。</w:t>
            </w:r>
          </w:p>
        </w:tc>
        <w:tc>
          <w:tcPr>
            <w:tcW w:w="3224" w:type="dxa"/>
            <w:vAlign w:val="center"/>
          </w:tcPr>
          <w:p w14:paraId="2931E523">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1.《煤气排水器安全技术规程》(AQ 7012-2018)4.1.2 水封式排水器除了满足4.1.1的要求，还应满足以下要求：水封的有效高度应取煤气计算压力加500mmH2O与煤气计算压力1.2倍的较大值，并不得小于3m；</w:t>
            </w:r>
          </w:p>
          <w:p w14:paraId="428FE39F">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2《工业企业煤气安全规程》(GB 6222-2005)7.4.3两条或两条以上的煤气管道及同一煤气管道隔断装置的两侧，宜单独设置排水器。</w:t>
            </w:r>
          </w:p>
          <w:p w14:paraId="211F3EEC">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3.《钢铁企业煤气储存和输配系统设计规范》(GB 51128-2015)8.4.3煤气计算压力小于或等于0.05MPa的煤气管道应采用水封式自动排水器，排水器宜为防泄漏型，煤气管道排水器的布置应符合下列规定：同一煤气管道隔断装置两侧的排水器应分别设置；两个或多个排水器上部的排水管不应连通；不同介质的煤气管道不得共用一个排水器。</w:t>
            </w:r>
          </w:p>
        </w:tc>
        <w:tc>
          <w:tcPr>
            <w:tcW w:w="3315" w:type="dxa"/>
            <w:vAlign w:val="center"/>
          </w:tcPr>
          <w:p w14:paraId="6BE923FB">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14:paraId="2F9F655B">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tc>
        <w:tc>
          <w:tcPr>
            <w:tcW w:w="819" w:type="dxa"/>
            <w:vAlign w:val="center"/>
          </w:tcPr>
          <w:p w14:paraId="199BF362">
            <w:pPr>
              <w:widowControl/>
              <w:adjustRightInd w:val="0"/>
              <w:snapToGrid w:val="0"/>
              <w:jc w:val="center"/>
              <w:rPr>
                <w:rFonts w:hint="eastAsia" w:ascii="宋体" w:hAnsi="宋体" w:cs="宋体"/>
                <w:b/>
                <w:color w:val="auto"/>
                <w:kern w:val="0"/>
                <w:sz w:val="21"/>
                <w:szCs w:val="21"/>
              </w:rPr>
            </w:pPr>
          </w:p>
        </w:tc>
      </w:tr>
      <w:tr w14:paraId="67789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570" w:hRule="atLeast"/>
          <w:jc w:val="center"/>
        </w:trPr>
        <w:tc>
          <w:tcPr>
            <w:tcW w:w="862" w:type="dxa"/>
            <w:vAlign w:val="center"/>
          </w:tcPr>
          <w:p w14:paraId="128B2381">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14:paraId="12D3709B">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14:paraId="2F287939">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14:paraId="084A2DF0">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14:paraId="5A0BEBEB">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14:paraId="50F847DD">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14:paraId="047ADA20">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12</w:t>
            </w:r>
          </w:p>
        </w:tc>
        <w:tc>
          <w:tcPr>
            <w:tcW w:w="1976" w:type="dxa"/>
            <w:vAlign w:val="center"/>
          </w:tcPr>
          <w:p w14:paraId="3DEC723B">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p w14:paraId="302A2FA4">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p w14:paraId="2B4E6BB6">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p w14:paraId="32E4E05D">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p w14:paraId="31A61DDC">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p w14:paraId="00A6C73B">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p w14:paraId="698FF492">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★有色企业熔融金属铸造环节应设置紧急排放和应急储存设施（倾动式熔炼炉、倾动式保温炉、倾动式熔保一体炉、带保温炉的固定式熔炼炉除外）</w:t>
            </w:r>
          </w:p>
        </w:tc>
        <w:tc>
          <w:tcPr>
            <w:tcW w:w="3948" w:type="dxa"/>
            <w:vAlign w:val="center"/>
          </w:tcPr>
          <w:p w14:paraId="2A47AED8">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1.《中华人民共和国安全生产法》第四十一条 ……</w:t>
            </w:r>
          </w:p>
          <w:p w14:paraId="004322BD">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生产经营单位应当建立健全并落实生产安全事故隐患排查治理制度，采取技术、管理措施，及时发现并消除事故隐患......</w:t>
            </w:r>
          </w:p>
          <w:p w14:paraId="2CA0C295">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《冶金企业和有色金属企业安全生产规定》第二十九条  企业对电炉、电解车间应当采取防雨措施和有效的排水设施，防止雨水进入槽下地坪，确保电炉、电解槽下没有积水。企业对电炉、铸造熔炼炉、保温炉、倾翻炉、铸机、流液槽、熔盐电解槽等设备，应当设置熔融金属紧急排放和储存的设施，并在设备周围设置拦挡围堰，防止熔融金属外流。</w:t>
            </w:r>
          </w:p>
          <w:p w14:paraId="54577C4A">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3.《工贸行业重大事故隐患判定标准》（应急管理部令第10号）</w:t>
            </w:r>
          </w:p>
          <w:p w14:paraId="76A64F2D">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第五条 有色企业有下列情形之一的，应当判定为重大事故隐患:</w:t>
            </w:r>
          </w:p>
          <w:p w14:paraId="124691B5">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（三）熔融金属铸造环节未设置紧急排放和应急储存设施的（倾动式熔炼炉、倾动式保温炉、倾动式熔保一体炉、带保温炉的固定式熔炼炉除外）</w:t>
            </w:r>
          </w:p>
          <w:p w14:paraId="1829DAC9">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tc>
        <w:tc>
          <w:tcPr>
            <w:tcW w:w="3224" w:type="dxa"/>
            <w:vAlign w:val="center"/>
          </w:tcPr>
          <w:p w14:paraId="6B8A5157">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1.《高温熔融金属吊运安全规程》（AQ7011-2018）5.9：吊运高温熔融金属和熔渣的区域应设置事故罐，事故罐放置应在专用位置或专用支架上，并设置明显安全警示标识。</w:t>
            </w:r>
          </w:p>
        </w:tc>
        <w:tc>
          <w:tcPr>
            <w:tcW w:w="3315" w:type="dxa"/>
            <w:vAlign w:val="center"/>
          </w:tcPr>
          <w:p w14:paraId="4AE44DC1">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14:paraId="7B4ABCC6">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2.《冶金企业和有色金属企业安全生产规定》</w:t>
            </w:r>
            <w:r>
              <w:rPr>
                <w:rFonts w:hint="default" w:ascii="宋体" w:hAnsi="宋体" w:eastAsia="宋体" w:cs="宋体"/>
                <w:i w:val="0"/>
                <w:iCs w:val="0"/>
                <w:color w:val="000000"/>
                <w:kern w:val="0"/>
                <w:sz w:val="21"/>
                <w:szCs w:val="21"/>
                <w:u w:val="none"/>
                <w:lang w:val="en-US" w:eastAsia="zh-CN" w:bidi="ar"/>
              </w:rPr>
              <w:t>第四十六条</w:t>
            </w:r>
            <w:r>
              <w:rPr>
                <w:rFonts w:hint="eastAsia" w:ascii="宋体" w:hAnsi="宋体" w:eastAsia="宋体" w:cs="宋体"/>
                <w:i w:val="0"/>
                <w:iCs w:val="0"/>
                <w:color w:val="000000"/>
                <w:kern w:val="0"/>
                <w:sz w:val="21"/>
                <w:szCs w:val="21"/>
                <w:u w:val="none"/>
                <w:lang w:val="en-US" w:eastAsia="zh-CN" w:bidi="ar"/>
              </w:rPr>
              <w:t xml:space="preserve">  </w:t>
            </w:r>
            <w:r>
              <w:rPr>
                <w:rFonts w:hint="default" w:ascii="宋体" w:hAnsi="宋体" w:eastAsia="宋体" w:cs="宋体"/>
                <w:i w:val="0"/>
                <w:iCs w:val="0"/>
                <w:color w:val="000000"/>
                <w:kern w:val="0"/>
                <w:sz w:val="21"/>
                <w:szCs w:val="21"/>
                <w:u w:val="none"/>
                <w:lang w:val="en-US" w:eastAsia="zh-CN" w:bidi="ar"/>
              </w:rPr>
              <w:t>企业违反本规定第二十四条至第三十七条的规定，构成生产安全事故隐患的，责令立即消除或者限期消除事故隐患；企业拒不执行的，责令停产停业整顿，并处十万元以上五十万元以下的罚款，对其直接负责的主管人员和其他直接责任人员处二万元以上五万元以下的罚款。</w:t>
            </w:r>
          </w:p>
        </w:tc>
        <w:tc>
          <w:tcPr>
            <w:tcW w:w="819" w:type="dxa"/>
            <w:vAlign w:val="center"/>
          </w:tcPr>
          <w:p w14:paraId="01524572">
            <w:pPr>
              <w:widowControl/>
              <w:adjustRightInd w:val="0"/>
              <w:snapToGrid w:val="0"/>
              <w:jc w:val="center"/>
              <w:rPr>
                <w:rFonts w:hint="eastAsia" w:ascii="宋体" w:hAnsi="宋体" w:cs="宋体"/>
                <w:b/>
                <w:color w:val="auto"/>
                <w:kern w:val="0"/>
                <w:sz w:val="21"/>
                <w:szCs w:val="21"/>
              </w:rPr>
            </w:pPr>
          </w:p>
        </w:tc>
      </w:tr>
      <w:tr w14:paraId="468CA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570" w:hRule="atLeast"/>
          <w:jc w:val="center"/>
        </w:trPr>
        <w:tc>
          <w:tcPr>
            <w:tcW w:w="862" w:type="dxa"/>
            <w:vAlign w:val="center"/>
          </w:tcPr>
          <w:p w14:paraId="07A632C4">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13</w:t>
            </w:r>
          </w:p>
        </w:tc>
        <w:tc>
          <w:tcPr>
            <w:tcW w:w="1976" w:type="dxa"/>
            <w:vAlign w:val="center"/>
          </w:tcPr>
          <w:p w14:paraId="0EE9138C">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p w14:paraId="2F52B5AA">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p w14:paraId="6E640996">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p w14:paraId="71F6C2D2">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p w14:paraId="1F553B81">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p w14:paraId="693BEF5A">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p w14:paraId="4D73724B">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p w14:paraId="6C3E9157">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★有色企业采用水冷冷却的冶炼炉窑、铸造机（铝加工深井铸造工艺的结晶器除外）、加热炉应设置应急水源的；</w:t>
            </w:r>
          </w:p>
        </w:tc>
        <w:tc>
          <w:tcPr>
            <w:tcW w:w="3948" w:type="dxa"/>
            <w:vAlign w:val="center"/>
          </w:tcPr>
          <w:p w14:paraId="37A5FE9C">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1.《中华人民共和国安全生产法》第四十一条 ……</w:t>
            </w:r>
          </w:p>
          <w:p w14:paraId="69C33F1E">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生产经营单位应当建立健全并落实生产安全事故隐患排查治理制度，采取技术、管理措施，及时发现并消除事故隐患......</w:t>
            </w:r>
          </w:p>
          <w:p w14:paraId="5E2A6DC6">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2.《工贸行业重大事故隐患判定标准》（应急管理部令第10号）</w:t>
            </w:r>
          </w:p>
          <w:p w14:paraId="34F855C5">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第五条 有色企业有下列情形之一的，应当判定为重大事故隐患:</w:t>
            </w:r>
          </w:p>
          <w:p w14:paraId="2A04BF8D">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（四）采用水冷冷却的冶炼炉窑、铸造机（铝加工深井铸造工艺的结晶器除外）、加热炉应设置应急水源的；</w:t>
            </w:r>
          </w:p>
        </w:tc>
        <w:tc>
          <w:tcPr>
            <w:tcW w:w="3224" w:type="dxa"/>
            <w:vAlign w:val="center"/>
          </w:tcPr>
          <w:p w14:paraId="4A04D770">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1.金属冶炼企业禁止使用的设备及工艺目录（第一批）》（安监总管四〔2017〕142号）13.深井浇铸结晶器的循环水系统未设置应急水源或循环水水泵未设置应急电源。</w:t>
            </w:r>
          </w:p>
          <w:p w14:paraId="7025F79C">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2.《铸造机械安全要求》（GB 20905-2007）</w:t>
            </w:r>
          </w:p>
          <w:p w14:paraId="59638946">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10.4  工作中不允许因停电而造成水冷和其他系统中断的机器，应另设维持水冷和其他系统正常工作的附属装置。</w:t>
            </w:r>
          </w:p>
          <w:p w14:paraId="154D380B">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3.《铜及铜合金熔铸安全设计规范》（GB 30187-2013）</w:t>
            </w:r>
          </w:p>
          <w:p w14:paraId="264245CB">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6.2.2 有芯感应炉应设置应急电源，有芯感应炉和无芯感应炉应设置应急水；铸造机的结晶器应设置应急水；</w:t>
            </w:r>
          </w:p>
          <w:p w14:paraId="6BEF6385">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3.《铜冶炼厂工艺设计规范》（GB 50616-2010）</w:t>
            </w:r>
          </w:p>
          <w:p w14:paraId="3C45E6FD">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6.2.12  闪速炉冷却水必须连续供水，不得中断，水压应稳定。</w:t>
            </w:r>
          </w:p>
          <w:p w14:paraId="2C05757C">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6.3.12.3  顶吹浸没熔炼安全措施必须符合下列规定：炉体冷却元件供水不得中断，水压应稳定，冷却水应使用硬度低的净化水。</w:t>
            </w:r>
          </w:p>
          <w:p w14:paraId="192F09A2">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6.7.11  三菱熔炼炉冷却水必须连续供水，不得中断，水压应稳定，冷却水应为净化水。</w:t>
            </w:r>
          </w:p>
          <w:p w14:paraId="5CB8367A">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6.8.10  瓦纽科夫熔炼炉冷却水必须连续供水，不得中断，水压应稳定，冷却水应为净化水。GB50735-2011《铁合金工艺及设备设计规范》5.1.2：电炉冷却水系统应有30分钟的事故供水能力及供水量，不用小于正常用水量的1/3。</w:t>
            </w:r>
          </w:p>
          <w:p w14:paraId="64739E1D">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4.《有色金属工程设计防火规范》（GB 50630-2010）4.5.5第6款：冶炼炉及其配套设施的密闭冷却水系统应设置温度、压力、流量的检测以及事故报警信号和联锁控制装置，并宜独立设置循环水系统和应急供水装置。5.《生产过程安全卫生要求总则》（GBT12801-2008）5.3.2：对工艺、作业和施工过程的控制、检测系统的要求：a）对事故后果严重的生产过程，应按冗余原则，设计备用装置或备用系统，并能保证在出现危险时能自动转换到备用装置或备用系统。</w:t>
            </w:r>
          </w:p>
          <w:p w14:paraId="26AFD69B">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tc>
        <w:tc>
          <w:tcPr>
            <w:tcW w:w="3315" w:type="dxa"/>
            <w:vAlign w:val="center"/>
          </w:tcPr>
          <w:p w14:paraId="5829C1CB">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14:paraId="7220A915">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tc>
        <w:tc>
          <w:tcPr>
            <w:tcW w:w="819" w:type="dxa"/>
            <w:vAlign w:val="center"/>
          </w:tcPr>
          <w:p w14:paraId="487D91B8">
            <w:pPr>
              <w:widowControl/>
              <w:adjustRightInd w:val="0"/>
              <w:snapToGrid w:val="0"/>
              <w:jc w:val="center"/>
              <w:rPr>
                <w:rFonts w:hint="eastAsia" w:ascii="宋体" w:hAnsi="宋体" w:cs="宋体"/>
                <w:b/>
                <w:color w:val="auto"/>
                <w:kern w:val="0"/>
                <w:sz w:val="21"/>
                <w:szCs w:val="21"/>
              </w:rPr>
            </w:pPr>
          </w:p>
        </w:tc>
      </w:tr>
      <w:tr w14:paraId="0B1EB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570" w:hRule="atLeast"/>
          <w:jc w:val="center"/>
        </w:trPr>
        <w:tc>
          <w:tcPr>
            <w:tcW w:w="862" w:type="dxa"/>
            <w:vAlign w:val="center"/>
          </w:tcPr>
          <w:p w14:paraId="38026888">
            <w:pPr>
              <w:keepNext w:val="0"/>
              <w:keepLines w:val="0"/>
              <w:widowControl/>
              <w:suppressLineNumbers w:val="0"/>
              <w:jc w:val="center"/>
              <w:textAlignment w:val="center"/>
              <w:rPr>
                <w:rFonts w:hint="eastAsia" w:ascii="宋体" w:hAnsi="宋体" w:eastAsia="宋体" w:cs="宋体"/>
                <w:b w:val="0"/>
                <w:bCs/>
                <w:color w:val="auto"/>
                <w:kern w:val="0"/>
                <w:sz w:val="21"/>
                <w:szCs w:val="21"/>
                <w:lang w:val="en-US" w:eastAsia="zh-CN"/>
              </w:rPr>
            </w:pPr>
          </w:p>
          <w:p w14:paraId="377A8785">
            <w:pPr>
              <w:keepNext w:val="0"/>
              <w:keepLines w:val="0"/>
              <w:widowControl/>
              <w:suppressLineNumbers w:val="0"/>
              <w:jc w:val="center"/>
              <w:textAlignment w:val="center"/>
              <w:rPr>
                <w:rFonts w:hint="eastAsia" w:ascii="宋体" w:hAnsi="宋体" w:eastAsia="宋体" w:cs="宋体"/>
                <w:b w:val="0"/>
                <w:bCs/>
                <w:color w:val="auto"/>
                <w:kern w:val="0"/>
                <w:sz w:val="21"/>
                <w:szCs w:val="21"/>
                <w:lang w:val="en-US" w:eastAsia="zh-CN"/>
              </w:rPr>
            </w:pPr>
          </w:p>
          <w:p w14:paraId="3F52C847">
            <w:pPr>
              <w:keepNext w:val="0"/>
              <w:keepLines w:val="0"/>
              <w:widowControl/>
              <w:suppressLineNumbers w:val="0"/>
              <w:jc w:val="center"/>
              <w:textAlignment w:val="center"/>
              <w:rPr>
                <w:rFonts w:hint="eastAsia" w:ascii="宋体" w:hAnsi="宋体" w:eastAsia="宋体" w:cs="宋体"/>
                <w:b w:val="0"/>
                <w:bCs/>
                <w:color w:val="auto"/>
                <w:kern w:val="0"/>
                <w:sz w:val="21"/>
                <w:szCs w:val="21"/>
                <w:lang w:val="en-US" w:eastAsia="zh-CN"/>
              </w:rPr>
            </w:pPr>
          </w:p>
          <w:p w14:paraId="49FFA790">
            <w:pPr>
              <w:keepNext w:val="0"/>
              <w:keepLines w:val="0"/>
              <w:widowControl/>
              <w:suppressLineNumbers w:val="0"/>
              <w:jc w:val="center"/>
              <w:textAlignment w:val="center"/>
              <w:rPr>
                <w:rFonts w:hint="eastAsia" w:ascii="宋体" w:hAnsi="宋体" w:eastAsia="宋体" w:cs="宋体"/>
                <w:b w:val="0"/>
                <w:bCs/>
                <w:color w:val="auto"/>
                <w:kern w:val="0"/>
                <w:sz w:val="21"/>
                <w:szCs w:val="21"/>
                <w:lang w:val="en-US" w:eastAsia="zh-CN"/>
              </w:rPr>
            </w:pPr>
          </w:p>
          <w:p w14:paraId="4EA97881">
            <w:pPr>
              <w:keepNext w:val="0"/>
              <w:keepLines w:val="0"/>
              <w:widowControl/>
              <w:suppressLineNumbers w:val="0"/>
              <w:jc w:val="center"/>
              <w:textAlignment w:val="center"/>
              <w:rPr>
                <w:rFonts w:hint="eastAsia" w:ascii="宋体" w:hAnsi="宋体" w:eastAsia="宋体" w:cs="宋体"/>
                <w:b w:val="0"/>
                <w:bCs/>
                <w:color w:val="auto"/>
                <w:kern w:val="0"/>
                <w:sz w:val="21"/>
                <w:szCs w:val="21"/>
                <w:lang w:val="en-US" w:eastAsia="zh-CN"/>
              </w:rPr>
            </w:pPr>
          </w:p>
          <w:p w14:paraId="632ABE88">
            <w:pPr>
              <w:keepNext w:val="0"/>
              <w:keepLines w:val="0"/>
              <w:widowControl/>
              <w:suppressLineNumbers w:val="0"/>
              <w:jc w:val="center"/>
              <w:textAlignment w:val="center"/>
              <w:rPr>
                <w:rFonts w:hint="eastAsia" w:ascii="宋体" w:hAnsi="宋体" w:eastAsia="宋体" w:cs="宋体"/>
                <w:b w:val="0"/>
                <w:bCs/>
                <w:color w:val="auto"/>
                <w:kern w:val="0"/>
                <w:sz w:val="21"/>
                <w:szCs w:val="21"/>
                <w:lang w:val="en-US" w:eastAsia="zh-CN"/>
              </w:rPr>
            </w:pPr>
          </w:p>
          <w:p w14:paraId="3283032D">
            <w:pPr>
              <w:keepNext w:val="0"/>
              <w:keepLines w:val="0"/>
              <w:widowControl/>
              <w:suppressLineNumbers w:val="0"/>
              <w:jc w:val="center"/>
              <w:textAlignment w:val="center"/>
              <w:rPr>
                <w:rFonts w:hint="eastAsia" w:ascii="宋体" w:hAnsi="宋体" w:eastAsia="宋体" w:cs="宋体"/>
                <w:b w:val="0"/>
                <w:bCs/>
                <w:color w:val="auto"/>
                <w:kern w:val="0"/>
                <w:sz w:val="21"/>
                <w:szCs w:val="21"/>
                <w:lang w:val="en-US" w:eastAsia="zh-CN"/>
              </w:rPr>
            </w:pPr>
          </w:p>
          <w:p w14:paraId="0B0C010F">
            <w:pPr>
              <w:keepNext w:val="0"/>
              <w:keepLines w:val="0"/>
              <w:widowControl/>
              <w:suppressLineNumbers w:val="0"/>
              <w:jc w:val="center"/>
              <w:textAlignment w:val="center"/>
              <w:rPr>
                <w:rFonts w:hint="eastAsia" w:ascii="宋体" w:hAnsi="宋体" w:eastAsia="宋体" w:cs="宋体"/>
                <w:b w:val="0"/>
                <w:bCs/>
                <w:color w:val="auto"/>
                <w:kern w:val="0"/>
                <w:sz w:val="21"/>
                <w:szCs w:val="21"/>
                <w:lang w:val="en-US" w:eastAsia="zh-CN"/>
              </w:rPr>
            </w:pPr>
          </w:p>
          <w:p w14:paraId="2C6A2471">
            <w:pPr>
              <w:keepNext w:val="0"/>
              <w:keepLines w:val="0"/>
              <w:widowControl/>
              <w:suppressLineNumbers w:val="0"/>
              <w:jc w:val="center"/>
              <w:textAlignment w:val="center"/>
              <w:rPr>
                <w:rFonts w:hint="eastAsia" w:ascii="宋体" w:hAnsi="宋体" w:eastAsia="宋体" w:cs="宋体"/>
                <w:b w:val="0"/>
                <w:bCs/>
                <w:color w:val="auto"/>
                <w:kern w:val="0"/>
                <w:sz w:val="21"/>
                <w:szCs w:val="21"/>
                <w:lang w:val="en-US" w:eastAsia="zh-CN"/>
              </w:rPr>
            </w:pPr>
          </w:p>
          <w:p w14:paraId="722D146A">
            <w:pPr>
              <w:keepNext w:val="0"/>
              <w:keepLines w:val="0"/>
              <w:widowControl/>
              <w:suppressLineNumbers w:val="0"/>
              <w:jc w:val="center"/>
              <w:textAlignment w:val="center"/>
              <w:rPr>
                <w:rFonts w:hint="eastAsia" w:ascii="宋体" w:hAnsi="宋体" w:eastAsia="宋体" w:cs="宋体"/>
                <w:b w:val="0"/>
                <w:bCs/>
                <w:color w:val="auto"/>
                <w:kern w:val="0"/>
                <w:sz w:val="21"/>
                <w:szCs w:val="21"/>
                <w:lang w:val="en-US" w:eastAsia="zh-CN"/>
              </w:rPr>
            </w:pPr>
          </w:p>
          <w:p w14:paraId="3491EBEC">
            <w:pPr>
              <w:keepNext w:val="0"/>
              <w:keepLines w:val="0"/>
              <w:widowControl/>
              <w:suppressLineNumbers w:val="0"/>
              <w:jc w:val="center"/>
              <w:textAlignment w:val="center"/>
              <w:rPr>
                <w:rFonts w:hint="eastAsia" w:ascii="宋体" w:hAnsi="宋体" w:eastAsia="宋体" w:cs="宋体"/>
                <w:b w:val="0"/>
                <w:bCs/>
                <w:color w:val="auto"/>
                <w:kern w:val="0"/>
                <w:sz w:val="21"/>
                <w:szCs w:val="21"/>
                <w:lang w:val="en-US" w:eastAsia="zh-CN"/>
              </w:rPr>
            </w:pPr>
            <w:r>
              <w:rPr>
                <w:rFonts w:hint="eastAsia" w:ascii="宋体" w:hAnsi="宋体" w:eastAsia="宋体" w:cs="宋体"/>
                <w:b w:val="0"/>
                <w:bCs/>
                <w:color w:val="auto"/>
                <w:kern w:val="0"/>
                <w:sz w:val="21"/>
                <w:szCs w:val="21"/>
                <w:lang w:val="en-US" w:eastAsia="zh-CN"/>
              </w:rPr>
              <w:t>14</w:t>
            </w:r>
          </w:p>
        </w:tc>
        <w:tc>
          <w:tcPr>
            <w:tcW w:w="1976" w:type="dxa"/>
            <w:vAlign w:val="center"/>
          </w:tcPr>
          <w:p w14:paraId="5274E472">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p w14:paraId="6886E744">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p w14:paraId="5B83D1D3">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p w14:paraId="65475D08">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p w14:paraId="47C41F2F">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p w14:paraId="09F05E58">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★有色企业熔融金属冶炼炉窑的闭路循环水冷元件应设置出水温度、进出水流量差监测报警装置，开路水冷元件应设置进水流量、压力监测报警装置，应监测开路水冷元件出水温度</w:t>
            </w:r>
          </w:p>
        </w:tc>
        <w:tc>
          <w:tcPr>
            <w:tcW w:w="3948" w:type="dxa"/>
            <w:vAlign w:val="center"/>
          </w:tcPr>
          <w:p w14:paraId="1EDE0A55">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1.《中华人民共和国安全生产法》第四十一条 ……</w:t>
            </w:r>
          </w:p>
          <w:p w14:paraId="7F7D2B9C">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生产经营单位应当建立健全并落实生产安全事故隐患排查治理制度，采取技术、管理措施，及时发现并消除事故隐患......</w:t>
            </w:r>
          </w:p>
          <w:p w14:paraId="619421BF">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2.《工贸行业重大事故隐患判定标准》（应急管理部令第10号）</w:t>
            </w:r>
          </w:p>
          <w:p w14:paraId="27D251BA">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第五条 有色企业有下列情形之一的，应当判定为重大事故隐患:</w:t>
            </w:r>
          </w:p>
          <w:p w14:paraId="6C4F208B">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（五）熔融金属冶炼炉窑的闭路循环水冷元件未设置出水温度、进出水流量差监测报警装置，或者开路水冷元件未设置进水流量、压力监测报警装置，或者未监测开路水冷元件出水温度的；</w:t>
            </w:r>
          </w:p>
        </w:tc>
        <w:tc>
          <w:tcPr>
            <w:tcW w:w="3224" w:type="dxa"/>
            <w:vAlign w:val="center"/>
          </w:tcPr>
          <w:p w14:paraId="4CDA0A0F">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金属冶炼企业禁止使用的设备及工艺目录（第一批）》（安监总管四〔2017〕142号）14.有色金属冶炼炉、熔炼炉及炉渣处理烟化炉冷却水系统未设置温度、流量、压力检测报警装置。2.《铁合金工艺及设备设计规范》（GB50735-2011）3.1.11：供水压力应保持在0.3MPa~0.5MPa，进水总管应设有温度、压力测量装置。回水各支管课设温度流量检测，并应在每根回水管的回水槽处设置标记。</w:t>
            </w:r>
          </w:p>
          <w:p w14:paraId="43A05F2A">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3. 《有色金属工程设计防火规范》（GB 50630-2010）4.5.5第6款：冶炼炉及其配套设施的密闭冷却水系统应设置温度、压力、流量的检测以及事故报警信号和联锁控制装置。 </w:t>
            </w:r>
          </w:p>
          <w:p w14:paraId="3996A01B">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4.《有色金属治炼厂自控设计规范》 ）GB 50891-2013）5 重有色金属火法冶炼：5.4.7 冷却水系统检测与控制应包括下列内容:1 冷却水总管、反应塔区冷却水、沉淀池区冷却水、上升烟道区冷却水流量检测。2 冷却水总管温度、压力检测。3 冷却水套出口温度检测。8 电解铝8.2.3 铝链铸造检测与控制应包括循环水压力、流量检测。8.2.4 阳极组装检测与控制应包括下列内容:1 循环水、天然气压力、流量检测。8.3.1 罐式炉锻烧检测与控制应包括下列内容4：冷却水出水温度、进水流量检测；5：连续混捏生阳极制造检测与控制应包括下列内容:压缩空气、冷却水压力、流量检测。8.3.5敞开环式阳极焙烧炉检测与控制应包括下列内容:炭块清理、编组机组的冷却水管路压力、流量检测。9.4 镁电解及镁精炼检测与控制应包括下列内容:2 头槽冷却循环水出水温度检测。4 头槽冷却循环水进水压力检测。6 头槽冷却循环水出水流量检测。</w:t>
            </w:r>
          </w:p>
        </w:tc>
        <w:tc>
          <w:tcPr>
            <w:tcW w:w="3315" w:type="dxa"/>
            <w:vAlign w:val="center"/>
          </w:tcPr>
          <w:p w14:paraId="7867A4B7">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14:paraId="1CE3E0E0">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tc>
        <w:tc>
          <w:tcPr>
            <w:tcW w:w="819" w:type="dxa"/>
            <w:vAlign w:val="center"/>
          </w:tcPr>
          <w:p w14:paraId="711D99B7">
            <w:pPr>
              <w:widowControl/>
              <w:adjustRightInd w:val="0"/>
              <w:snapToGrid w:val="0"/>
              <w:jc w:val="center"/>
              <w:rPr>
                <w:rFonts w:hint="eastAsia" w:ascii="宋体" w:hAnsi="宋体" w:cs="宋体"/>
                <w:b/>
                <w:color w:val="auto"/>
                <w:kern w:val="0"/>
                <w:sz w:val="21"/>
                <w:szCs w:val="21"/>
              </w:rPr>
            </w:pPr>
          </w:p>
        </w:tc>
      </w:tr>
      <w:tr w14:paraId="0768B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570" w:hRule="atLeast"/>
          <w:jc w:val="center"/>
        </w:trPr>
        <w:tc>
          <w:tcPr>
            <w:tcW w:w="862" w:type="dxa"/>
            <w:vAlign w:val="center"/>
          </w:tcPr>
          <w:p w14:paraId="3A41E6D8">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15</w:t>
            </w:r>
          </w:p>
        </w:tc>
        <w:tc>
          <w:tcPr>
            <w:tcW w:w="1976" w:type="dxa"/>
            <w:vAlign w:val="center"/>
          </w:tcPr>
          <w:p w14:paraId="46188C87">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有色企业可能发生一氧化碳、砷化氢、氯气、硫化氢等4种有毒气体泄漏、积聚的场所和部位应设置固定式气体浓度监测报警装置，监测数据应接入24小时有人值守场所，对可能有砷化氢气体的场所和部位应采取同等效果的检测措施；</w:t>
            </w:r>
          </w:p>
        </w:tc>
        <w:tc>
          <w:tcPr>
            <w:tcW w:w="3948" w:type="dxa"/>
            <w:vAlign w:val="center"/>
          </w:tcPr>
          <w:p w14:paraId="735CEF9C">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1.《中华人民共和国安全生产法》第四十一条 ……</w:t>
            </w:r>
          </w:p>
          <w:p w14:paraId="3F9FD062">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生产经营单位应当建立健全并落实生产安全事故隐患排查治理制度，采取技术、管理措施，及时发现并消除事故隐患......</w:t>
            </w:r>
          </w:p>
          <w:p w14:paraId="288E117E">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《冶金企业和有色金属企业安全生产规定》</w:t>
            </w:r>
          </w:p>
          <w:p w14:paraId="7FF8005D">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第三十二条： 生产、储存、使用煤气的企业应当严格执行《工业企业煤气安全规程》（GB6222），在可能发生煤气泄漏、聚集的场所，设置固定式煤气检测报警仪和安全警示标志。</w:t>
            </w:r>
          </w:p>
          <w:p w14:paraId="551B85DF">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第三十七条：企业对生产过程中存在二氧化硫、氯气、砷化氢、氟化氢等有毒有害气体的工作场所，应当采取防止人员中毒的措施。</w:t>
            </w:r>
          </w:p>
          <w:p w14:paraId="5742A992">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3.《工贸行业重大事故隐患判定标准》（应急管理部令第10号）</w:t>
            </w:r>
          </w:p>
          <w:p w14:paraId="51E7E4D6">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第五条 有色企业有下列情形之一的，应当判定为重大事故隐患:</w:t>
            </w:r>
          </w:p>
          <w:p w14:paraId="71777BE9">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十）可能发生一氧化碳、砷化氢、氯气、硫化氢等4种有毒气体泄漏、积聚的场所和部位未设置固定式气体浓度监测报警装置，或者监测数据未接入24小时有人值守场所，或者未对可能有砷化氢气体的场所和部位采取同等效果的检测措施的；</w:t>
            </w:r>
          </w:p>
        </w:tc>
        <w:tc>
          <w:tcPr>
            <w:tcW w:w="3224" w:type="dxa"/>
            <w:vAlign w:val="center"/>
          </w:tcPr>
          <w:p w14:paraId="5788AF9C">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关于使用危险化学品单位安全监管有关问题的复函》(安监总厅管三函〔2012〕97号)：三、关于使用危险化学品的单位设置安全设施、设备有关适用标准：使用危险化学品的单位在作业场所设置相应监测、监控、防静电等安全设施、设备时，应当执行《建筑设计防火规范》（GB 50016）、《石油化工企业设计防火规范》（GB 50160）、《石油化工可燃气体和有毒气体检测报警设计规范》（GB 50493）等有关标准。</w:t>
            </w:r>
          </w:p>
          <w:p w14:paraId="6CA2BF5A">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2.《关于造纸等工贸企业配套危险化学品生产储存装置安全监管有关问题的复函》安监总厅管四〔2013〕180号：鉴于工贸企业内部配套建设的危险化学品生产装置和储存设施具有高危性，应从规划、设计、建设、使用等环节，严格按照国家有关危险化学品的法律法规、标准规范要求，做好危险化学品安全生产工作；对于涉及重点监管危险化学品、重点监管危险化工工艺和危险化学品重大危险源的生产装置，要完善自动化控制设施，建立健全监控体系，防止事故发生。</w:t>
            </w:r>
          </w:p>
          <w:p w14:paraId="73461F7A">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3.《工业企业设计卫生标准》（GBZ1-2010）:                           6.1.5.2:在生产中可能突然逸出大量有害物质或易造成急性中毒或易燃易爆的化学物质的室内作业场所，应设置事故通风装置及与事故排风系统相连锁的泄漏报警装置。6.1.6.1:检测报警点应根据 GBZ/T233的要求，设在存在、生产或使用有毒气体的工作地点，包括可能释放高毒、剧毒气体的作业场所，可能大量释放或容易聚集的其他有毒气体的工作地点也应设置检测报警点。</w:t>
            </w:r>
          </w:p>
          <w:p w14:paraId="2B455347">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6.1.6.2:应设置有毒气体检测报警仪的工作地点，宜采用固定式，当不具备设置固定式的条件时，应配置便携式检测报警仪。6.1.6.3:毒物报警值应根据有毒气体毒性和现场实际情况至少设警报值和高报值。预报值为MAC或PC-STEL的1/2，无PC-STEL的化学物质，警报值可设在相应超限倍数值的1/2；警报值为MAC或PC-STEL值，无PC-STEL的化学物质，警报值可设在相应的超限倍数值；高报值应综合考虑有毒气体毒性、作业人员情况、事故后果、工艺设备等各种因素后设定。</w:t>
            </w:r>
          </w:p>
          <w:p w14:paraId="6E6F911B">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4.《石油化工可燃气体和有毒气体检测报警设计标准》 （GBT50493-2019）3.0.1：在生产或使用可燃气体及有毒气体的生产设施及储运设施的区域内，泄漏气体中可燃气体浓度可能达到报警设定值时，应设置可燃气体探测器；泄漏气体中有毒气体浓度可能达到报警设定值时，应设置有毒气体探测器；3.0.3 可燃气体和有毒气体检测报警信号应送至有人值守的现场控制室、中心控制室等进行显示报警；可燃气体二级报警信号、可燃气体及有毒气体检测报警系统报警控制单元的故障信号应送至消防控制室。                                                     </w:t>
            </w:r>
          </w:p>
        </w:tc>
        <w:tc>
          <w:tcPr>
            <w:tcW w:w="3315" w:type="dxa"/>
            <w:vAlign w:val="center"/>
          </w:tcPr>
          <w:p w14:paraId="54679C76">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14:paraId="6671A564">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2.《冶金企业和有色金属企业安全生产规定》</w:t>
            </w:r>
            <w:r>
              <w:rPr>
                <w:rFonts w:hint="default" w:ascii="宋体" w:hAnsi="宋体" w:eastAsia="宋体" w:cs="宋体"/>
                <w:i w:val="0"/>
                <w:iCs w:val="0"/>
                <w:color w:val="000000"/>
                <w:kern w:val="0"/>
                <w:sz w:val="21"/>
                <w:szCs w:val="21"/>
                <w:u w:val="none"/>
                <w:lang w:val="en-US" w:eastAsia="zh-CN" w:bidi="ar"/>
              </w:rPr>
              <w:t>第四十六条</w:t>
            </w:r>
            <w:r>
              <w:rPr>
                <w:rFonts w:hint="eastAsia" w:ascii="宋体" w:hAnsi="宋体" w:eastAsia="宋体" w:cs="宋体"/>
                <w:i w:val="0"/>
                <w:iCs w:val="0"/>
                <w:color w:val="000000"/>
                <w:kern w:val="0"/>
                <w:sz w:val="21"/>
                <w:szCs w:val="21"/>
                <w:u w:val="none"/>
                <w:lang w:val="en-US" w:eastAsia="zh-CN" w:bidi="ar"/>
              </w:rPr>
              <w:t xml:space="preserve">  </w:t>
            </w:r>
            <w:r>
              <w:rPr>
                <w:rFonts w:hint="default" w:ascii="宋体" w:hAnsi="宋体" w:eastAsia="宋体" w:cs="宋体"/>
                <w:i w:val="0"/>
                <w:iCs w:val="0"/>
                <w:color w:val="000000"/>
                <w:kern w:val="0"/>
                <w:sz w:val="21"/>
                <w:szCs w:val="21"/>
                <w:u w:val="none"/>
                <w:lang w:val="en-US" w:eastAsia="zh-CN" w:bidi="ar"/>
              </w:rPr>
              <w:t>企业违反本规定第二十四条至第三十七条的规定，构成生产安全事故隐患的，责令立即消除或者限期消除事故隐患；企业拒不执行的，责令停产停业整顿，并处十万元以上五十万元以下的罚款，对其直接负责的主管人员和其他直接责任人员处二万元以上五万元以下的罚款。</w:t>
            </w:r>
          </w:p>
        </w:tc>
        <w:tc>
          <w:tcPr>
            <w:tcW w:w="819" w:type="dxa"/>
            <w:vAlign w:val="center"/>
          </w:tcPr>
          <w:p w14:paraId="613DD787">
            <w:pPr>
              <w:widowControl/>
              <w:adjustRightInd w:val="0"/>
              <w:snapToGrid w:val="0"/>
              <w:jc w:val="center"/>
              <w:rPr>
                <w:rFonts w:hint="eastAsia" w:ascii="宋体" w:hAnsi="宋体" w:cs="宋体"/>
                <w:b/>
                <w:color w:val="auto"/>
                <w:kern w:val="0"/>
                <w:sz w:val="21"/>
                <w:szCs w:val="21"/>
              </w:rPr>
            </w:pPr>
          </w:p>
        </w:tc>
      </w:tr>
      <w:tr w14:paraId="41486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570" w:hRule="atLeast"/>
          <w:jc w:val="center"/>
        </w:trPr>
        <w:tc>
          <w:tcPr>
            <w:tcW w:w="862" w:type="dxa"/>
            <w:vAlign w:val="center"/>
          </w:tcPr>
          <w:p w14:paraId="652CE980">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16</w:t>
            </w:r>
          </w:p>
        </w:tc>
        <w:tc>
          <w:tcPr>
            <w:tcW w:w="1976" w:type="dxa"/>
            <w:vAlign w:val="center"/>
          </w:tcPr>
          <w:p w14:paraId="04F7C489">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有色企业使用煤气（天然气）并强制送风的燃烧装置的或机械企业使用煤气(天然气)的燃烧装置的燃气总管应设置压力监测报警装置，监测报警装置应与紧急自动切断装置联锁；且机械企业燃烧装置应设置火焰监测和熄火保护系统</w:t>
            </w:r>
          </w:p>
          <w:p w14:paraId="0CD462B3">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tc>
        <w:tc>
          <w:tcPr>
            <w:tcW w:w="3948" w:type="dxa"/>
            <w:vAlign w:val="center"/>
          </w:tcPr>
          <w:p w14:paraId="6B187647">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1.《中华人民共和国安全生产法》第四十一条 ……</w:t>
            </w:r>
          </w:p>
          <w:p w14:paraId="7261B1DD">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生产经营单位应当建立健全并落实生产安全事故隐患排查治理制度，采取技术、管理措施，及时发现并消除事故隐患......</w:t>
            </w:r>
          </w:p>
          <w:p w14:paraId="4D51EAD1">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2.《工贸行业重大事故隐患判定标准》（应急管理部令第10号）</w:t>
            </w:r>
          </w:p>
          <w:p w14:paraId="5A39C232">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第五条 有色企业有下列情形之一的，应当判定为重大事故隐患:</w:t>
            </w:r>
          </w:p>
          <w:p w14:paraId="3224C6DB">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（十二）使用煤气（天然气）并强制送风的燃烧装置的燃气总管未设置压力监测报警装置，或者监测报警装置未与紧急自动切断装置联锁的；</w:t>
            </w:r>
          </w:p>
          <w:p w14:paraId="60B3CA94">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第七条 机械企业有下列情形之一的，应当判定为重大事故隐患：</w:t>
            </w:r>
          </w:p>
          <w:p w14:paraId="6F7384D5">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（五）使用煤气(天然气)的燃烧装置的燃气总管未设置管道压力监测报警装置，或者监测报警装置未与紧急自动切断装置联锁，或者燃烧装置未设置火焰监测和熄火保护系统的。</w:t>
            </w:r>
          </w:p>
        </w:tc>
        <w:tc>
          <w:tcPr>
            <w:tcW w:w="3224" w:type="dxa"/>
            <w:vAlign w:val="center"/>
          </w:tcPr>
          <w:p w14:paraId="612D02A0">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1.《工业企业煤气安全规程》（GB 6222-2005）</w:t>
            </w:r>
          </w:p>
          <w:p w14:paraId="22635ED6">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7.1.1  当燃烧装置采用强制送风的燃烧嘴时，煤气支管上应装止回装置或自动隔断阀。</w:t>
            </w:r>
          </w:p>
          <w:p w14:paraId="01F5360C">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2.《城镇燃气设计规范》（GB 50028-2006）</w:t>
            </w:r>
          </w:p>
          <w:p w14:paraId="02D4A7BE">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10.6.6.1  工业企业生产用气设备燃烧装置的安全设施应符合下列要求：燃气管道上应安装低压和超压报警以及紧急自动切断阀。</w:t>
            </w:r>
          </w:p>
          <w:p w14:paraId="785F92DC">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tc>
        <w:tc>
          <w:tcPr>
            <w:tcW w:w="3315" w:type="dxa"/>
            <w:vAlign w:val="center"/>
          </w:tcPr>
          <w:p w14:paraId="427431A8">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819" w:type="dxa"/>
            <w:vAlign w:val="center"/>
          </w:tcPr>
          <w:p w14:paraId="0B823061">
            <w:pPr>
              <w:widowControl/>
              <w:adjustRightInd w:val="0"/>
              <w:snapToGrid w:val="0"/>
              <w:jc w:val="center"/>
              <w:rPr>
                <w:rFonts w:hint="eastAsia" w:ascii="宋体" w:hAnsi="宋体" w:cs="宋体"/>
                <w:b/>
                <w:color w:val="auto"/>
                <w:kern w:val="0"/>
                <w:sz w:val="28"/>
                <w:szCs w:val="28"/>
              </w:rPr>
            </w:pPr>
          </w:p>
        </w:tc>
      </w:tr>
      <w:tr w14:paraId="79D8E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570" w:hRule="atLeast"/>
          <w:jc w:val="center"/>
        </w:trPr>
        <w:tc>
          <w:tcPr>
            <w:tcW w:w="862" w:type="dxa"/>
            <w:vAlign w:val="center"/>
          </w:tcPr>
          <w:p w14:paraId="13E43A09">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17</w:t>
            </w:r>
          </w:p>
        </w:tc>
        <w:tc>
          <w:tcPr>
            <w:tcW w:w="1976" w:type="dxa"/>
            <w:vAlign w:val="center"/>
          </w:tcPr>
          <w:p w14:paraId="23F1E896">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有色企业正压煤气输配管线水封式排水器的最高封堵煤气压力不应小于30kPa，同一煤气管道隔断装置的两侧不允许共用一个排水器，不同煤气管道排水器上部的排水管不应连通，不同介质的煤气管道不允许共用一个排水器。</w:t>
            </w:r>
          </w:p>
        </w:tc>
        <w:tc>
          <w:tcPr>
            <w:tcW w:w="3948" w:type="dxa"/>
            <w:vAlign w:val="center"/>
          </w:tcPr>
          <w:p w14:paraId="24623C42">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1.《中华人民共和国安全生产法》第四十一条 ……</w:t>
            </w:r>
          </w:p>
          <w:p w14:paraId="5F7A4657">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生产经营单位应当建立健全并落实生产安全事故隐患排查治理制度，采取技术、管理措施，及时发现并消除事故隐患......</w:t>
            </w:r>
          </w:p>
          <w:p w14:paraId="10A1EE22">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2.《工贸行业重大事故隐患判定标准》（应急管理部令第10号）</w:t>
            </w:r>
          </w:p>
          <w:p w14:paraId="7B92A38B">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第五条 有色企业有下列情形之一的，应当判定为重大事故隐患:               （十三）正压煤气输配管线水封式排水器的最高封堵煤气压力小于30kPa，或者同一煤气管道隔断装置的两侧共用一个排水器，或者不同煤气管道排水器上部的排水管连通，或者不同介质的煤气管道共用一个排水器的</w:t>
            </w:r>
          </w:p>
        </w:tc>
        <w:tc>
          <w:tcPr>
            <w:tcW w:w="3224" w:type="dxa"/>
            <w:vAlign w:val="center"/>
          </w:tcPr>
          <w:p w14:paraId="08EA49C3">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1.《煤气排水器安全技术规程》（AQ 7012-2018)4.1.2 水封式排水器除了满足4.1.1的要求，还应满足以下要求：水封的有效高度应取煤气计算压力加500mmH2O与煤气计算压力1.2倍的较大值，并不得小于3m；</w:t>
            </w:r>
          </w:p>
          <w:p w14:paraId="5FEF4FAB">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2.《工业企业煤气安全规程》(GB 6222-2005)7.4.3两条或两条以上的煤气管道及同一煤气管道隔断装置的两侧，宜单独设置排水器。</w:t>
            </w:r>
          </w:p>
        </w:tc>
        <w:tc>
          <w:tcPr>
            <w:tcW w:w="3315" w:type="dxa"/>
            <w:vAlign w:val="center"/>
          </w:tcPr>
          <w:p w14:paraId="15C7E31F">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819" w:type="dxa"/>
            <w:vAlign w:val="center"/>
          </w:tcPr>
          <w:p w14:paraId="156B6204">
            <w:pPr>
              <w:widowControl/>
              <w:adjustRightInd w:val="0"/>
              <w:snapToGrid w:val="0"/>
              <w:jc w:val="center"/>
              <w:rPr>
                <w:rFonts w:hint="eastAsia" w:ascii="宋体" w:hAnsi="宋体" w:cs="宋体"/>
                <w:b/>
                <w:color w:val="auto"/>
                <w:kern w:val="0"/>
                <w:sz w:val="28"/>
                <w:szCs w:val="28"/>
              </w:rPr>
            </w:pPr>
          </w:p>
        </w:tc>
      </w:tr>
      <w:tr w14:paraId="15DC6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570" w:hRule="atLeast"/>
          <w:jc w:val="center"/>
        </w:trPr>
        <w:tc>
          <w:tcPr>
            <w:tcW w:w="862" w:type="dxa"/>
            <w:vAlign w:val="center"/>
          </w:tcPr>
          <w:p w14:paraId="024D0F49">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18</w:t>
            </w:r>
          </w:p>
        </w:tc>
        <w:tc>
          <w:tcPr>
            <w:tcW w:w="1976" w:type="dxa"/>
            <w:vAlign w:val="center"/>
          </w:tcPr>
          <w:p w14:paraId="7A663A16">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★建材企业煤磨袋式收尘器、煤粉仓应设置温度和固定式一氧化碳浓度监测报警装置，并设置气体灭火装置的；</w:t>
            </w:r>
          </w:p>
        </w:tc>
        <w:tc>
          <w:tcPr>
            <w:tcW w:w="3948" w:type="dxa"/>
            <w:vAlign w:val="center"/>
          </w:tcPr>
          <w:p w14:paraId="6CAAAD96">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1.《中华人民共和国安全生产法》第四十一条 ……</w:t>
            </w:r>
          </w:p>
          <w:p w14:paraId="3A51C354">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生产经营单位应当建立健全并落实生产安全事故隐患排查治理制度，采取技术、管理措施，及时发现并消除事故隐患......</w:t>
            </w:r>
          </w:p>
          <w:p w14:paraId="1119096E">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2.工贸行业重大事故隐患判定标准》（应急管理部令第10号）</w:t>
            </w:r>
          </w:p>
          <w:p w14:paraId="27487F7E">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第六条 建材企业有下列情形之一的，应当判定为重大事故隐患:                  （一）煤磨袋式收尘器、煤粉仓未设置温度和固定式一氧化碳浓度监测报警装置，或者未设置气体灭火装置的；</w:t>
            </w:r>
          </w:p>
        </w:tc>
        <w:tc>
          <w:tcPr>
            <w:tcW w:w="3224" w:type="dxa"/>
            <w:vAlign w:val="center"/>
          </w:tcPr>
          <w:p w14:paraId="75F8BD53">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《新型干法水泥生产安全规程》（AQ7014-2018）7.1.2.3 煤磨进出口应设温度监测装置，在煤粉仓、除尘器上也应设温度和一氧化碳超限监测及报警装置，并配备气体自动灭火装置。                 </w:t>
            </w:r>
          </w:p>
        </w:tc>
        <w:tc>
          <w:tcPr>
            <w:tcW w:w="3315" w:type="dxa"/>
            <w:vAlign w:val="center"/>
          </w:tcPr>
          <w:p w14:paraId="09EB7EB1">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819" w:type="dxa"/>
            <w:vAlign w:val="center"/>
          </w:tcPr>
          <w:p w14:paraId="22AE7A8D">
            <w:pPr>
              <w:widowControl/>
              <w:adjustRightInd w:val="0"/>
              <w:snapToGrid w:val="0"/>
              <w:jc w:val="center"/>
              <w:rPr>
                <w:rFonts w:hint="eastAsia" w:ascii="宋体" w:hAnsi="宋体" w:cs="宋体"/>
                <w:b/>
                <w:color w:val="auto"/>
                <w:kern w:val="0"/>
                <w:sz w:val="21"/>
                <w:szCs w:val="21"/>
              </w:rPr>
            </w:pPr>
          </w:p>
        </w:tc>
      </w:tr>
      <w:tr w14:paraId="278AC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570" w:hRule="atLeast"/>
          <w:jc w:val="center"/>
        </w:trPr>
        <w:tc>
          <w:tcPr>
            <w:tcW w:w="862" w:type="dxa"/>
            <w:vAlign w:val="center"/>
          </w:tcPr>
          <w:p w14:paraId="594B2BE3">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19</w:t>
            </w:r>
          </w:p>
        </w:tc>
        <w:tc>
          <w:tcPr>
            <w:tcW w:w="1976" w:type="dxa"/>
            <w:vAlign w:val="center"/>
          </w:tcPr>
          <w:p w14:paraId="413999F3">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★建材企业采用预混燃烧方式的燃气窑炉（热发生炉煤气窑炉除外）的燃气总管应设置管道压力监测报警装置，监测报警装置应与紧急自动切断装置联锁</w:t>
            </w:r>
          </w:p>
        </w:tc>
        <w:tc>
          <w:tcPr>
            <w:tcW w:w="3948" w:type="dxa"/>
            <w:vAlign w:val="center"/>
          </w:tcPr>
          <w:p w14:paraId="5FE0BDAF">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1.《中华人民共和国安全生产法》第四十一条 ……</w:t>
            </w:r>
          </w:p>
          <w:p w14:paraId="38FF4AE2">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生产经营单位应当建立健全并落实生产安全事故隐患排查治理制度，采取技术、管理措施，及时发现并消除事故隐患......</w:t>
            </w:r>
          </w:p>
          <w:p w14:paraId="17FE88E2">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2.《工贸行业重大事故隐患判定标准》（应急管理部令第10号）</w:t>
            </w:r>
          </w:p>
          <w:p w14:paraId="5BD470A3">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第六条 建材企业有下列情形之一的，应当判定为重大事故隐患:               （五）采用预混燃烧方式的燃气窑炉（热发生炉煤气窑炉除外）的燃气总管未设置管道压力监测报警装置，或者监测报警装置未与紧急自动切断装置联锁的；  </w:t>
            </w:r>
          </w:p>
        </w:tc>
        <w:tc>
          <w:tcPr>
            <w:tcW w:w="3224" w:type="dxa"/>
            <w:vAlign w:val="center"/>
          </w:tcPr>
          <w:p w14:paraId="5F6E7C3F">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GB50028-2020《城镇燃气设计规范》10.6.6 工业企业生产用气设备燃烧装置的安全设施应符合下列要求：</w:t>
            </w:r>
          </w:p>
          <w:p w14:paraId="17161A71">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1 燃气管道上应安装低压和超压报警以及紧急自动切断阀；</w:t>
            </w:r>
          </w:p>
          <w:p w14:paraId="3F0A6695">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2 烟道和封闭式炉膛，均应设置泄爆装置，泄爆装置的泄压口应设在安全处；</w:t>
            </w:r>
          </w:p>
          <w:p w14:paraId="3D33A17A">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3 鼓风机和空气管道应设静电接地装置。接地电阻不应大于100Ω；</w:t>
            </w:r>
          </w:p>
          <w:p w14:paraId="1E8B5CA0">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4 用气设备的燃气总阀门与燃烧器阀门之间，应设置放散管。                </w:t>
            </w:r>
          </w:p>
        </w:tc>
        <w:tc>
          <w:tcPr>
            <w:tcW w:w="3315" w:type="dxa"/>
            <w:vAlign w:val="center"/>
          </w:tcPr>
          <w:p w14:paraId="111F6F35">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819" w:type="dxa"/>
            <w:vAlign w:val="center"/>
          </w:tcPr>
          <w:p w14:paraId="5869085B">
            <w:pPr>
              <w:widowControl/>
              <w:adjustRightInd w:val="0"/>
              <w:snapToGrid w:val="0"/>
              <w:jc w:val="center"/>
              <w:rPr>
                <w:rFonts w:hint="eastAsia" w:ascii="宋体" w:hAnsi="宋体" w:cs="宋体"/>
                <w:b/>
                <w:color w:val="auto"/>
                <w:kern w:val="0"/>
                <w:sz w:val="28"/>
                <w:szCs w:val="28"/>
              </w:rPr>
            </w:pPr>
          </w:p>
        </w:tc>
      </w:tr>
      <w:tr w14:paraId="1BCEB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570" w:hRule="atLeast"/>
          <w:jc w:val="center"/>
        </w:trPr>
        <w:tc>
          <w:tcPr>
            <w:tcW w:w="862" w:type="dxa"/>
            <w:vAlign w:val="center"/>
          </w:tcPr>
          <w:p w14:paraId="4706866A">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20</w:t>
            </w:r>
          </w:p>
        </w:tc>
        <w:tc>
          <w:tcPr>
            <w:tcW w:w="1976" w:type="dxa"/>
            <w:vAlign w:val="center"/>
          </w:tcPr>
          <w:p w14:paraId="20FA1E4B">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★建材企业制氢站、氮氢保护气体配气间、燃气配气间等3类场所应设置固定式可燃气体浓度监测报警装置</w:t>
            </w:r>
          </w:p>
          <w:p w14:paraId="73C4D60B">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p w14:paraId="0374F946">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tc>
        <w:tc>
          <w:tcPr>
            <w:tcW w:w="3948" w:type="dxa"/>
            <w:vAlign w:val="center"/>
          </w:tcPr>
          <w:p w14:paraId="76E3789B">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1.《中华人民共和国安全生产法》第四十一条 ……</w:t>
            </w:r>
          </w:p>
          <w:p w14:paraId="19C2E586">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生产经营单位应当建立健全并落实生产安全事故隐患排查治理制度，采取技术、管理措施，及时发现并消除事故隐患.....</w:t>
            </w:r>
          </w:p>
          <w:p w14:paraId="31BC6355">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2.工贸行业重大事故隐患判定标准》（应急管理部令第10号）</w:t>
            </w:r>
          </w:p>
          <w:p w14:paraId="186ED171">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第六条 建材企业有下列情形之一的，应当判定为重大事故隐患:              （六）制氢站、氮氢保护气体配气间、燃气配气间等3类场所未设置固定式可燃气体浓度监测报警装置的； </w:t>
            </w:r>
          </w:p>
        </w:tc>
        <w:tc>
          <w:tcPr>
            <w:tcW w:w="3224" w:type="dxa"/>
            <w:vAlign w:val="center"/>
          </w:tcPr>
          <w:p w14:paraId="57F4066C">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1《玻璃工厂工业卫生与安全技术规程》（GB15081-1994 ）3.5.9有爆炸性危险气体的场所宜安装可燃气体的监测、报警装置；                     </w:t>
            </w:r>
          </w:p>
          <w:p w14:paraId="136BBA56">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2.《氢气站设计规范》（GB50177）8.0.6有爆炸危险房间内，应设氢气检漏报警装置，并应与相应的事故排风机连锁；       </w:t>
            </w:r>
          </w:p>
        </w:tc>
        <w:tc>
          <w:tcPr>
            <w:tcW w:w="3315" w:type="dxa"/>
            <w:vAlign w:val="center"/>
          </w:tcPr>
          <w:p w14:paraId="79250FCF">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819" w:type="dxa"/>
            <w:vAlign w:val="center"/>
          </w:tcPr>
          <w:p w14:paraId="43AFB283">
            <w:pPr>
              <w:widowControl/>
              <w:adjustRightInd w:val="0"/>
              <w:snapToGrid w:val="0"/>
              <w:jc w:val="center"/>
              <w:rPr>
                <w:rFonts w:hint="eastAsia" w:ascii="宋体" w:hAnsi="宋体" w:cs="宋体"/>
                <w:b/>
                <w:color w:val="auto"/>
                <w:kern w:val="0"/>
                <w:sz w:val="28"/>
                <w:szCs w:val="28"/>
              </w:rPr>
            </w:pPr>
          </w:p>
        </w:tc>
      </w:tr>
      <w:tr w14:paraId="68838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570" w:hRule="atLeast"/>
          <w:jc w:val="center"/>
        </w:trPr>
        <w:tc>
          <w:tcPr>
            <w:tcW w:w="862" w:type="dxa"/>
            <w:vAlign w:val="center"/>
          </w:tcPr>
          <w:p w14:paraId="37F7034F">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21</w:t>
            </w:r>
          </w:p>
        </w:tc>
        <w:tc>
          <w:tcPr>
            <w:tcW w:w="1976" w:type="dxa"/>
            <w:vAlign w:val="center"/>
          </w:tcPr>
          <w:p w14:paraId="2582F1BF">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★机械企业会议室、活动室、休息室、更衣室、交接班室等5类人员聚集场所严禁设置在熔融金属吊运跨或者浇注跨的地坪区域内的</w:t>
            </w:r>
          </w:p>
        </w:tc>
        <w:tc>
          <w:tcPr>
            <w:tcW w:w="3948" w:type="dxa"/>
            <w:vAlign w:val="center"/>
          </w:tcPr>
          <w:p w14:paraId="3BF6DF89">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1.《中华人民共和国安全生产法》第四十一条 ……</w:t>
            </w:r>
          </w:p>
          <w:p w14:paraId="5E8D1F13">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生产经营单位应当建立健全并落实生产安全事故隐患排查治理制度，采取技术、管理措施，及时发现并消除事故隐患.....</w:t>
            </w:r>
          </w:p>
          <w:p w14:paraId="533A4432">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2.《工贸企业重大事故隐患判定标准》（应急管理部令第10号）。第七条 机械企业有下列情形之一 的，应当判定为重大事故隐患：</w:t>
            </w:r>
          </w:p>
          <w:p w14:paraId="295B334C">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（一）会议室、活动室、休息室、更衣室、交接班室等5类人员聚集场所设置在熔融金属吊运跨或者浇注跨的地坪区域内的。</w:t>
            </w:r>
          </w:p>
        </w:tc>
        <w:tc>
          <w:tcPr>
            <w:tcW w:w="3224" w:type="dxa"/>
            <w:vAlign w:val="center"/>
          </w:tcPr>
          <w:p w14:paraId="01027170">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1.《高温熔融金属吊运安全规程》AQ7011-2018  </w:t>
            </w:r>
          </w:p>
          <w:p w14:paraId="3B4FF854">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5.7：高温熔融金属和熔渣吊运行走区域禁止设置操作室、会议室、交接班室、活动室、休息室、更衣室、澡堂等人员集聚场所；危险区域附近的上述建筑物的门、窗应背对吊运区域</w:t>
            </w:r>
          </w:p>
          <w:p w14:paraId="70B285E6">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tc>
        <w:tc>
          <w:tcPr>
            <w:tcW w:w="3315" w:type="dxa"/>
            <w:vAlign w:val="center"/>
          </w:tcPr>
          <w:p w14:paraId="4FD8ACF9">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819" w:type="dxa"/>
            <w:vAlign w:val="center"/>
          </w:tcPr>
          <w:p w14:paraId="358CAF61">
            <w:pPr>
              <w:widowControl/>
              <w:adjustRightInd w:val="0"/>
              <w:snapToGrid w:val="0"/>
              <w:jc w:val="center"/>
              <w:rPr>
                <w:rFonts w:hint="eastAsia" w:ascii="宋体" w:hAnsi="宋体" w:cs="宋体"/>
                <w:b/>
                <w:color w:val="auto"/>
                <w:kern w:val="0"/>
                <w:sz w:val="28"/>
                <w:szCs w:val="28"/>
              </w:rPr>
            </w:pPr>
          </w:p>
        </w:tc>
      </w:tr>
      <w:tr w14:paraId="636D8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570" w:hRule="atLeast"/>
          <w:jc w:val="center"/>
        </w:trPr>
        <w:tc>
          <w:tcPr>
            <w:tcW w:w="862" w:type="dxa"/>
            <w:vAlign w:val="center"/>
          </w:tcPr>
          <w:p w14:paraId="697DBC4C">
            <w:pPr>
              <w:keepNext w:val="0"/>
              <w:keepLines w:val="0"/>
              <w:widowControl/>
              <w:suppressLineNumbers w:val="0"/>
              <w:jc w:val="center"/>
              <w:textAlignment w:val="center"/>
              <w:rPr>
                <w:rFonts w:hint="eastAsia" w:ascii="宋体" w:hAnsi="宋体" w:eastAsia="宋体" w:cs="宋体"/>
                <w:b w:val="0"/>
                <w:bCs/>
                <w:color w:val="auto"/>
                <w:kern w:val="0"/>
                <w:sz w:val="21"/>
                <w:szCs w:val="21"/>
                <w:lang w:val="en-US" w:eastAsia="zh-CN"/>
              </w:rPr>
            </w:pPr>
            <w:r>
              <w:rPr>
                <w:rFonts w:hint="eastAsia" w:ascii="宋体" w:hAnsi="宋体" w:eastAsia="宋体" w:cs="宋体"/>
                <w:b w:val="0"/>
                <w:bCs/>
                <w:color w:val="auto"/>
                <w:kern w:val="0"/>
                <w:sz w:val="21"/>
                <w:szCs w:val="21"/>
                <w:lang w:val="en-US" w:eastAsia="zh-CN"/>
              </w:rPr>
              <w:t>22</w:t>
            </w:r>
          </w:p>
        </w:tc>
        <w:tc>
          <w:tcPr>
            <w:tcW w:w="1976" w:type="dxa"/>
            <w:vAlign w:val="center"/>
          </w:tcPr>
          <w:p w14:paraId="18F54637">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★机械企业铸造用熔炼炉、精炼炉、保温炉应设置紧急排放和应急储存设施</w:t>
            </w:r>
          </w:p>
        </w:tc>
        <w:tc>
          <w:tcPr>
            <w:tcW w:w="3948" w:type="dxa"/>
            <w:vAlign w:val="center"/>
          </w:tcPr>
          <w:p w14:paraId="661B6F99">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1.《中华人民共和国安全生产法》第四十一条 ……</w:t>
            </w:r>
          </w:p>
          <w:p w14:paraId="17E21F70">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生产经营单位应当建立健全并落实生产安全事故隐患排查治理制度，采取技术、管理措施，及时发现并消除事故隐患.....</w:t>
            </w:r>
          </w:p>
          <w:p w14:paraId="120FF28C">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2.《冶金企业和有色金属企业安全生产规定》（安监总局令第91号）</w:t>
            </w:r>
          </w:p>
          <w:p w14:paraId="16485593">
            <w:pPr>
              <w:keepNext w:val="0"/>
              <w:keepLines w:val="0"/>
              <w:widowControl/>
              <w:suppressLineNumbers w:val="0"/>
              <w:ind w:firstLine="210" w:firstLineChars="10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第二十九条 企业对电炉、铸造熔炼炉、保温炉、倾翻炉、铸机、流液槽、熔盐电解槽等设备，应当设置熔融金属紧急排放和储存的设施，并在设备周围设置拦挡围堰，防止熔融金属外流</w:t>
            </w:r>
          </w:p>
          <w:p w14:paraId="041ED2C0">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3.《工贸企业重大事故隐患判定标准》（应急管理部令第10号）。</w:t>
            </w:r>
          </w:p>
          <w:p w14:paraId="187F641E">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第七条 机械企业有下列情形之一的，应当判定为重大事故隐患：</w:t>
            </w:r>
          </w:p>
          <w:p w14:paraId="1823FF64">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（二）铸造用熔炼炉、精炼炉、保温炉未设置紧急排放和应急储存设施的。</w:t>
            </w:r>
          </w:p>
        </w:tc>
        <w:tc>
          <w:tcPr>
            <w:tcW w:w="3224" w:type="dxa"/>
            <w:vAlign w:val="center"/>
          </w:tcPr>
          <w:p w14:paraId="69C696F4">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1.《高温熔融金属吊运安全规程》（AQ 7011-2018）：5.10存放、运输高温熔融金属和熔渣的场所，应设有防雨设施，不应设有积水的沟、坑等。如生产确需设置地面沟或坑等时，必须有严密的防水措施：易积水的沟、槽、坑，应有排水措施，不得积水。5.11熔融金属治炼（熔炼）炉的炉下及周围、熔融金属罐、渣罐和浇包吊运区域、熔融金属桶车和渣罐车运行区域，地面不得有积水，不应堆放潮湿物品和其他易燃、易爆物品。</w:t>
            </w:r>
          </w:p>
        </w:tc>
        <w:tc>
          <w:tcPr>
            <w:tcW w:w="3315" w:type="dxa"/>
            <w:vAlign w:val="center"/>
          </w:tcPr>
          <w:p w14:paraId="26FE665A">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14:paraId="69347849">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2.《冶金企业和有色金属企业安全生产规定》</w:t>
            </w:r>
            <w:r>
              <w:rPr>
                <w:rFonts w:hint="default" w:ascii="宋体" w:hAnsi="宋体" w:eastAsia="宋体" w:cs="宋体"/>
                <w:i w:val="0"/>
                <w:iCs w:val="0"/>
                <w:color w:val="000000"/>
                <w:kern w:val="0"/>
                <w:sz w:val="21"/>
                <w:szCs w:val="21"/>
                <w:u w:val="none"/>
                <w:lang w:val="en-US" w:eastAsia="zh-CN" w:bidi="ar"/>
              </w:rPr>
              <w:t>第四十六条</w:t>
            </w:r>
            <w:r>
              <w:rPr>
                <w:rFonts w:hint="eastAsia" w:ascii="宋体" w:hAnsi="宋体" w:eastAsia="宋体" w:cs="宋体"/>
                <w:i w:val="0"/>
                <w:iCs w:val="0"/>
                <w:color w:val="000000"/>
                <w:kern w:val="0"/>
                <w:sz w:val="21"/>
                <w:szCs w:val="21"/>
                <w:u w:val="none"/>
                <w:lang w:val="en-US" w:eastAsia="zh-CN" w:bidi="ar"/>
              </w:rPr>
              <w:t xml:space="preserve">  </w:t>
            </w:r>
            <w:r>
              <w:rPr>
                <w:rFonts w:hint="default" w:ascii="宋体" w:hAnsi="宋体" w:eastAsia="宋体" w:cs="宋体"/>
                <w:i w:val="0"/>
                <w:iCs w:val="0"/>
                <w:color w:val="000000"/>
                <w:kern w:val="0"/>
                <w:sz w:val="21"/>
                <w:szCs w:val="21"/>
                <w:u w:val="none"/>
                <w:lang w:val="en-US" w:eastAsia="zh-CN" w:bidi="ar"/>
              </w:rPr>
              <w:t>企业违反本规定第二十四条至第三十七条的规定，构成生产安全事故隐患的，责令立即消除或者限期消除事故隐患；企业拒不执行的，责令停产停业整顿，并处十万元以上五十万元以下的罚款，对其直接负责的主管人员和其他直接责任人员处二万元以上五万元以下的罚款。</w:t>
            </w:r>
          </w:p>
        </w:tc>
        <w:tc>
          <w:tcPr>
            <w:tcW w:w="819" w:type="dxa"/>
            <w:vAlign w:val="center"/>
          </w:tcPr>
          <w:p w14:paraId="14BBD167">
            <w:pPr>
              <w:widowControl/>
              <w:adjustRightInd w:val="0"/>
              <w:snapToGrid w:val="0"/>
              <w:jc w:val="center"/>
              <w:rPr>
                <w:rFonts w:hint="eastAsia" w:ascii="宋体" w:hAnsi="宋体" w:cs="宋体"/>
                <w:b/>
                <w:color w:val="auto"/>
                <w:kern w:val="0"/>
                <w:sz w:val="28"/>
                <w:szCs w:val="28"/>
              </w:rPr>
            </w:pPr>
          </w:p>
        </w:tc>
      </w:tr>
      <w:tr w14:paraId="6040B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570" w:hRule="atLeast"/>
          <w:jc w:val="center"/>
        </w:trPr>
        <w:tc>
          <w:tcPr>
            <w:tcW w:w="862" w:type="dxa"/>
            <w:vAlign w:val="center"/>
          </w:tcPr>
          <w:p w14:paraId="1D4088B5">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23</w:t>
            </w:r>
          </w:p>
        </w:tc>
        <w:tc>
          <w:tcPr>
            <w:tcW w:w="1976" w:type="dxa"/>
            <w:vAlign w:val="center"/>
          </w:tcPr>
          <w:p w14:paraId="0EA2A550">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★机械企业使用非水性漆的调漆间、喷漆室应设置固定式可燃气体浓度监测报警装置或者通风设</w:t>
            </w:r>
          </w:p>
        </w:tc>
        <w:tc>
          <w:tcPr>
            <w:tcW w:w="3948" w:type="dxa"/>
            <w:vAlign w:val="center"/>
          </w:tcPr>
          <w:p w14:paraId="5A74D032">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1.《中华人民共和国安全生产法》第四十一条 ……</w:t>
            </w:r>
          </w:p>
          <w:p w14:paraId="1839A895">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生产经营单位应当建立健全并落实生产安全事故隐患排查治理制度，采取技术、管理措施，及时发现并消除事故隐患.....</w:t>
            </w:r>
          </w:p>
          <w:p w14:paraId="696E0197">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2.《工贸企业重大事故隐患判定标准》（应急管理部令第10号）。</w:t>
            </w:r>
          </w:p>
          <w:p w14:paraId="79F9E87A">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第七条 机械企业有下列情形之一的，应当判定为重大事故隐患：</w:t>
            </w:r>
          </w:p>
          <w:p w14:paraId="04CF7646">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（七）使用非水性漆的调漆间、喷漆室未设置固定式可燃气体浓度监测报警装置或者通风设施的。</w:t>
            </w:r>
          </w:p>
        </w:tc>
        <w:tc>
          <w:tcPr>
            <w:tcW w:w="3224" w:type="dxa"/>
            <w:vAlign w:val="center"/>
          </w:tcPr>
          <w:p w14:paraId="63F5683D">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1.《涂装作业安全规程涂漆工艺安全及其通风净化》（GB 6514-2008）</w:t>
            </w:r>
          </w:p>
          <w:p w14:paraId="75624965">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5.1.4.2.2  调漆室应为不燃烧、不发火的地面；室内通风换气次数15次/h～25次/h；照明及各类电气设备应为防爆型；调漆室应安装可燃气体浓度报警装置及配置消防器材。</w:t>
            </w:r>
          </w:p>
          <w:p w14:paraId="64CE4904">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tc>
        <w:tc>
          <w:tcPr>
            <w:tcW w:w="3315" w:type="dxa"/>
            <w:vAlign w:val="center"/>
          </w:tcPr>
          <w:p w14:paraId="5C0F8E10">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819" w:type="dxa"/>
            <w:vAlign w:val="center"/>
          </w:tcPr>
          <w:p w14:paraId="68700C9A">
            <w:pPr>
              <w:widowControl/>
              <w:adjustRightInd w:val="0"/>
              <w:snapToGrid w:val="0"/>
              <w:jc w:val="center"/>
              <w:rPr>
                <w:rFonts w:hint="eastAsia" w:ascii="宋体" w:hAnsi="宋体" w:cs="宋体"/>
                <w:b/>
                <w:color w:val="auto"/>
                <w:kern w:val="0"/>
                <w:sz w:val="21"/>
                <w:szCs w:val="21"/>
              </w:rPr>
            </w:pPr>
          </w:p>
        </w:tc>
      </w:tr>
      <w:tr w14:paraId="37519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570" w:hRule="atLeast"/>
          <w:jc w:val="center"/>
        </w:trPr>
        <w:tc>
          <w:tcPr>
            <w:tcW w:w="862" w:type="dxa"/>
            <w:vAlign w:val="center"/>
          </w:tcPr>
          <w:p w14:paraId="6821EA0B">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24</w:t>
            </w:r>
          </w:p>
        </w:tc>
        <w:tc>
          <w:tcPr>
            <w:tcW w:w="1976" w:type="dxa"/>
            <w:vAlign w:val="center"/>
          </w:tcPr>
          <w:p w14:paraId="46BF25C2">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★轻工企业使用非水性漆的调漆间、喷漆室应设置固定式可燃气体浓度监测报警装置与通风设施。</w:t>
            </w:r>
          </w:p>
        </w:tc>
        <w:tc>
          <w:tcPr>
            <w:tcW w:w="3948" w:type="dxa"/>
            <w:vAlign w:val="center"/>
          </w:tcPr>
          <w:p w14:paraId="196749AC">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1.《中华人民共和国安全生产法》第四十一条 ……</w:t>
            </w:r>
          </w:p>
          <w:p w14:paraId="258250A2">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生产经营单位应当建立健全并落实生产安全事故隐患排查治理制度，采取技术、管理措施，及时发现并消除事故隐患.....</w:t>
            </w:r>
          </w:p>
          <w:p w14:paraId="320C5982">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2.《工贸企业重大事故隐患判定标准》（应急管理部令第10号）。</w:t>
            </w:r>
          </w:p>
          <w:p w14:paraId="7B8AD304">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第八条 轻工行业有下列情形之一的，应当判定为重大事故隐患：</w:t>
            </w:r>
          </w:p>
          <w:p w14:paraId="6C9BF1A7">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（六）使用非水性漆的调漆间、喷漆室未设置固定式可燃气体浓度监测报警装置或者通风设施的。</w:t>
            </w:r>
          </w:p>
        </w:tc>
        <w:tc>
          <w:tcPr>
            <w:tcW w:w="3224" w:type="dxa"/>
            <w:vAlign w:val="center"/>
          </w:tcPr>
          <w:p w14:paraId="7CAD4388">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1.《涂装作业安全规程涂漆工艺安全及其通风净化》（GB 6514-2008）</w:t>
            </w:r>
          </w:p>
          <w:p w14:paraId="1D80B136">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5.1.4.2.2  调漆室应为不燃烧、不发火的地面；室内通风换气次数15次/h～25次/h；照明及各类电气设备应为防爆型；调漆室应安装可燃气体浓度报警装置及配置消防器材。</w:t>
            </w:r>
          </w:p>
          <w:p w14:paraId="35F77EE4">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tc>
        <w:tc>
          <w:tcPr>
            <w:tcW w:w="3315" w:type="dxa"/>
            <w:vAlign w:val="center"/>
          </w:tcPr>
          <w:p w14:paraId="208C757E">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819" w:type="dxa"/>
            <w:vAlign w:val="center"/>
          </w:tcPr>
          <w:p w14:paraId="4BBA569E">
            <w:pPr>
              <w:widowControl/>
              <w:adjustRightInd w:val="0"/>
              <w:snapToGrid w:val="0"/>
              <w:jc w:val="center"/>
              <w:rPr>
                <w:rFonts w:hint="eastAsia" w:ascii="宋体" w:hAnsi="宋体" w:cs="宋体"/>
                <w:b/>
                <w:color w:val="auto"/>
                <w:kern w:val="0"/>
                <w:sz w:val="21"/>
                <w:szCs w:val="21"/>
              </w:rPr>
            </w:pPr>
          </w:p>
        </w:tc>
      </w:tr>
      <w:tr w14:paraId="43A44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570" w:hRule="atLeast"/>
          <w:jc w:val="center"/>
        </w:trPr>
        <w:tc>
          <w:tcPr>
            <w:tcW w:w="862" w:type="dxa"/>
            <w:vAlign w:val="center"/>
          </w:tcPr>
          <w:p w14:paraId="5C4E0E42">
            <w:pPr>
              <w:keepNext w:val="0"/>
              <w:keepLines w:val="0"/>
              <w:widowControl/>
              <w:suppressLineNumbers w:val="0"/>
              <w:jc w:val="center"/>
              <w:textAlignment w:val="center"/>
              <w:rPr>
                <w:rFonts w:hint="eastAsia" w:ascii="宋体" w:hAnsi="宋体" w:eastAsia="宋体" w:cs="宋体"/>
                <w:b w:val="0"/>
                <w:bCs/>
                <w:color w:val="auto"/>
                <w:kern w:val="0"/>
                <w:sz w:val="21"/>
                <w:szCs w:val="21"/>
                <w:lang w:val="en-US" w:eastAsia="zh-CN"/>
              </w:rPr>
            </w:pPr>
            <w:r>
              <w:rPr>
                <w:rFonts w:hint="eastAsia" w:ascii="宋体" w:hAnsi="宋体" w:eastAsia="宋体" w:cs="宋体"/>
                <w:b w:val="0"/>
                <w:bCs/>
                <w:color w:val="auto"/>
                <w:kern w:val="0"/>
                <w:sz w:val="21"/>
                <w:szCs w:val="21"/>
                <w:lang w:val="en-US" w:eastAsia="zh-CN"/>
              </w:rPr>
              <w:t>25</w:t>
            </w:r>
          </w:p>
        </w:tc>
        <w:tc>
          <w:tcPr>
            <w:tcW w:w="1976" w:type="dxa"/>
            <w:vAlign w:val="center"/>
          </w:tcPr>
          <w:p w14:paraId="03F60205">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★粉尘爆炸危险场所不应设置在非框架结构的多层建(构)筑物内，粉尘爆炸危险场所内不允许设有员工宿舍、会议室、办公室、休息室等人员聚集场所；</w:t>
            </w:r>
          </w:p>
        </w:tc>
        <w:tc>
          <w:tcPr>
            <w:tcW w:w="3948" w:type="dxa"/>
            <w:vAlign w:val="center"/>
          </w:tcPr>
          <w:p w14:paraId="08A9FFEC">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1.《中华人民共和国安全生产法》第四十一条 ……</w:t>
            </w:r>
          </w:p>
          <w:p w14:paraId="3014E8B1">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生产经营单位应当建立健全并落实生产安全事故隐患排查治理制度，采取技术、管理措施，及时发现并消除事故隐患.....</w:t>
            </w:r>
          </w:p>
          <w:p w14:paraId="4C08230A">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2.《工贸企业重大事故隐患判定标准》（应急管理部令第 10 号）第十一条  存在粉尘爆炸危险的工贸企业</w:t>
            </w:r>
          </w:p>
          <w:p w14:paraId="2D569E21">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（一）粉尘爆炸危险场所设置在非框架结构的多层建(构)筑物内，或者粉尘爆炸危险场所内设有员工宿舍、会议室、办公室、休息室等人员聚集场所的。</w:t>
            </w:r>
          </w:p>
          <w:p w14:paraId="12ACE446">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tc>
        <w:tc>
          <w:tcPr>
            <w:tcW w:w="3224" w:type="dxa"/>
            <w:vAlign w:val="center"/>
          </w:tcPr>
          <w:p w14:paraId="79EEE1C5">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1.《粉尘防爆安全规程》（GB 15577-2018）</w:t>
            </w:r>
          </w:p>
          <w:p w14:paraId="639B62B3">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5.1 存在粉尘爆炸危险的工艺设备或存在粉尘爆炸危险场所的建(构)筑物，不应设置在公共场所和居民区内，其防火间距应符合GB 50016的相关规定。存在粉尘爆炸危险场所的建筑物宜为框架结构的单层建筑，其屋顶宜用轻型结构。如为多层建应采用框架结构。</w:t>
            </w:r>
          </w:p>
          <w:p w14:paraId="3D531161">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5.7粉尘爆炸危险场所应严格控制区域内作业人员数量，不得设有休息室、会议室等人员密集场所。</w:t>
            </w:r>
          </w:p>
          <w:p w14:paraId="58E55710">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tc>
        <w:tc>
          <w:tcPr>
            <w:tcW w:w="3315" w:type="dxa"/>
            <w:vAlign w:val="center"/>
          </w:tcPr>
          <w:p w14:paraId="7C7EFE2C">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819" w:type="dxa"/>
            <w:vAlign w:val="center"/>
          </w:tcPr>
          <w:p w14:paraId="79CCA793">
            <w:pPr>
              <w:widowControl/>
              <w:adjustRightInd w:val="0"/>
              <w:snapToGrid w:val="0"/>
              <w:jc w:val="center"/>
              <w:rPr>
                <w:rFonts w:hint="eastAsia" w:ascii="宋体" w:hAnsi="宋体" w:cs="宋体"/>
                <w:b/>
                <w:color w:val="auto"/>
                <w:kern w:val="0"/>
                <w:sz w:val="28"/>
                <w:szCs w:val="28"/>
              </w:rPr>
            </w:pPr>
          </w:p>
        </w:tc>
      </w:tr>
      <w:tr w14:paraId="5E2B9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570" w:hRule="atLeast"/>
          <w:jc w:val="center"/>
        </w:trPr>
        <w:tc>
          <w:tcPr>
            <w:tcW w:w="862" w:type="dxa"/>
            <w:vAlign w:val="center"/>
          </w:tcPr>
          <w:p w14:paraId="4E8DE502">
            <w:pPr>
              <w:keepNext w:val="0"/>
              <w:keepLines w:val="0"/>
              <w:widowControl/>
              <w:suppressLineNumbers w:val="0"/>
              <w:jc w:val="center"/>
              <w:textAlignment w:val="center"/>
              <w:rPr>
                <w:rFonts w:hint="eastAsia" w:ascii="宋体" w:hAnsi="宋体" w:eastAsia="宋体" w:cs="宋体"/>
                <w:b w:val="0"/>
                <w:bCs/>
                <w:color w:val="auto"/>
                <w:kern w:val="0"/>
                <w:sz w:val="21"/>
                <w:szCs w:val="21"/>
                <w:lang w:val="en-US" w:eastAsia="zh-CN"/>
              </w:rPr>
            </w:pPr>
            <w:r>
              <w:rPr>
                <w:rFonts w:hint="eastAsia" w:ascii="宋体" w:hAnsi="宋体" w:eastAsia="宋体" w:cs="宋体"/>
                <w:b w:val="0"/>
                <w:bCs/>
                <w:color w:val="auto"/>
                <w:kern w:val="0"/>
                <w:sz w:val="21"/>
                <w:szCs w:val="21"/>
                <w:lang w:val="en-US" w:eastAsia="zh-CN"/>
              </w:rPr>
              <w:t>26</w:t>
            </w:r>
          </w:p>
        </w:tc>
        <w:tc>
          <w:tcPr>
            <w:tcW w:w="1976" w:type="dxa"/>
            <w:vAlign w:val="center"/>
          </w:tcPr>
          <w:p w14:paraId="5515D3BE">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★不同类别的可燃性粉尘、可燃性粉尘与可燃气体等易加剧爆炸危险的介质不允许共用一套除尘系统，不同建（构）筑物、不同防火分区不允许共用一套除尘系统、除尘系统不运行互联互通。</w:t>
            </w:r>
          </w:p>
          <w:p w14:paraId="4CBE94C4">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tc>
        <w:tc>
          <w:tcPr>
            <w:tcW w:w="3948" w:type="dxa"/>
            <w:vAlign w:val="center"/>
          </w:tcPr>
          <w:p w14:paraId="08C7C93A">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1.《中华人民共和国安全生产法》第四十一条 ……</w:t>
            </w:r>
          </w:p>
          <w:p w14:paraId="3A806887">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生产经营单位应当建立健全并落实生产安全事故隐患排查治理制度，采取技术、管理措施，及时发现并消除事故隐患.....</w:t>
            </w:r>
          </w:p>
          <w:p w14:paraId="5502A362">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《工贸企业重大事故隐患判定标准》（应急管理部令第 10 号）第十一条  存在粉尘爆炸危险的工贸企业</w:t>
            </w:r>
          </w:p>
          <w:p w14:paraId="7AF77066">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（二）不同类别的可燃性粉尘、可燃性粉尘与可燃气体等易加剧爆炸危险的介质共用一套除尘系统，或者不同建（构）筑物、不同防火分区共用一套除尘系统、除尘系统互联互通的。</w:t>
            </w:r>
          </w:p>
        </w:tc>
        <w:tc>
          <w:tcPr>
            <w:tcW w:w="3224" w:type="dxa"/>
            <w:vAlign w:val="center"/>
          </w:tcPr>
          <w:p w14:paraId="5C44A436">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《粉尘防爆安全规程》（GB 15577-2018）</w:t>
            </w:r>
          </w:p>
          <w:p w14:paraId="5177AD79">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8.1.1不同类别的可燃性粉尘不应合用同一除尘系统。</w:t>
            </w:r>
          </w:p>
          <w:p w14:paraId="0B95E145">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8.1.2粉尘爆炸危险场所除尘系统不应与带有可燃气体、高温气体、或其它工业气体的风管及设备连通。</w:t>
            </w:r>
          </w:p>
          <w:p w14:paraId="08A86A4B">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8.1.3应按工艺分片(分区域)设置相对独立的除尘系统。</w:t>
            </w:r>
          </w:p>
          <w:p w14:paraId="5352C088">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8.1.4不同防火分区的除尘系统不应连通。</w:t>
            </w:r>
          </w:p>
          <w:p w14:paraId="5891729D">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tc>
        <w:tc>
          <w:tcPr>
            <w:tcW w:w="3315" w:type="dxa"/>
            <w:vAlign w:val="center"/>
          </w:tcPr>
          <w:p w14:paraId="60743F8A">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819" w:type="dxa"/>
            <w:vAlign w:val="center"/>
          </w:tcPr>
          <w:p w14:paraId="67E2305F">
            <w:pPr>
              <w:widowControl/>
              <w:adjustRightInd w:val="0"/>
              <w:snapToGrid w:val="0"/>
              <w:jc w:val="center"/>
              <w:rPr>
                <w:rFonts w:hint="eastAsia" w:ascii="宋体" w:hAnsi="宋体" w:cs="宋体"/>
                <w:b/>
                <w:color w:val="auto"/>
                <w:kern w:val="0"/>
                <w:sz w:val="28"/>
                <w:szCs w:val="28"/>
              </w:rPr>
            </w:pPr>
          </w:p>
        </w:tc>
      </w:tr>
      <w:tr w14:paraId="354B0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570" w:hRule="atLeast"/>
          <w:jc w:val="center"/>
        </w:trPr>
        <w:tc>
          <w:tcPr>
            <w:tcW w:w="862" w:type="dxa"/>
            <w:vAlign w:val="center"/>
          </w:tcPr>
          <w:p w14:paraId="673C27A8">
            <w:pPr>
              <w:keepNext w:val="0"/>
              <w:keepLines w:val="0"/>
              <w:widowControl/>
              <w:suppressLineNumbers w:val="0"/>
              <w:jc w:val="center"/>
              <w:textAlignment w:val="center"/>
              <w:rPr>
                <w:rFonts w:hint="eastAsia" w:ascii="宋体" w:hAnsi="宋体" w:eastAsia="宋体" w:cs="宋体"/>
                <w:b w:val="0"/>
                <w:bCs/>
                <w:color w:val="auto"/>
                <w:kern w:val="0"/>
                <w:sz w:val="21"/>
                <w:szCs w:val="21"/>
                <w:lang w:val="en-US" w:eastAsia="zh-CN"/>
              </w:rPr>
            </w:pPr>
            <w:r>
              <w:rPr>
                <w:rFonts w:hint="eastAsia" w:ascii="宋体" w:hAnsi="宋体" w:eastAsia="宋体" w:cs="宋体"/>
                <w:b w:val="0"/>
                <w:bCs/>
                <w:color w:val="auto"/>
                <w:kern w:val="0"/>
                <w:sz w:val="21"/>
                <w:szCs w:val="21"/>
                <w:lang w:val="en-US" w:eastAsia="zh-CN"/>
              </w:rPr>
              <w:t>27</w:t>
            </w:r>
          </w:p>
        </w:tc>
        <w:tc>
          <w:tcPr>
            <w:tcW w:w="1976" w:type="dxa"/>
            <w:vAlign w:val="center"/>
          </w:tcPr>
          <w:p w14:paraId="51686840">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★干式除尘系统应规范采用泄爆、隔爆、惰化、抑爆、抗爆等一种或多种控爆措施</w:t>
            </w:r>
          </w:p>
        </w:tc>
        <w:tc>
          <w:tcPr>
            <w:tcW w:w="3948" w:type="dxa"/>
            <w:vAlign w:val="center"/>
          </w:tcPr>
          <w:p w14:paraId="2F53B314">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1.《中华人民共和国安全生产法》第四十一条 ……</w:t>
            </w:r>
          </w:p>
          <w:p w14:paraId="25F9C927">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生产经营单位应当建立健全并落实生产安全事故隐患排查治理制度，采取技术、管理措施，及时发现并消除事故隐患.....</w:t>
            </w:r>
          </w:p>
          <w:p w14:paraId="5678BD16">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《工贸企业重大事故隐患判定标准》（应急管理部令第 10 号）第十一条  存在粉尘爆炸危险的工贸企业</w:t>
            </w:r>
          </w:p>
          <w:p w14:paraId="1E6CAC58">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（三）干式除尘系统未采取泄爆、惰化、抑爆等任一种爆炸防控措施的。</w:t>
            </w:r>
          </w:p>
          <w:p w14:paraId="3D5C6F4E">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tc>
        <w:tc>
          <w:tcPr>
            <w:tcW w:w="3224" w:type="dxa"/>
            <w:vAlign w:val="center"/>
          </w:tcPr>
          <w:p w14:paraId="56036A1A">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1《粉尘防爆安全规程》（GB 15577-2018）</w:t>
            </w:r>
          </w:p>
          <w:p w14:paraId="26F343E6">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7.1.3  存在粉尘爆炸危险的工艺设备，应采用泄爆、抑爆和隔爆、抗爆中的一种或多种控爆方式，但不能单独采取隔爆。</w:t>
            </w:r>
          </w:p>
          <w:p w14:paraId="25A020E2">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2.《铝镁制品机械加工粉尘防爆安全技术规范》 （AQ 4273-2016）9.1.2干式除尘系统应按照粉尘爆炸特性采取预防和控制粉尘爆炸的措施，选用降低爆炸危险的以下一种或多种防爆装置：泄爆装置、惰化装置、隔爆装置、抑爆装置。</w:t>
            </w:r>
          </w:p>
          <w:p w14:paraId="337FFEA9">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3.《粉尘爆炸危险场所用除尘系统安全技术规范》 （AQ 4273-2016）4.2干式除尘系统应按照粉尘爆炸特性采取预防和控制粉尘爆炸的措施，选用降低爆炸危险的以下一种或多种防爆装置：泄爆装置、惰化装置、隔爆装置、抑爆装制。</w:t>
            </w:r>
          </w:p>
        </w:tc>
        <w:tc>
          <w:tcPr>
            <w:tcW w:w="3315" w:type="dxa"/>
            <w:vAlign w:val="center"/>
          </w:tcPr>
          <w:p w14:paraId="6824F1E3">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819" w:type="dxa"/>
            <w:vAlign w:val="center"/>
          </w:tcPr>
          <w:p w14:paraId="1AAF1D50">
            <w:pPr>
              <w:widowControl/>
              <w:adjustRightInd w:val="0"/>
              <w:snapToGrid w:val="0"/>
              <w:jc w:val="center"/>
              <w:rPr>
                <w:rFonts w:hint="eastAsia" w:ascii="宋体" w:hAnsi="宋体" w:cs="宋体"/>
                <w:b/>
                <w:color w:val="auto"/>
                <w:kern w:val="0"/>
                <w:sz w:val="28"/>
                <w:szCs w:val="28"/>
              </w:rPr>
            </w:pPr>
          </w:p>
        </w:tc>
      </w:tr>
      <w:tr w14:paraId="20772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570" w:hRule="atLeast"/>
          <w:jc w:val="center"/>
        </w:trPr>
        <w:tc>
          <w:tcPr>
            <w:tcW w:w="862" w:type="dxa"/>
            <w:vAlign w:val="center"/>
          </w:tcPr>
          <w:p w14:paraId="66057AB4">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28</w:t>
            </w:r>
          </w:p>
        </w:tc>
        <w:tc>
          <w:tcPr>
            <w:tcW w:w="1976" w:type="dxa"/>
            <w:vAlign w:val="center"/>
          </w:tcPr>
          <w:p w14:paraId="3114624F">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★禁止采用粉尘沉降室除尘，禁止采用干式巷道式构筑物作为除尘风道</w:t>
            </w:r>
          </w:p>
        </w:tc>
        <w:tc>
          <w:tcPr>
            <w:tcW w:w="3948" w:type="dxa"/>
            <w:vAlign w:val="center"/>
          </w:tcPr>
          <w:p w14:paraId="30D79475">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1.《中华人民共和国安全生产法》第四十一条 ……</w:t>
            </w:r>
          </w:p>
          <w:p w14:paraId="05B4037B">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生产经营单位应当建立健全并落实生产安全事故隐患排查治理制度，采取技术、管理措施，及时发现并消除事故隐患.....</w:t>
            </w:r>
          </w:p>
          <w:p w14:paraId="1987F76B">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2.《工贸企业重大事故隐患判定标准》（应急管理部令第 10 号）第十一条  存在粉尘爆炸危险的工贸企业（五）除尘系统采用重力沉降室除尘，或者采用干式巷道式构筑物作为除尘风道的。</w:t>
            </w:r>
          </w:p>
        </w:tc>
        <w:tc>
          <w:tcPr>
            <w:tcW w:w="3224" w:type="dxa"/>
            <w:vAlign w:val="center"/>
          </w:tcPr>
          <w:p w14:paraId="19372173">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1.《粉尘防爆安全规程》（GB 15577-2018）</w:t>
            </w:r>
          </w:p>
          <w:p w14:paraId="3DE0B2D9">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8.3.2  禁止采用干式巷道式构筑物作为除尘风道。</w:t>
            </w:r>
          </w:p>
          <w:p w14:paraId="1CCFEADC">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8.4.2  禁止采用重力沉降室除尘。</w:t>
            </w:r>
          </w:p>
          <w:p w14:paraId="4EC4B145">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tc>
        <w:tc>
          <w:tcPr>
            <w:tcW w:w="3315" w:type="dxa"/>
            <w:vAlign w:val="center"/>
          </w:tcPr>
          <w:p w14:paraId="2AB52FEE">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819" w:type="dxa"/>
            <w:vAlign w:val="center"/>
          </w:tcPr>
          <w:p w14:paraId="2F085973">
            <w:pPr>
              <w:widowControl/>
              <w:adjustRightInd w:val="0"/>
              <w:snapToGrid w:val="0"/>
              <w:jc w:val="center"/>
              <w:rPr>
                <w:rFonts w:hint="eastAsia" w:ascii="宋体" w:hAnsi="宋体" w:cs="宋体"/>
                <w:b/>
                <w:color w:val="00B050"/>
                <w:kern w:val="0"/>
                <w:sz w:val="28"/>
                <w:szCs w:val="28"/>
              </w:rPr>
            </w:pPr>
          </w:p>
        </w:tc>
      </w:tr>
      <w:tr w14:paraId="108D8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3609" w:hRule="atLeast"/>
          <w:jc w:val="center"/>
        </w:trPr>
        <w:tc>
          <w:tcPr>
            <w:tcW w:w="862" w:type="dxa"/>
            <w:vAlign w:val="center"/>
          </w:tcPr>
          <w:p w14:paraId="06D18CDE">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29</w:t>
            </w:r>
          </w:p>
        </w:tc>
        <w:tc>
          <w:tcPr>
            <w:tcW w:w="1976" w:type="dxa"/>
            <w:vAlign w:val="center"/>
          </w:tcPr>
          <w:p w14:paraId="5EEC4A84">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★粉尘爆炸危险场所的20区应使用防爆电气设备设施</w:t>
            </w:r>
          </w:p>
        </w:tc>
        <w:tc>
          <w:tcPr>
            <w:tcW w:w="3948" w:type="dxa"/>
            <w:vAlign w:val="center"/>
          </w:tcPr>
          <w:p w14:paraId="677C2E97">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1.《中华人民共和国安全生产法》第四十一条 ……</w:t>
            </w:r>
          </w:p>
          <w:p w14:paraId="5C72C78F">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生产经营单位应当建立健全并落实生产安全事故隐患排查治理制度，采取技术、管理措施，及时发现并消除事故隐患.....</w:t>
            </w:r>
          </w:p>
          <w:p w14:paraId="0D7C49F7">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2.《工贸企业重大事故隐患判定标准》（应急管理部令第 10 号）第十一条  存在粉尘爆炸危险的工贸企业（七）除尘器、收尘仓等划分为20区的粉尘爆炸危险场所电气设备不符合防爆要求的。</w:t>
            </w:r>
          </w:p>
        </w:tc>
        <w:tc>
          <w:tcPr>
            <w:tcW w:w="3224" w:type="dxa"/>
            <w:vAlign w:val="center"/>
          </w:tcPr>
          <w:p w14:paraId="01C39A3F">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1.《粉尘防爆安全规程》（GB 15577-2018）</w:t>
            </w:r>
          </w:p>
          <w:p w14:paraId="2A74246A">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6.3.3  粉尘爆炸危险场所用电气设备应符合GB 12476.1、GB/T 3836.15的相关规定；应防止由电气设备或线路产生的过热及火花，防止可燃性粉尘进入产生电火花或高温部件的外壳内。</w:t>
            </w:r>
          </w:p>
          <w:p w14:paraId="59F55E26">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6.3.3  粉尘爆炸危险场所电气设计、安装应按GB 50058的有关规定执行。</w:t>
            </w:r>
          </w:p>
          <w:p w14:paraId="7650DDB5">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tc>
        <w:tc>
          <w:tcPr>
            <w:tcW w:w="3315" w:type="dxa"/>
            <w:vAlign w:val="center"/>
          </w:tcPr>
          <w:p w14:paraId="5CB042A2">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819" w:type="dxa"/>
            <w:vAlign w:val="center"/>
          </w:tcPr>
          <w:p w14:paraId="353C6B55">
            <w:pPr>
              <w:widowControl/>
              <w:adjustRightInd w:val="0"/>
              <w:snapToGrid w:val="0"/>
              <w:jc w:val="center"/>
              <w:rPr>
                <w:rFonts w:hint="eastAsia" w:ascii="宋体" w:hAnsi="宋体" w:cs="宋体"/>
                <w:b/>
                <w:color w:val="auto"/>
                <w:kern w:val="0"/>
                <w:sz w:val="28"/>
                <w:szCs w:val="28"/>
              </w:rPr>
            </w:pPr>
          </w:p>
        </w:tc>
      </w:tr>
      <w:tr w14:paraId="55739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570" w:hRule="atLeast"/>
          <w:jc w:val="center"/>
        </w:trPr>
        <w:tc>
          <w:tcPr>
            <w:tcW w:w="862" w:type="dxa"/>
            <w:vAlign w:val="center"/>
          </w:tcPr>
          <w:p w14:paraId="6746576C">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30</w:t>
            </w:r>
          </w:p>
        </w:tc>
        <w:tc>
          <w:tcPr>
            <w:tcW w:w="1976" w:type="dxa"/>
            <w:vAlign w:val="center"/>
          </w:tcPr>
          <w:p w14:paraId="34A5D34C">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★粉碎、研磨、造粒等易产生机械点燃源的工艺设备前，应设置铁、石等杂物去除装置，木制品加工企业与砂光机连接的风管应设置火花探测消除装置的；</w:t>
            </w:r>
          </w:p>
        </w:tc>
        <w:tc>
          <w:tcPr>
            <w:tcW w:w="3948" w:type="dxa"/>
            <w:vAlign w:val="center"/>
          </w:tcPr>
          <w:p w14:paraId="2E91D421">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1.《中华人民共和国安全生产法》第四十一条 ……</w:t>
            </w:r>
          </w:p>
          <w:p w14:paraId="0F698C8B">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生产经营单位应当建立健全并落实生产安全事故隐患排查治理制度，采取技术、管理措施，及时发现并消除事故隐患.....</w:t>
            </w:r>
          </w:p>
          <w:p w14:paraId="5D2756AD">
            <w:pPr>
              <w:keepNext w:val="0"/>
              <w:keepLines w:val="0"/>
              <w:widowControl/>
              <w:suppressLineNumbers w:val="0"/>
              <w:ind w:firstLine="210" w:firstLineChars="10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2.《工贸企业重大事故隐患判定标准》（应急管理部令第 10 号）第十一条  存在粉尘爆炸危险的工贸企业（八）粉碎、研磨、造粒等易产生机械点燃源的工艺设备前，未设置铁、石等杂物去除装置，或者木制品加工企业与砂光机连接的风管未设置火花探测消除装置的。</w:t>
            </w:r>
          </w:p>
        </w:tc>
        <w:tc>
          <w:tcPr>
            <w:tcW w:w="3224" w:type="dxa"/>
            <w:vAlign w:val="center"/>
          </w:tcPr>
          <w:p w14:paraId="7F74DA76">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1.《粉尘防爆安全规程》（GB 15577-2018）</w:t>
            </w:r>
          </w:p>
          <w:p w14:paraId="6B303725">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6.4.5  粉尘输送管道中存在火花等点火源时，如与木质板材加工用砂光机连接的除尘风管、纺织梳棉（麻）设备除尘风管等，应设置火花探测与消除火花的装置。</w:t>
            </w:r>
          </w:p>
          <w:p w14:paraId="66D0B622">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tc>
        <w:tc>
          <w:tcPr>
            <w:tcW w:w="3315" w:type="dxa"/>
            <w:vAlign w:val="center"/>
          </w:tcPr>
          <w:p w14:paraId="5D6F7F4C">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819" w:type="dxa"/>
            <w:vAlign w:val="center"/>
          </w:tcPr>
          <w:p w14:paraId="48E01B86">
            <w:pPr>
              <w:widowControl/>
              <w:adjustRightInd w:val="0"/>
              <w:snapToGrid w:val="0"/>
              <w:jc w:val="center"/>
              <w:rPr>
                <w:rFonts w:hint="eastAsia" w:ascii="宋体" w:hAnsi="宋体" w:cs="宋体"/>
                <w:b/>
                <w:color w:val="auto"/>
                <w:kern w:val="0"/>
                <w:sz w:val="28"/>
                <w:szCs w:val="28"/>
                <w:highlight w:val="none"/>
              </w:rPr>
            </w:pPr>
          </w:p>
        </w:tc>
      </w:tr>
      <w:tr w14:paraId="3EF33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570" w:hRule="atLeast"/>
          <w:jc w:val="center"/>
        </w:trPr>
        <w:tc>
          <w:tcPr>
            <w:tcW w:w="862" w:type="dxa"/>
            <w:vAlign w:val="center"/>
          </w:tcPr>
          <w:p w14:paraId="2113F90A">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14:paraId="751FC8D8">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14:paraId="0FB5AF19">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p>
          <w:p w14:paraId="7B3F2F93">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31</w:t>
            </w:r>
          </w:p>
        </w:tc>
        <w:tc>
          <w:tcPr>
            <w:tcW w:w="1976" w:type="dxa"/>
            <w:vAlign w:val="center"/>
          </w:tcPr>
          <w:p w14:paraId="7519EB84">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★是否落实粉尘清理制度，造成作业现场积尘严重的</w:t>
            </w:r>
          </w:p>
        </w:tc>
        <w:tc>
          <w:tcPr>
            <w:tcW w:w="3948" w:type="dxa"/>
            <w:vAlign w:val="center"/>
          </w:tcPr>
          <w:p w14:paraId="16E4F001">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1.《中华人民共和国安全生产法》第四十一条 ……</w:t>
            </w:r>
          </w:p>
          <w:p w14:paraId="6AFFF29D">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生产经营单位应当建立健全并落实生产安全事故隐患排查治理制度，采取技术、管理措施，及时发现并消除事故隐患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14:paraId="05FDEF0F">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2.《工贸企业重大事故隐患判定标准》（应急管理部令第 10 号）第十一条  存在粉尘爆炸危险的工贸企业（十）未落实粉尘清理制度，造成作业现场积尘严重的。</w:t>
            </w:r>
          </w:p>
        </w:tc>
        <w:tc>
          <w:tcPr>
            <w:tcW w:w="3224" w:type="dxa"/>
            <w:vAlign w:val="center"/>
          </w:tcPr>
          <w:p w14:paraId="43B90F83">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1.《粉尘防爆安全规程》（GB 15577-2018）</w:t>
            </w:r>
          </w:p>
          <w:p w14:paraId="557BE40F">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9.1  企业对粉尘爆炸危险场所应制定包括清扫范围、清扫方式、清扫周期等内容的粉尘清洁制度。</w:t>
            </w:r>
          </w:p>
          <w:p w14:paraId="1FAC5E52">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9.4  所有可能沉积粉尘的区域(包括粉料贮存间)及设备设施的所有部位应进行及时全面规范清扫。</w:t>
            </w:r>
          </w:p>
          <w:p w14:paraId="13B80071">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9.5  应根据粉尘特性采用不产生扬尘的清扫方法，不应使用压缩空气进行吹扫，宜采用负压吸尘方式清洁。</w:t>
            </w:r>
          </w:p>
          <w:p w14:paraId="6591CE5A">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tc>
        <w:tc>
          <w:tcPr>
            <w:tcW w:w="3315" w:type="dxa"/>
            <w:vAlign w:val="center"/>
          </w:tcPr>
          <w:p w14:paraId="1B241600">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819" w:type="dxa"/>
            <w:vAlign w:val="center"/>
          </w:tcPr>
          <w:p w14:paraId="36765455">
            <w:pPr>
              <w:widowControl/>
              <w:adjustRightInd w:val="0"/>
              <w:snapToGrid w:val="0"/>
              <w:jc w:val="center"/>
              <w:rPr>
                <w:rFonts w:hint="eastAsia" w:ascii="宋体" w:hAnsi="宋体" w:cs="宋体"/>
                <w:b/>
                <w:color w:val="auto"/>
                <w:kern w:val="0"/>
                <w:sz w:val="28"/>
                <w:szCs w:val="28"/>
              </w:rPr>
            </w:pPr>
          </w:p>
        </w:tc>
      </w:tr>
      <w:tr w14:paraId="1110B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570" w:hRule="atLeast"/>
          <w:jc w:val="center"/>
        </w:trPr>
        <w:tc>
          <w:tcPr>
            <w:tcW w:w="862" w:type="dxa"/>
            <w:vAlign w:val="center"/>
          </w:tcPr>
          <w:p w14:paraId="16E1F77D">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32</w:t>
            </w:r>
          </w:p>
        </w:tc>
        <w:tc>
          <w:tcPr>
            <w:tcW w:w="1976" w:type="dxa"/>
            <w:vAlign w:val="center"/>
          </w:tcPr>
          <w:p w14:paraId="496ACF35">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★存在硫化氢、一氧化碳等中毒风险的有限空间作业的工贸企业应对有限空间进行辨识、建立安全管理台账，并且设置明显的安全警示标志</w:t>
            </w:r>
          </w:p>
        </w:tc>
        <w:tc>
          <w:tcPr>
            <w:tcW w:w="3948" w:type="dxa"/>
            <w:vAlign w:val="center"/>
          </w:tcPr>
          <w:p w14:paraId="34E8FE78">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1.《中华人民共和国安全生产法》第四十一条 ……</w:t>
            </w:r>
          </w:p>
          <w:p w14:paraId="0A54C5AC">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生产经营单位应当建立健全并落实生产安全事故隐患排查治理制度，采取技术、管理措施，及时发现并消除事故隐患.....</w:t>
            </w:r>
          </w:p>
          <w:p w14:paraId="7CFB81D0">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2.《工贸企业有限空间作业安全管理与监督暂行规定》</w:t>
            </w:r>
          </w:p>
          <w:p w14:paraId="3C66C136">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第七条 工贸企业应当对本企业的有限空间进行辨识，确定有限空间的数量、位置以及危险有害因素等基本情况，建立有限空间管理台账，并及时更新；</w:t>
            </w:r>
          </w:p>
          <w:p w14:paraId="69A7D3E8">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第十九条  工贸企业有限空间作业还应当符合下列要求：</w:t>
            </w:r>
          </w:p>
          <w:p w14:paraId="47F4406D">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（二）设置明显的安全警示标志和警示说明；</w:t>
            </w:r>
          </w:p>
          <w:p w14:paraId="41261788">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3.《工贸企业重大事故隐患判定标准》（应急管理部令第10号）</w:t>
            </w:r>
          </w:p>
          <w:p w14:paraId="4E9AC7BC">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存在硫化氢、一氧化碳等中毒风险的有限空间作业的工贸企业有下列情形之一的，应当判定为重大事故隐患：</w:t>
            </w:r>
          </w:p>
          <w:p w14:paraId="678A71D0">
            <w:pPr>
              <w:keepNext w:val="0"/>
              <w:keepLines w:val="0"/>
              <w:widowControl/>
              <w:suppressLineNumbers w:val="0"/>
              <w:ind w:firstLine="210" w:firstLineChars="10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(一)未对有限空间进行辨识、建立安全管理台账，并且未设置明显的安全警示标志的。</w:t>
            </w:r>
          </w:p>
        </w:tc>
        <w:tc>
          <w:tcPr>
            <w:tcW w:w="3224" w:type="dxa"/>
            <w:vAlign w:val="center"/>
          </w:tcPr>
          <w:p w14:paraId="1B378977">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安全标志及其使用导则》（GB2894-2008）9.1标志牌应设在与安全有关的醒目地方，并使大家看见后，有足够的时间来注意它所表示的内容。环境信息标志宜设在有关场所的入口处和醒目处；局部信息标志应设在所涉及的相应危险地点或设备（部件）附近的醒目处。</w:t>
            </w:r>
          </w:p>
          <w:p w14:paraId="11335C9A">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建设工程安全生产管理条例》第二十八条施工单位应当在施工现场入口处、施工起重机械、临时用电设施、脚手架、出入通道口、楼梯口、电梯井口、孔洞口、桥梁口、隧道口、基坑边沿、爆破物及有害危险气体和液体存放处等危险部位，设置明显的安全警示标志。安全警示标志必须符合国家标准。</w:t>
            </w:r>
          </w:p>
        </w:tc>
        <w:tc>
          <w:tcPr>
            <w:tcW w:w="3315" w:type="dxa"/>
            <w:vAlign w:val="center"/>
          </w:tcPr>
          <w:p w14:paraId="0D7AA8B1">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1.《中华人民共和国安全生产法》第九十九条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14:paraId="74980F35">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（一）未在有较大危险因素的生产经营场所和有关设施、设备上设置明显的安全警示标志的；</w:t>
            </w:r>
          </w:p>
          <w:p w14:paraId="4873956E">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14:paraId="47354287">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p w14:paraId="232C85FD">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3.《工贸企业有限空间作业安全管理与监督暂行规定》第二十八条  工贸企业有下列行为之一的，由县级以上安全生产监督管理部门责令限期改正，可以处5万元以下的罚款；逾期未改正的，处5万元以上20万元以下的罚款，其直接负责的主管人员和其他直接责任人员处1万元以上2万元以下的罚款；情节严重的，责令停产停业整顿：</w:t>
            </w:r>
          </w:p>
          <w:p w14:paraId="4AFDC733">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（一）未在有限空间作业场所设置明显的安全警示标志的；</w:t>
            </w:r>
          </w:p>
          <w:p w14:paraId="1CCAB650">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p w14:paraId="116C446D">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二十九条 工贸企业有下列情形之一的，由县级以上安全生产监督管理部门给予警告，可以并处2万元以下的罚款：（一）未按照本规定对有限空间作业进行辨识、提出防范措施、建立有限空间管理台账的；</w:t>
            </w:r>
          </w:p>
        </w:tc>
        <w:tc>
          <w:tcPr>
            <w:tcW w:w="819" w:type="dxa"/>
            <w:vAlign w:val="center"/>
          </w:tcPr>
          <w:p w14:paraId="2870676A">
            <w:pPr>
              <w:widowControl/>
              <w:adjustRightInd w:val="0"/>
              <w:snapToGrid w:val="0"/>
              <w:jc w:val="center"/>
              <w:rPr>
                <w:rFonts w:hint="eastAsia" w:ascii="宋体" w:hAnsi="宋体" w:cs="宋体"/>
                <w:b/>
                <w:color w:val="auto"/>
                <w:kern w:val="0"/>
                <w:sz w:val="21"/>
                <w:szCs w:val="21"/>
              </w:rPr>
            </w:pPr>
          </w:p>
        </w:tc>
      </w:tr>
      <w:tr w14:paraId="7669B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570" w:hRule="atLeast"/>
          <w:jc w:val="center"/>
        </w:trPr>
        <w:tc>
          <w:tcPr>
            <w:tcW w:w="862" w:type="dxa"/>
            <w:vAlign w:val="center"/>
          </w:tcPr>
          <w:p w14:paraId="49270B8E">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33</w:t>
            </w:r>
          </w:p>
        </w:tc>
        <w:tc>
          <w:tcPr>
            <w:tcW w:w="1976" w:type="dxa"/>
            <w:vAlign w:val="center"/>
          </w:tcPr>
          <w:p w14:paraId="5DE354E9">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★存在硫化氢、一氧化碳等中毒风险的有限空间作业的工贸企业未落实有限空间作业审批，或者未执行“先通风、再检测、后作业”要求，或者作业现场未设置监护人员的。</w:t>
            </w:r>
          </w:p>
        </w:tc>
        <w:tc>
          <w:tcPr>
            <w:tcW w:w="3948" w:type="dxa"/>
            <w:vAlign w:val="center"/>
          </w:tcPr>
          <w:p w14:paraId="00E14051">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1.《中华人民共和国安全生产法》第四十一条 ……</w:t>
            </w:r>
          </w:p>
          <w:p w14:paraId="2F2D93B0">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生产经营单位应当建立健全并落实生产安全事故隐患排查治理制度，采取技术、管理措施，及时发现并消除事故隐患.....</w:t>
            </w:r>
          </w:p>
          <w:p w14:paraId="0FFA895C">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2.《工贸企业有限空间作业安全管理与监督暂行规定》 第八条  工贸企业实施有限空间作业前，应当对作业环境进行评估，分析存在的危险有害因素，提出消除、控制危害的措施，制定有限空间作业方案，并经本企业安全生产管理人员审核，负责人批准。</w:t>
            </w:r>
          </w:p>
          <w:p w14:paraId="7CD8125B">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第九条 工贸企业应当按照有限空间作业方案，明确作业现场负责人、监护人员、作业人员及其安全职责。</w:t>
            </w:r>
          </w:p>
          <w:p w14:paraId="2E50C9FB">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3.《工贸企业重大事故隐患判定标准》（应急管理部令第10号）</w:t>
            </w:r>
          </w:p>
          <w:p w14:paraId="0AAD81C8">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存在硫化氢、一氧化碳等中毒风险的有限空间作业的工贸企业有下列情形之一的，应当判定为重大事故隐患：</w:t>
            </w:r>
          </w:p>
          <w:p w14:paraId="057060BF">
            <w:pPr>
              <w:keepNext w:val="0"/>
              <w:keepLines w:val="0"/>
              <w:widowControl/>
              <w:suppressLineNumbers w:val="0"/>
              <w:ind w:firstLine="210" w:firstLineChars="10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未落实有限空间作业审批，或者未执行“先通风、再检测、后作业”要求，或者作业现场未设置监护人员的。</w:t>
            </w:r>
          </w:p>
        </w:tc>
        <w:tc>
          <w:tcPr>
            <w:tcW w:w="3224" w:type="dxa"/>
            <w:vAlign w:val="center"/>
          </w:tcPr>
          <w:p w14:paraId="6F94CEA0">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tc>
        <w:tc>
          <w:tcPr>
            <w:tcW w:w="3315" w:type="dxa"/>
            <w:vAlign w:val="center"/>
          </w:tcPr>
          <w:p w14:paraId="493277CC">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1.《中华人民共和国安全生产法》第一百零二条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14:paraId="590E38B0">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2.《工贸企业有限空间作业安全管理与监督暂行规定》第三十条  工贸企业有下列情形之一的，由县级以上安全生产监督管理部门责令限期改正，可以处3万元以下的罚款，对其直接负责的主管人员和其他直接责任人员处1万元以下的罚款：</w:t>
            </w:r>
          </w:p>
          <w:p w14:paraId="55939B60">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p w14:paraId="1BBAB37C">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（三）未按照本规定对有限空间作业制定作业方案或者方案未经审批擅自作业的；（四）有限空间作业未按照本规定进行危险有害因素检测或者监测，并实行专人监护作业的</w:t>
            </w:r>
          </w:p>
        </w:tc>
        <w:tc>
          <w:tcPr>
            <w:tcW w:w="819" w:type="dxa"/>
            <w:vAlign w:val="center"/>
          </w:tcPr>
          <w:p w14:paraId="74000D76">
            <w:pPr>
              <w:widowControl/>
              <w:adjustRightInd w:val="0"/>
              <w:snapToGrid w:val="0"/>
              <w:jc w:val="center"/>
              <w:rPr>
                <w:rFonts w:hint="eastAsia" w:ascii="宋体" w:hAnsi="宋体" w:cs="宋体"/>
                <w:b/>
                <w:color w:val="auto"/>
                <w:kern w:val="0"/>
                <w:sz w:val="21"/>
                <w:szCs w:val="21"/>
              </w:rPr>
            </w:pPr>
          </w:p>
        </w:tc>
      </w:tr>
      <w:tr w14:paraId="5F6E4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570" w:hRule="atLeast"/>
          <w:jc w:val="center"/>
        </w:trPr>
        <w:tc>
          <w:tcPr>
            <w:tcW w:w="862" w:type="dxa"/>
            <w:vAlign w:val="center"/>
          </w:tcPr>
          <w:p w14:paraId="1AD5C5DC">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34</w:t>
            </w:r>
          </w:p>
        </w:tc>
        <w:tc>
          <w:tcPr>
            <w:tcW w:w="1976" w:type="dxa"/>
            <w:vAlign w:val="center"/>
          </w:tcPr>
          <w:p w14:paraId="26B206E3">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企业在开展吊装、动火、临时用电、有限空间等其他危险作业，未安排专门人员进行现场安全管理的，未遵守安全操作规程和落实安全措施的；冶金企业和有色企业未建立有限空间、动火、高处作业、能源介质停送等较大危险作业和检修、维修作业审批制度的，或者实施工作票（作业票）和操作票管理未严格履行内部审批手续的。</w:t>
            </w:r>
          </w:p>
        </w:tc>
        <w:tc>
          <w:tcPr>
            <w:tcW w:w="3948" w:type="dxa"/>
            <w:vAlign w:val="center"/>
          </w:tcPr>
          <w:p w14:paraId="0880F31D">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《中华人民共和国安全生产法》第四十三条 生产经营单位进行爆破、吊装、动火、临时用电以及国务院应急管理部门会同国务院有关部门规定的其他危险作业，应当安排专门人员进行现场安全管理，确保操作规程的遵守和安全措施的落实。</w:t>
            </w:r>
          </w:p>
          <w:p w14:paraId="317D3674">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w:t>
            </w:r>
          </w:p>
          <w:p w14:paraId="2DBB1E33">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《冶金企业和有色金属企业安全生产规定》（安监总局令第91号）第三十八条 企业应当建立有限空间、动火、高处作业、能源介质停送等较大危险作业和检修、维修作业审批制度，实施工作票（作业票）和操作票管理，严格履行内部审批手续，并安排专门人员进行现场安全管理，确保作业安全。</w:t>
            </w:r>
          </w:p>
        </w:tc>
        <w:tc>
          <w:tcPr>
            <w:tcW w:w="3224" w:type="dxa"/>
            <w:vAlign w:val="center"/>
          </w:tcPr>
          <w:p w14:paraId="15A1E75C">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《危险化学品企业特殊作业安全规范》（GB30871-2022）第4.10条 作业期间应设监护人。监护人应由具有生产(作业)实践经验的人员担任,并经专项培训考试合格，佩戴明显标识,持培训合格证上岗。</w:t>
            </w:r>
          </w:p>
        </w:tc>
        <w:tc>
          <w:tcPr>
            <w:tcW w:w="3315" w:type="dxa"/>
            <w:vAlign w:val="center"/>
          </w:tcPr>
          <w:p w14:paraId="369AE89E">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《中华人民共和国安全生产法》第一百零一条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p w14:paraId="5BF69BC1">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p w14:paraId="0DF8B693">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（三）进行爆破、吊装、动火、临时用电以及国务院应急管理部门会同国务院有关部门规定的其他危险作业，未安排专门人员进行现场安全管理的；</w:t>
            </w:r>
          </w:p>
          <w:p w14:paraId="6C0FC59C">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p w14:paraId="3A70DC84">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p>
        </w:tc>
        <w:tc>
          <w:tcPr>
            <w:tcW w:w="819" w:type="dxa"/>
            <w:vAlign w:val="center"/>
          </w:tcPr>
          <w:p w14:paraId="7B1DFD46">
            <w:pPr>
              <w:rPr>
                <w:rFonts w:hint="eastAsia" w:ascii="宋体" w:hAnsi="宋体" w:cs="宋体"/>
                <w:b/>
                <w:color w:val="auto"/>
                <w:kern w:val="0"/>
                <w:sz w:val="21"/>
                <w:szCs w:val="21"/>
              </w:rPr>
            </w:pPr>
          </w:p>
        </w:tc>
      </w:tr>
      <w:tr w14:paraId="2D50A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570" w:hRule="atLeast"/>
          <w:jc w:val="center"/>
        </w:trPr>
        <w:tc>
          <w:tcPr>
            <w:tcW w:w="862" w:type="dxa"/>
            <w:vAlign w:val="center"/>
          </w:tcPr>
          <w:p w14:paraId="7779BD3C">
            <w:pPr>
              <w:keepNext w:val="0"/>
              <w:keepLines w:val="0"/>
              <w:widowControl/>
              <w:suppressLineNumbers w:val="0"/>
              <w:jc w:val="center"/>
              <w:textAlignment w:val="center"/>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35</w:t>
            </w:r>
          </w:p>
        </w:tc>
        <w:tc>
          <w:tcPr>
            <w:tcW w:w="1976" w:type="dxa"/>
            <w:vAlign w:val="center"/>
          </w:tcPr>
          <w:p w14:paraId="6412E445">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企业未落实机械伤害“四必有”即有轴必有套、有轮必有罩、有台必有栏、有洞必有盖要求的。</w:t>
            </w:r>
          </w:p>
        </w:tc>
        <w:tc>
          <w:tcPr>
            <w:tcW w:w="3948" w:type="dxa"/>
            <w:vAlign w:val="center"/>
          </w:tcPr>
          <w:p w14:paraId="57164965">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《中华人民共和国安全生产法》第三十六条</w:t>
            </w:r>
          </w:p>
          <w:p w14:paraId="4E939A46">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w:t>
            </w:r>
          </w:p>
          <w:p w14:paraId="2C485B8B">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生产经营单位必须对安全设备进行经常性维护、保养，并定期检测，保证正常运转。维护、保养、检测应当作好记录，并由有关人员签字。</w:t>
            </w:r>
          </w:p>
          <w:p w14:paraId="2443E835">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生产经营单位不得关闭、破坏直接关系生产安全的监控、报警、防护、救生设备、设施，或者篡改、隐瞒、销毁其相关数据、信息。</w:t>
            </w:r>
          </w:p>
          <w:p w14:paraId="00767843">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3224" w:type="dxa"/>
            <w:vAlign w:val="center"/>
          </w:tcPr>
          <w:p w14:paraId="0730C632">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《固定式钢梯及平台安全要求第3部分：工业防护栏杆及钢平台》（GB4053.3-2009）4.1.1距下方相邻地板或地面1.2m及以上的平台、通道或者工作面的所有边敞开边缘应设置防护栏杆；</w:t>
            </w:r>
          </w:p>
          <w:p w14:paraId="15B26C23">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《机械安全防护装置固定式和活动式防护装置设计与制造一般要求》（GB/T 8196-2018）6.4.2 运动传递部件对运动传递部件，如皮带轮、皮带、齿轮、导轨、齿杆、传动轴产生的危险的防护，应采用固定式防护装置或活动式联锁防护装置。</w:t>
            </w:r>
          </w:p>
          <w:p w14:paraId="7A0E42D1">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《建筑施工高处作业安全技术规范》（JGJ80）第四条 施工现场通道附近的各类洞口与坑槽等处，除设置防护设施与安全标志外，夜间还应设红灯示警。</w:t>
            </w:r>
          </w:p>
        </w:tc>
        <w:tc>
          <w:tcPr>
            <w:tcW w:w="3315" w:type="dxa"/>
            <w:vAlign w:val="center"/>
          </w:tcPr>
          <w:p w14:paraId="3C45BA5B">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《中华人民共和国安全生产法》第九十九条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三）未对安全设备进行经常性维护、保养和定期检测的；（四）关闭、破坏直接关系生产安全的监控、报警、防护、救生设备、设施，或者篡改、隐瞒、销毁其相关数据、信息的；</w:t>
            </w:r>
          </w:p>
        </w:tc>
        <w:tc>
          <w:tcPr>
            <w:tcW w:w="819" w:type="dxa"/>
            <w:vAlign w:val="center"/>
          </w:tcPr>
          <w:p w14:paraId="5A3314A2">
            <w:pPr>
              <w:rPr>
                <w:rFonts w:hint="eastAsia" w:ascii="宋体" w:hAnsi="宋体" w:cs="宋体"/>
                <w:b/>
                <w:color w:val="auto"/>
                <w:kern w:val="0"/>
                <w:sz w:val="21"/>
                <w:szCs w:val="21"/>
              </w:rPr>
            </w:pPr>
          </w:p>
        </w:tc>
      </w:tr>
    </w:tbl>
    <w:p w14:paraId="38AEEFC7">
      <w:pPr>
        <w:pStyle w:val="11"/>
        <w:rPr>
          <w:rFonts w:hint="eastAsia"/>
          <w:lang w:val="en-US" w:eastAsia="zh-CN"/>
        </w:rPr>
      </w:pPr>
    </w:p>
    <w:p w14:paraId="5ADB6364">
      <w:pPr>
        <w:pStyle w:val="7"/>
      </w:pPr>
    </w:p>
    <w:p w14:paraId="6516EA27">
      <w:pPr>
        <w:pStyle w:val="7"/>
      </w:pPr>
    </w:p>
    <w:p w14:paraId="603871EE">
      <w:pPr>
        <w:pStyle w:val="7"/>
      </w:pPr>
    </w:p>
    <w:p w14:paraId="755DBEAC">
      <w:pPr>
        <w:pStyle w:val="7"/>
      </w:pPr>
    </w:p>
    <w:p w14:paraId="08F078E6">
      <w:pPr>
        <w:pStyle w:val="7"/>
      </w:pPr>
    </w:p>
    <w:p w14:paraId="5F6F33B3">
      <w:pPr>
        <w:jc w:val="center"/>
        <w:rPr>
          <w:rFonts w:hint="eastAsia" w:ascii="方正小标宋简体" w:hAnsi="方正小标宋简体" w:eastAsia="方正小标宋简体" w:cs="方正小标宋简体"/>
          <w:b w:val="0"/>
          <w:sz w:val="36"/>
          <w:szCs w:val="36"/>
          <w:lang w:val="en-US" w:eastAsia="zh-CN"/>
        </w:rPr>
      </w:pPr>
      <w:r>
        <w:rPr>
          <w:rFonts w:hint="eastAsia" w:ascii="方正小标宋简体" w:hAnsi="方正小标宋简体" w:eastAsia="方正小标宋简体" w:cs="方正小标宋简体"/>
          <w:b w:val="0"/>
          <w:sz w:val="36"/>
          <w:szCs w:val="36"/>
          <w:lang w:val="en-US" w:eastAsia="zh-CN"/>
        </w:rPr>
        <w:t>自治区安全生产执法检查重点事项指导目录（安全评价检测检验机构）</w:t>
      </w:r>
    </w:p>
    <w:tbl>
      <w:tblPr>
        <w:tblStyle w:val="8"/>
        <w:tblW w:w="1431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16"/>
        <w:gridCol w:w="1600"/>
        <w:gridCol w:w="3852"/>
        <w:gridCol w:w="3540"/>
        <w:gridCol w:w="4187"/>
        <w:gridCol w:w="615"/>
      </w:tblGrid>
      <w:tr w14:paraId="6FA30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61" w:hRule="atLeast"/>
          <w:tblHeader/>
        </w:trPr>
        <w:tc>
          <w:tcPr>
            <w:tcW w:w="516" w:type="dxa"/>
            <w:tcBorders>
              <w:top w:val="single" w:color="000000" w:sz="4" w:space="0"/>
              <w:left w:val="single" w:color="000000" w:sz="4" w:space="0"/>
              <w:right w:val="single" w:color="000000" w:sz="4" w:space="0"/>
            </w:tcBorders>
            <w:shd w:val="clear" w:color="auto" w:fill="auto"/>
            <w:vAlign w:val="center"/>
          </w:tcPr>
          <w:p w14:paraId="6E81BC25">
            <w:pPr>
              <w:keepNext w:val="0"/>
              <w:keepLines w:val="0"/>
              <w:widowControl/>
              <w:suppressLineNumbers w:val="0"/>
              <w:jc w:val="center"/>
              <w:textAlignment w:val="center"/>
              <w:rPr>
                <w:rFonts w:hint="eastAsia" w:ascii="黑体" w:hAnsi="黑体" w:eastAsia="黑体" w:cs="黑体"/>
                <w:b/>
                <w:i w:val="0"/>
                <w:color w:val="000000"/>
                <w:sz w:val="24"/>
                <w:szCs w:val="24"/>
                <w:u w:val="none"/>
              </w:rPr>
            </w:pPr>
            <w:r>
              <w:rPr>
                <w:rFonts w:hint="eastAsia" w:ascii="黑体" w:hAnsi="黑体" w:eastAsia="黑体" w:cs="黑体"/>
                <w:b/>
                <w:i w:val="0"/>
                <w:color w:val="000000"/>
                <w:kern w:val="0"/>
                <w:sz w:val="24"/>
                <w:szCs w:val="24"/>
                <w:u w:val="none"/>
                <w:lang w:val="en-US" w:eastAsia="zh-CN" w:bidi="ar"/>
              </w:rPr>
              <w:t>序号</w:t>
            </w:r>
          </w:p>
        </w:tc>
        <w:tc>
          <w:tcPr>
            <w:tcW w:w="1600" w:type="dxa"/>
            <w:tcBorders>
              <w:top w:val="single" w:color="000000" w:sz="4" w:space="0"/>
              <w:left w:val="single" w:color="000000" w:sz="4" w:space="0"/>
              <w:right w:val="single" w:color="000000" w:sz="4" w:space="0"/>
            </w:tcBorders>
            <w:shd w:val="clear" w:color="auto" w:fill="auto"/>
            <w:vAlign w:val="center"/>
          </w:tcPr>
          <w:p w14:paraId="6E99D9CD">
            <w:pPr>
              <w:keepNext w:val="0"/>
              <w:keepLines w:val="0"/>
              <w:widowControl/>
              <w:suppressLineNumbers w:val="0"/>
              <w:jc w:val="center"/>
              <w:textAlignment w:val="center"/>
              <w:rPr>
                <w:rFonts w:hint="eastAsia" w:ascii="黑体" w:hAnsi="黑体" w:eastAsia="黑体" w:cs="黑体"/>
                <w:b/>
                <w:i w:val="0"/>
                <w:color w:val="000000"/>
                <w:sz w:val="24"/>
                <w:szCs w:val="24"/>
                <w:u w:val="none"/>
              </w:rPr>
            </w:pPr>
            <w:r>
              <w:rPr>
                <w:rFonts w:hint="eastAsia" w:ascii="黑体" w:hAnsi="黑体" w:eastAsia="黑体" w:cs="黑体"/>
                <w:b/>
                <w:i w:val="0"/>
                <w:color w:val="000000"/>
                <w:kern w:val="0"/>
                <w:sz w:val="24"/>
                <w:szCs w:val="24"/>
                <w:u w:val="none"/>
                <w:lang w:val="en-US" w:eastAsia="zh-CN" w:bidi="ar"/>
              </w:rPr>
              <w:t>执法检查重点事项内容</w:t>
            </w:r>
          </w:p>
        </w:tc>
        <w:tc>
          <w:tcPr>
            <w:tcW w:w="3852" w:type="dxa"/>
            <w:tcBorders>
              <w:top w:val="single" w:color="000000" w:sz="4" w:space="0"/>
              <w:left w:val="single" w:color="000000" w:sz="4" w:space="0"/>
              <w:right w:val="single" w:color="000000" w:sz="4" w:space="0"/>
            </w:tcBorders>
            <w:shd w:val="clear" w:color="auto" w:fill="auto"/>
            <w:vAlign w:val="center"/>
          </w:tcPr>
          <w:p w14:paraId="3E6B824F">
            <w:pPr>
              <w:keepNext w:val="0"/>
              <w:keepLines w:val="0"/>
              <w:widowControl/>
              <w:suppressLineNumbers w:val="0"/>
              <w:jc w:val="center"/>
              <w:textAlignment w:val="center"/>
              <w:rPr>
                <w:rFonts w:hint="eastAsia" w:ascii="黑体" w:hAnsi="黑体" w:eastAsia="黑体" w:cs="黑体"/>
                <w:b/>
                <w:i w:val="0"/>
                <w:color w:val="000000"/>
                <w:sz w:val="24"/>
                <w:szCs w:val="24"/>
                <w:u w:val="none"/>
              </w:rPr>
            </w:pPr>
            <w:r>
              <w:rPr>
                <w:rFonts w:hint="eastAsia" w:ascii="黑体" w:hAnsi="黑体" w:eastAsia="黑体" w:cs="黑体"/>
                <w:b/>
                <w:i w:val="0"/>
                <w:color w:val="000000"/>
                <w:kern w:val="0"/>
                <w:sz w:val="24"/>
                <w:szCs w:val="24"/>
                <w:u w:val="none"/>
                <w:lang w:val="en-US" w:eastAsia="zh-CN" w:bidi="ar"/>
              </w:rPr>
              <w:t>执法检查依据</w:t>
            </w:r>
          </w:p>
        </w:tc>
        <w:tc>
          <w:tcPr>
            <w:tcW w:w="3540" w:type="dxa"/>
            <w:tcBorders>
              <w:top w:val="single" w:color="000000" w:sz="4" w:space="0"/>
              <w:left w:val="single" w:color="000000" w:sz="4" w:space="0"/>
              <w:right w:val="single" w:color="000000" w:sz="4" w:space="0"/>
            </w:tcBorders>
            <w:shd w:val="clear" w:color="auto" w:fill="auto"/>
            <w:vAlign w:val="center"/>
          </w:tcPr>
          <w:p w14:paraId="2FA2B062">
            <w:pPr>
              <w:keepNext w:val="0"/>
              <w:keepLines w:val="0"/>
              <w:widowControl/>
              <w:suppressLineNumbers w:val="0"/>
              <w:jc w:val="center"/>
              <w:textAlignment w:val="center"/>
              <w:rPr>
                <w:rFonts w:hint="eastAsia" w:ascii="黑体" w:hAnsi="黑体" w:eastAsia="黑体" w:cs="黑体"/>
                <w:b/>
                <w:i w:val="0"/>
                <w:color w:val="000000"/>
                <w:sz w:val="24"/>
                <w:szCs w:val="24"/>
                <w:u w:val="none"/>
              </w:rPr>
            </w:pPr>
            <w:r>
              <w:rPr>
                <w:rFonts w:hint="eastAsia" w:ascii="黑体" w:hAnsi="黑体" w:eastAsia="黑体" w:cs="黑体"/>
                <w:b/>
                <w:i w:val="0"/>
                <w:color w:val="000000"/>
                <w:kern w:val="0"/>
                <w:sz w:val="24"/>
                <w:szCs w:val="24"/>
                <w:u w:val="none"/>
                <w:lang w:val="en-US" w:eastAsia="zh-CN" w:bidi="ar"/>
              </w:rPr>
              <w:t>有关规范性文件及标准要求</w:t>
            </w:r>
          </w:p>
        </w:tc>
        <w:tc>
          <w:tcPr>
            <w:tcW w:w="4187" w:type="dxa"/>
            <w:tcBorders>
              <w:top w:val="single" w:color="000000" w:sz="4" w:space="0"/>
              <w:left w:val="single" w:color="000000" w:sz="4" w:space="0"/>
              <w:right w:val="single" w:color="000000" w:sz="4" w:space="0"/>
            </w:tcBorders>
            <w:shd w:val="clear" w:color="auto" w:fill="auto"/>
            <w:vAlign w:val="center"/>
          </w:tcPr>
          <w:p w14:paraId="4A3FF0AB">
            <w:pPr>
              <w:keepNext w:val="0"/>
              <w:keepLines w:val="0"/>
              <w:widowControl/>
              <w:suppressLineNumbers w:val="0"/>
              <w:jc w:val="center"/>
              <w:textAlignment w:val="center"/>
              <w:rPr>
                <w:rFonts w:hint="eastAsia" w:ascii="黑体" w:hAnsi="黑体" w:eastAsia="黑体" w:cs="黑体"/>
                <w:b/>
                <w:i w:val="0"/>
                <w:color w:val="000000"/>
                <w:sz w:val="24"/>
                <w:szCs w:val="24"/>
                <w:u w:val="none"/>
              </w:rPr>
            </w:pPr>
            <w:r>
              <w:rPr>
                <w:rFonts w:hint="eastAsia" w:ascii="黑体" w:hAnsi="黑体" w:eastAsia="黑体" w:cs="黑体"/>
                <w:b/>
                <w:i w:val="0"/>
                <w:color w:val="000000"/>
                <w:kern w:val="0"/>
                <w:sz w:val="24"/>
                <w:szCs w:val="24"/>
                <w:u w:val="none"/>
                <w:lang w:val="en-US" w:eastAsia="zh-CN" w:bidi="ar"/>
              </w:rPr>
              <w:t>处罚依据</w:t>
            </w:r>
          </w:p>
        </w:tc>
        <w:tc>
          <w:tcPr>
            <w:tcW w:w="615" w:type="dxa"/>
            <w:tcBorders>
              <w:top w:val="single" w:color="000000" w:sz="4" w:space="0"/>
              <w:right w:val="single" w:color="000000" w:sz="4" w:space="0"/>
            </w:tcBorders>
            <w:shd w:val="clear" w:color="auto" w:fill="auto"/>
            <w:vAlign w:val="center"/>
          </w:tcPr>
          <w:p w14:paraId="57541BA2">
            <w:pPr>
              <w:keepNext w:val="0"/>
              <w:keepLines w:val="0"/>
              <w:widowControl/>
              <w:suppressLineNumbers w:val="0"/>
              <w:jc w:val="center"/>
              <w:textAlignment w:val="center"/>
              <w:rPr>
                <w:rFonts w:hint="eastAsia" w:ascii="黑体" w:hAnsi="黑体" w:eastAsia="黑体" w:cs="黑体"/>
                <w:b/>
                <w:i w:val="0"/>
                <w:color w:val="000000"/>
                <w:sz w:val="24"/>
                <w:szCs w:val="24"/>
                <w:u w:val="none"/>
              </w:rPr>
            </w:pPr>
            <w:r>
              <w:rPr>
                <w:rFonts w:hint="eastAsia" w:ascii="黑体" w:hAnsi="黑体" w:eastAsia="黑体" w:cs="黑体"/>
                <w:b/>
                <w:i w:val="0"/>
                <w:color w:val="000000"/>
                <w:kern w:val="0"/>
                <w:sz w:val="24"/>
                <w:szCs w:val="24"/>
                <w:u w:val="none"/>
                <w:lang w:val="en-US" w:eastAsia="zh-CN" w:bidi="ar"/>
              </w:rPr>
              <w:t>备注</w:t>
            </w:r>
          </w:p>
        </w:tc>
      </w:tr>
      <w:tr w14:paraId="6C403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72"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C93BC">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right="0" w:rightChars="0" w:firstLine="0" w:firstLineChars="0"/>
              <w:jc w:val="center"/>
              <w:textAlignment w:val="center"/>
              <w:outlineLvl w:val="9"/>
              <w:rPr>
                <w:rFonts w:hint="eastAsia" w:ascii="宋体" w:hAnsi="宋体" w:eastAsia="宋体" w:cs="宋体"/>
                <w:i w:val="0"/>
                <w:color w:val="000000"/>
                <w:w w:val="100"/>
                <w:sz w:val="21"/>
                <w:szCs w:val="21"/>
                <w:u w:val="none"/>
              </w:rPr>
            </w:pPr>
            <w:r>
              <w:rPr>
                <w:rFonts w:hint="eastAsia" w:ascii="宋体" w:hAnsi="宋体" w:eastAsia="宋体" w:cs="宋体"/>
                <w:i w:val="0"/>
                <w:color w:val="000000"/>
                <w:w w:val="100"/>
                <w:kern w:val="0"/>
                <w:sz w:val="21"/>
                <w:szCs w:val="21"/>
                <w:u w:val="none"/>
                <w:lang w:val="en-US" w:eastAsia="zh-CN" w:bidi="ar"/>
              </w:rPr>
              <w:t>1</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D416F">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安全评价检测检验机构资质条件保持：固定资产</w:t>
            </w:r>
          </w:p>
        </w:tc>
        <w:tc>
          <w:tcPr>
            <w:tcW w:w="3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EA8CF">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《安全评价检测检验机构管理办法》第三条……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省级人民政府应急管理部门、煤矿安全生产监督管理部门（以下统称资质认可机关）按照各自的职责，分别负责安全评价检测检验机构资质认可和监督管理工作。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设区的市级人民政府、县级人民政府应急管理部门、煤矿安全生产监督管理部门按照各自的职责，对安全评价检测检验机构执业行为实施监督检查，并对发现的违法行为依法实施行政处罚。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第二十四条资质认可机关应当将其认可的安全评价检测检验机构纳入年度安全生产监督检查计划范围。按照国务院有关“双随机、一公开”的规定实施监督检查，并确保每三年至少覆盖一次。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安全评价检测检验机构从事跨区域技术服务的，项目实施地资质认可机关应当及时核查其资质有效性、认可范围等信息，并对其技术服务实施抽查。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资质认可机关及其下级部门应当对本行政区域内登记注册的安全评价检测检验机构资质条件保持情况、接受行政处罚和投诉举报等情况进行重点监督检查。</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ECB99">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《安全评价检测检验机构管理办法》第六条  申请安全评价机构资质应当具备下列条件：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（一）独立法人资格，固定资产不少于八百万元；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第七条  申请安全生产检测检验机构资质应当具备下列条件：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（一）独立法人资格，固定资产不少于一千万元；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第二十二条 安全评价检测检验机构及其从业人员不得有下列行为：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（二）不再具备资质条件或者资质过期从事安全评价、检测检验的；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w:t>
            </w:r>
          </w:p>
        </w:tc>
        <w:tc>
          <w:tcPr>
            <w:tcW w:w="4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DE9F0">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《安全评价检测检验机构管理办法》第二十八条  申请人以欺骗、贿赂等不正当手段取得资质（包括资质延续、资质变更、增加业务范围等）的，应当予以撤销。该申请人在三年内不得再次申请；构成犯罪的，依法追究刑事责任。</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第三十条  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（六）未按照有关法规标准的强制性规定从事安全评价、检测检验活动的；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42DC9">
            <w:pPr>
              <w:widowControl/>
              <w:adjustRightInd w:val="0"/>
              <w:snapToGrid w:val="0"/>
              <w:ind w:firstLine="420" w:firstLineChars="200"/>
              <w:rPr>
                <w:rFonts w:hint="eastAsia" w:ascii="宋体" w:hAnsi="宋体" w:cs="宋体"/>
                <w:color w:val="auto"/>
                <w:kern w:val="0"/>
                <w:szCs w:val="21"/>
                <w:lang w:val="en-US" w:eastAsia="zh-CN"/>
              </w:rPr>
            </w:pPr>
          </w:p>
        </w:tc>
      </w:tr>
      <w:tr w14:paraId="5D112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72"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1F638">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2</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5B11B">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安全评价检测检验机构资质条件保持：办公场所及设施、设备</w:t>
            </w:r>
          </w:p>
        </w:tc>
        <w:tc>
          <w:tcPr>
            <w:tcW w:w="3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3A6E7">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《安全评价检测检验机构管理办法》第三条……省级人民政府应急管理部门、煤矿安全生产监督管理部门（以下统称资质认可机关）按照各自的职责，分别负责安全评价检测检验机构资质认可和监督管理工作。</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 xml:space="preserve">  设区的市级人民政府、县级人民政府应急管理部门、煤矿安全生产监督管理部门按照各自的职责，对安全评价检测检验机构执业行为实施监督检查，并对发现的违法行为依法实施行政处罚。</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第二十四条资质认可机关应当将其认可的安全评价检测检验机构纳入年度安全生产监督检查计划范围。按照国务院有关“双随机、一公开”的规定实施监督检查，并确保每三年至少覆盖一次。</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安全评价检测检验机构从事跨区域技术服务的，项目实施地资质认可机关应当及时核查其资质有效性、认可范围等信息，并对其技术服务实施抽查。</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资质认可机关及其下级部门应当对本行政区域内登记注册的安全评价检测检验机构资质条件保持情况、接受行政处罚和投诉举报等情况进行重点监督检查。</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BA037">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《安全评价检测检验机构管理办法》第六条  申请安全评价机构资质应当具备下列条件：</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（二）工作场所建筑面积不少于一千平方米，其中档案室不少于一百平方米，设施、设备、软件等技术支撑条件满足工作需求；</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第七条  申请安全生产检测检验机构资质应当具备下列条件：</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（二）工作场所建筑面积不少于一千平方米，有与从事安全生产检测检验相适应的设施、设备和环境，检测检验设施、设备原值不少于八百万元；</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第二十二条 安全评价检测检验机构及其从业人员不得有下列行为：</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（二）不再具备资质条件或者资质过期从事安全评价、检测检验的；</w:t>
            </w:r>
          </w:p>
        </w:tc>
        <w:tc>
          <w:tcPr>
            <w:tcW w:w="4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A859E">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《安全评价检测检验机构管理办法》第二十八条  申请人以欺骗、贿赂等不正当手段取得资质（包括资质延续、资质变更、增加业务范围等）的，应当予以撤销。该申请人在三年内不得再次申请；构成犯罪的，依法追究刑事责任。</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第三十条  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（六）未按照有关法规标准的强制性规定从事安全评价、检测检验活动的；</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70240">
            <w:pPr>
              <w:widowControl/>
              <w:adjustRightInd w:val="0"/>
              <w:snapToGrid w:val="0"/>
              <w:ind w:firstLine="420" w:firstLineChars="200"/>
              <w:rPr>
                <w:rFonts w:hint="eastAsia" w:ascii="宋体" w:hAnsi="宋体" w:cs="宋体"/>
                <w:color w:val="auto"/>
                <w:kern w:val="0"/>
                <w:szCs w:val="21"/>
                <w:lang w:val="en-US" w:eastAsia="zh-CN"/>
              </w:rPr>
            </w:pPr>
          </w:p>
        </w:tc>
      </w:tr>
      <w:tr w14:paraId="5882A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489"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FE334">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3</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33ED4">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安全评价检测检验机构资质条件保持：专职技术人员及注册安全工程师</w:t>
            </w:r>
          </w:p>
        </w:tc>
        <w:tc>
          <w:tcPr>
            <w:tcW w:w="3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38ADF">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《安全评价检测检验机构管理办法》第三条……省级人民政府应急管理部门、煤矿安全生产监督管理部门（以下统称资质认可机关）按照各自的职责，分别负责安全评价检测检验机构资质认可和监督管理工作。</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设区的市级人民政府、县级人民政府应急管理部门、煤矿安全生产监督管理部门按照各自的职责，对安全评价检测检验机构执业行为实施监督检查，并对发现的违法行为依法实施行政处罚。</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第二十四条资质认可机关应当将其认可的安全评价检测检验机构纳入年度安全生产监督检查计划范围。按照国务院有关“双随机、一公开”的规定实施监督检查，并确保每三年至少覆盖一次。</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安全评价检测检验机构从事跨区域技术服务的，项目实施地资质认可机关应当及时核查其资质有效性、认可范围等信息，并对其技术服务实施抽查。</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资质认可机关及其下级部门应当对本行政区域内登记注册的安全评价检测检验机构资质条件保持情况、接受行政处罚和投诉举报等情况进行重点监督检查。</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630E8">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《安全评价检测检验机构管理办法》第六条  申请安全评价机构资质应当具备下列条件：</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（三）承担矿山、金属冶炼、危险化学品生产和储存、烟花爆竹等业务范围安全评价的机构，其专职安全评价师不低于本办法规定的配备标准（附件1）；</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四）承担单一业务范围的安全评价机构，其专职安全评价师不少于二十五人；每增加一个行业（领域），按照专业配备标准至少增加五名专职安全评价师；专职安全评价师中，一级安全评价师比例不低于百分之二十，一级和二级安全评价师的总数比例不低于百分之五十，且中级及以上注册安全工程师比例不低于百分之三十；</w:t>
            </w:r>
          </w:p>
          <w:p w14:paraId="1F2AE211">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第七条  申请安全生产检测检验机构资质应当具备下列条件：</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三）承担单一业务范围的安全生产检测检验机构，其专业技术人员不少于二十五人；每增加一个行业（领域），至少增加五名专业技术人员；专业技术人员中，中级及以上注册安全工程师比例不低于百分之三十，中级及以上技术职称比例不低于百分之五十，且高级技术职称人员比例不低于百分之二十五；</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（四）专业技术人员具有与承担安全生产检测检验相适应的专业技能，以及在本行业领域工作两年以上；</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第二十二条 安全评价检测检验机构及其从业人员不得有下列行为：</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（二）不再具备资质条件或者资质过期从事安全评价、检测检验的；</w:t>
            </w:r>
          </w:p>
        </w:tc>
        <w:tc>
          <w:tcPr>
            <w:tcW w:w="4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17EDA">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《安全评价检测检验机构管理办法》第二十八条  申请人以欺骗、贿赂等不正当手段取得资质（包括资质延续、资质变更、增加业务范围等）的，应当予以撤销。该申请人在三年内不得再次申请；构成犯罪的，依法追究刑事责任。</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第三十条  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（六）未按照有关法规标准的强制性规定从事安全评价、检测检验活动的；</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1F591">
            <w:pPr>
              <w:widowControl/>
              <w:adjustRightInd w:val="0"/>
              <w:snapToGrid w:val="0"/>
              <w:ind w:firstLine="420" w:firstLineChars="200"/>
              <w:rPr>
                <w:rFonts w:hint="eastAsia" w:ascii="宋体" w:hAnsi="宋体" w:cs="宋体"/>
                <w:color w:val="auto"/>
                <w:kern w:val="0"/>
                <w:szCs w:val="21"/>
                <w:lang w:val="en-US" w:eastAsia="zh-CN"/>
              </w:rPr>
            </w:pPr>
          </w:p>
        </w:tc>
      </w:tr>
      <w:tr w14:paraId="26611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72"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D99FA">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4</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43BF8">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安全评价检测检验机构资质条件保持：专职技术负责人和过程控制负责人（主持工作负责人、技术负责人、质量负责人）</w:t>
            </w:r>
          </w:p>
        </w:tc>
        <w:tc>
          <w:tcPr>
            <w:tcW w:w="3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4459B">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《安全评价检测检验机构管理办法》</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第三条……</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省级人民政府应急管理部门、煤矿安全生产监督管理部门（以下统称资质认可机关）按照各自的职责，分别负责安全评价检测检验机构资质认可和监督管理工作。</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设区的市级人民政府、县级人民政府应急管理部门、煤矿安全生产监督管理部门按照各自的职责，对安全评价检测检验机构执业行为实施监督检查，并对发现的违法行为依法实施行政处罚。</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第二十四条资质认可机关应当将其认可的安全评价检测检验机构纳入年度安全生产监督检查计划范围。按照国务院有关“双随机、一公开”的规定实施监督检查，并确保每三年至少覆盖一次。</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安全评价检测检验机构从事跨区域技术服务的，项目实施地资质认可机关应当及时核查其资质有效性、认可范围等信息，并对其技术服务实施抽查。</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资质认可机关及其下级部门应当对本行政区域内登记注册的安全评价检测检验机构资质条件保持情况、接受行政处罚和投诉举报等情况进行重点监督检查。</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6E97F">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《安全评价检测检验机构管理办法》第六条  申请安全评价机构资质应当具备下列条件：</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七）配备专职技术负责人和过程控制负责人；专职技术负责人具有一级安全评价师职业资格，并具有与所开展业务相匹配的高级专业技术职称，在本行业领域工作八年以上；专职过程控制负责人具有安全评价师职业资格；</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第七条  申请安全生产检测检验机构资质应当具备下列条件：</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（六）主持安全生产检测检验工作的负责人、技术负责人、质量负责人具有高级技术职称，在本行业领域工作八年以上；</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第二十二条 安全评价检测检验机构及其从业人员不得有下列行为：</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（二）不再具备资质条件或者资质过期从事安全评价、检测检验的；</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p>
        </w:tc>
        <w:tc>
          <w:tcPr>
            <w:tcW w:w="4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61900">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《安全评价检测检验机构管理办法》第二十八条  申请人以欺骗、贿赂等不正当手段取得资质（包括资质延续、资质变更、增加业务范围等）的，应当予以撤销。该申请人在三年内不得再次申请；构成犯罪的，依法追究刑事责任。</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第三十条  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（六）未按照有关法规标准的强制性规定从事安全评价、检测检验活动的；</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A6DBB">
            <w:pPr>
              <w:widowControl/>
              <w:adjustRightInd w:val="0"/>
              <w:snapToGrid w:val="0"/>
              <w:ind w:firstLine="420" w:firstLineChars="200"/>
              <w:rPr>
                <w:rFonts w:hint="eastAsia" w:ascii="宋体" w:hAnsi="宋体" w:cs="宋体"/>
                <w:color w:val="auto"/>
                <w:kern w:val="0"/>
                <w:szCs w:val="21"/>
                <w:lang w:val="en-US" w:eastAsia="zh-CN"/>
              </w:rPr>
            </w:pPr>
          </w:p>
        </w:tc>
      </w:tr>
      <w:tr w14:paraId="599FC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72"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F7631">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5</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01F7E">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安全评价检测检验机构资质条件保持：内部管理制度（文件化管理体系）和安全评价过程控制体系</w:t>
            </w:r>
          </w:p>
        </w:tc>
        <w:tc>
          <w:tcPr>
            <w:tcW w:w="3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5E7E4">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《安全评价检测检验机构管理办法》</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第三条……</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省级人民政府应急管理部门、煤矿安全生产监督管理部门（以下统称资质认可机关）按照各自的职责，分别负责安全评价检测检验机构资质认可和监督管理工作。</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设区的市级人民政府、县级人民政府应急管理部门、煤矿安全生产监督管理部门按照各自的职责，对安全评价检测检验机构执业行为实施监督检查，并对发现的违法行为依法实施行政处罚。</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第二十四条资质认可机关应当将其认可的安全评价检测检验机构纳入年度安全生产监督检查计划范围。按照国务院有关“双随机、一公开”的规定实施监督检查，并确保每三年至少覆盖一次。</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安全评价检测检验机构从事跨区域技术服务的，项目实施地资质认可机关应当及时核查其资质有效性、认可范围等信息，并对其技术服务实施抽查。</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资质认可机关及其下级部门应当对本行政区域内登记注册的安全评价检测检验机构资质条件保持情况、接受行政处罚和投诉举报等情况进行重点监督检查。</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376A8">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《安全评价检测检验机构管理办法》第六条  申请安全评价机构资质应当具备下列条件：</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（五）健全的内部管理制度和安全评价过程控制体系；</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第七条  申请安全生产检测检验资质资质应当具备下列条件：</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（七）符合安全生产检测检验机构能力通用要求等相关标准和规范性文件规定的文件化管理体系；</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第二十二条 安全评价检测检验机构及其从业人员不得有下列行为：</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（二）不再具备资质条件或者资质过期从事安全评价、检测检验的；</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p>
        </w:tc>
        <w:tc>
          <w:tcPr>
            <w:tcW w:w="4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6E342">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《安全评价检测检验机构管理办法》第二十八条  申请人以欺骗、贿赂等不正当手段取得资质（包括资质延续、资质变更、增加业务范围等）的，应当予以撤销。该申请人在三年内不得再次申请；构成犯罪的，依法追究刑事责任。</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第三十条  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（六）未按照有关法规标准的强制性规定从事安全评价、检测检验活动的；</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1B619">
            <w:pPr>
              <w:widowControl/>
              <w:adjustRightInd w:val="0"/>
              <w:snapToGrid w:val="0"/>
              <w:ind w:firstLine="420" w:firstLineChars="200"/>
              <w:rPr>
                <w:rFonts w:hint="eastAsia" w:ascii="宋体" w:hAnsi="宋体" w:cs="宋体"/>
                <w:color w:val="auto"/>
                <w:kern w:val="0"/>
                <w:szCs w:val="21"/>
                <w:lang w:val="en-US" w:eastAsia="zh-CN"/>
              </w:rPr>
            </w:pPr>
          </w:p>
        </w:tc>
      </w:tr>
      <w:tr w14:paraId="07554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72"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A1F24">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6</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6E20F">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安全评价检测检验机构资质条件保持：信息查询网站</w:t>
            </w:r>
          </w:p>
        </w:tc>
        <w:tc>
          <w:tcPr>
            <w:tcW w:w="3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1DF97">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《安全评价检测检验机构管理办法》</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第三条……</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省级人民政府应急管理部门、煤矿安全生产监督管理部门（以下统称资质认可机关）按照各自的职责，分别负责安全评价检测检验机构资质认可和监督管理工作。</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设区的市级人民政府、县级人民政府应急管理部门、煤矿安全生产监督管理部门按照各自的职责，对安全评价检测检验机构执业行为实施监督检查，并对发现的违法行为依法实施行政处罚。</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第二十四条资质认可机关应当将其认可的安全评价检测检验机构纳入年度安全生产监督检查计划范围。按照国务院有关“双随机、一公开”的规定实施监督检查，并确保每三年至少覆盖一次。</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安全评价检测检验机构从事跨区域技术服务的，项目实施地资质认可机关应当及时核查其资质有效性、认可范围等信息，并对其技术服务实施抽查。</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资质认可机关及其下级部门应当对本行政区域内登记注册的安全评价检测检验机构资质条件保持情况、接受行政处罚和投诉举报等情况进行重点监督检查。</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12B4B">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《安全评价检测检验机构管理办法》第六条  申请安全评价机构资质应当具备下列条件：</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（八）正常运行并可以供公众查询机构信息的网站；</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第七条  申请安全生产检测检验资质资质应当具备下列条件：</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（八）正常运行并可以供公众查询机构信息的网站；</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第二十二条 安全评价检测检验机构及其从业人员不得有下列行为：</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（二）不再具备资质条件或者资质过期从事安全评价、检测检验的；</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p>
        </w:tc>
        <w:tc>
          <w:tcPr>
            <w:tcW w:w="4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B7045">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《安全评价检测检验机构管理办法》第二十八条  申请人以欺骗、贿赂等不正当手段取得资质（包括资质延续、资质变更、增加业务范围等）的，应当予以撤销。该申请人在三年内不得再次申请；构成犯罪的，依法追究刑事责任。</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第三十条  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（六）未按照有关法规标准的强制性规定从事安全评价、检测检验活动的；</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D8D0F">
            <w:pPr>
              <w:widowControl/>
              <w:adjustRightInd w:val="0"/>
              <w:snapToGrid w:val="0"/>
              <w:ind w:firstLine="420" w:firstLineChars="200"/>
              <w:rPr>
                <w:rFonts w:hint="eastAsia" w:ascii="宋体" w:hAnsi="宋体" w:cs="宋体"/>
                <w:color w:val="auto"/>
                <w:kern w:val="0"/>
                <w:szCs w:val="21"/>
                <w:lang w:val="en-US" w:eastAsia="zh-CN"/>
              </w:rPr>
            </w:pPr>
          </w:p>
        </w:tc>
      </w:tr>
      <w:tr w14:paraId="0AE7C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72"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C4E87">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7</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676A5">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安全评价检测检验机构资质条件保持：资质变更</w:t>
            </w:r>
          </w:p>
        </w:tc>
        <w:tc>
          <w:tcPr>
            <w:tcW w:w="3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C7766">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《安全评价检测检验机构管理办法》</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第三条……</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省级人民政府应急管理部门、煤矿安全生产监督管理部门（以下统称资质认可机关）按照各自的职责，分别负责安全评价检测检验机构资质认可和监督管理工作。</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设区的市级人民政府、县级人民政府应急管理部门、煤矿安全生产监督管理部门按照各自的职责，对安全评价检测检验机构执业行为实施监督检查，并对发现的违法行为依法实施行政处罚。</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第二十四条资质认可机关应当将其认可的安全评价检测检验机构纳入年度安全生产监督检查计划范围。按照国务院有关“双随机、一公开”的规定实施监督检查，并确保每三年至少覆盖一次。</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安全评价检测检验机构从事跨区域技术服务的，项目实施地资质认可机关应当及时核查其资质有效性、认可范围等信息，并对其技术服务实施抽查。</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资质认可机关及其下级部门应当对本行政区域内登记注册的安全评价检测检验机构资质条件保持情况、接受行政处罚和投诉举报等情况进行重点监督检查。</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CDA65">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《安全评价检测检验机构管理办法》第十二条  安全评价检测检验机构的名称、注册地址、实验室条件、法定代表人、专职技术负责人、授权签字人发生变化的，应当自发生变化之日起三十日内向原资质认可机关提出书面变更申请。资质认可机关经审查后符合条件的，在本部门网站予以公告，并及时更新安全评价检测检验机构信息查询系统相关信息。</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p>
        </w:tc>
        <w:tc>
          <w:tcPr>
            <w:tcW w:w="4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49CE2">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《安全评价检测检验机构管理办法》第三十条  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（五）机构名称、注册地址、实验室条件、法定代表人、专职技术负责人、授权签字人发生变化之日起三十日内未向原资质认可机关提出变更申请的；</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1261B">
            <w:pPr>
              <w:widowControl/>
              <w:adjustRightInd w:val="0"/>
              <w:snapToGrid w:val="0"/>
              <w:ind w:firstLine="420" w:firstLineChars="200"/>
              <w:rPr>
                <w:rFonts w:hint="eastAsia" w:ascii="宋体" w:hAnsi="宋体" w:cs="宋体"/>
                <w:color w:val="auto"/>
                <w:kern w:val="0"/>
                <w:szCs w:val="21"/>
                <w:lang w:val="en-US" w:eastAsia="zh-CN"/>
              </w:rPr>
            </w:pPr>
          </w:p>
        </w:tc>
      </w:tr>
      <w:tr w14:paraId="3CB01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72"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6C050">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8</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1A2C1">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安全评价检测检验机构资质条件保持：资质延期</w:t>
            </w:r>
          </w:p>
        </w:tc>
        <w:tc>
          <w:tcPr>
            <w:tcW w:w="3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65E2F">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《安全评价检测检验机构管理办法》</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第三条……</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省级人民政府应急管理部门、煤矿安全生产监督管理部门（以下统称资质认可机关）按照各自的职责，分别负责安全评价检测检验机构资质认可和监督管理工作。</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设区的市级人民政府、县级人民政府应急管理部门、煤矿安全生产监督管理部门按照各自的职责，对安全评价检测检验机构执业行为实施监督检查，并对发现的违法行为依法实施行政处罚。</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第二十四条资质认可机关应当将其认可的安全评价检测检验机构纳入年度安全生产监督检查计划范围。按照国务院有关“双随机、一公开”的规定实施监督检查，并确保每三年至少覆盖一次。</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安全评价检测检验机构从事跨区域技术服务的，项目实施地资质认可机关应当及时核查其资质有效性、认可范围等信息，并对其技术服务实施抽查。</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资质认可机关及其下级部门应当对本行政区域内登记注册的安全评价检测检验机构资质条件保持情况、接受行政处罚和投诉举报等情况进行重点监督检查。</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9F343">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《安全评价检测检验机构管理办法》第十三条  安全评价检测检验机构资质证书有效期五年。资质证书有效期届满需要延续的，应当在有效期届满三个月前向原资质认可机关提出申请。原资质认可机关应当按照本办法第九条至第十一条的规定办理。</w:t>
            </w:r>
          </w:p>
        </w:tc>
        <w:tc>
          <w:tcPr>
            <w:tcW w:w="4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BC76C">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《安全评价检测检验机构管理办法》第二十九条  未取得资质的机构及其有关人员擅自从事安全评价、检测检验服务的，责令立即停止违法行为，依照下列规定给予处罚：</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（一）机构有违法所得的，没收其违法所得，并处违法所得一倍以上三倍以下的罚款，但最高不得超过三万元；没有违法所得的，处五千元以上一万元以下的罚款；</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（二）有关人员处五千元以上一万元以下的罚款。</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对有前款违法行为的机构及其人员，由资质认可机关记入有关机构和人员的信用记录，并依照有关规定予以公告。</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18AA7">
            <w:pPr>
              <w:widowControl/>
              <w:adjustRightInd w:val="0"/>
              <w:snapToGrid w:val="0"/>
              <w:ind w:firstLine="420" w:firstLineChars="200"/>
              <w:rPr>
                <w:rFonts w:hint="eastAsia" w:ascii="宋体" w:hAnsi="宋体" w:cs="宋体"/>
                <w:color w:val="auto"/>
                <w:kern w:val="0"/>
                <w:szCs w:val="21"/>
                <w:lang w:val="en-US" w:eastAsia="zh-CN"/>
              </w:rPr>
            </w:pPr>
          </w:p>
        </w:tc>
      </w:tr>
      <w:tr w14:paraId="188CD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72"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C6F0F">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9</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893A4">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安全评价检测检验机构从业情况：按规定签订技术服务合同</w:t>
            </w:r>
          </w:p>
        </w:tc>
        <w:tc>
          <w:tcPr>
            <w:tcW w:w="3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C1FE5">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《安全评价检测检验机构管理办法》</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第三条……</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省级人民政府应急管理部门、煤矿安全生产监督管理部门（以下统称资质认可机关）按照各自的职责，分别负责安全评价检测检验机构资质认可和监督管理工作。</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设区的市级人民政府、县级人民政府应急管理部门、煤矿安全生产监督管理部门按照各自的职责，对安全评价检测检验机构执业行为实施监督检查，并对发现的违法行为依法实施行政处罚。</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第二十四条资质认可机关应当将其认可的安全评价检测检验机构纳入年度安全生产监督检查计划范围。按照国务院有关“双随机、一公开”的规定实施监督检查，并确保每三年至少覆盖一次。</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安全评价检测检验机构从事跨区域技术服务的，项目实施地资质认可机关应当及时核查其资质有效性、认可范围等信息，并对其技术服务实施抽查。</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资质认可机关及其下级部门应当对本行政区域内登记注册的安全评价检测检验机构资质条件保持情况、接受行政处罚和投诉举报等情况进行重点监督检查。</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503DC">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 xml:space="preserve">《安全评价检测检验机构管理办法》第十六条生产经营单位委托安全评价检测检验机构开展技术服务时，应当签订委托技术服务合同，明确服务对象、范围、权利、义务和责任。 </w:t>
            </w:r>
          </w:p>
        </w:tc>
        <w:tc>
          <w:tcPr>
            <w:tcW w:w="4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FB6D2">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《安全评价检测检验机构管理办法》第三十条  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（一）未依法与委托方签订技术服务合同的；</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36C11">
            <w:pPr>
              <w:widowControl/>
              <w:adjustRightInd w:val="0"/>
              <w:snapToGrid w:val="0"/>
              <w:ind w:firstLine="420" w:firstLineChars="200"/>
              <w:rPr>
                <w:rFonts w:hint="eastAsia" w:ascii="宋体" w:hAnsi="宋体" w:cs="宋体"/>
                <w:color w:val="auto"/>
                <w:kern w:val="0"/>
                <w:szCs w:val="21"/>
                <w:lang w:val="en-US" w:eastAsia="zh-CN"/>
              </w:rPr>
            </w:pPr>
          </w:p>
        </w:tc>
      </w:tr>
      <w:tr w14:paraId="50AA4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72"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6478E">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10</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CDFFE">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安全评价检测检验机构从业情况：建立信息公开制度并落实</w:t>
            </w:r>
          </w:p>
        </w:tc>
        <w:tc>
          <w:tcPr>
            <w:tcW w:w="3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B9AF7">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《安全评价检测检验机构管理办法》</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第三条……</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省级人民政府应急管理部门、煤矿安全生产监督管理部门（以下统称资质认可机关）按照各自的职责，分别负责安全评价检测检验机构资质认可和监督管理工作。</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设区的市级人民政府、县级人民政府应急管理部门、煤矿安全生产监督管理部门按照各自的职责，对安全评价检测检验机构执业行为实施监督检查，并对发现的违法行为依法实施行政处罚。</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第二十四条资质认可机关应当将其认可的安全评价检测检验机构纳入年度安全生产监督检查计划范围。按照国务院有关“双随机、一公开”的规定实施监督检查，并确保每三年至少覆盖一次。</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安全评价检测检验机构从事跨区域技术服务的，项目实施地资质认可机关应当及时核查其资质有效性、认可范围等信息，并对其技术服务实施抽查。</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资质认可机关及其下级部门应当对本行政区域内登记注册的安全评价检测检验机构资质条件保持情况、接受行政处罚和投诉举报等情况进行重点监督检查。</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4EFBC">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《安全评价检测检验机构管理办法》第十七条 安全评价检测检验机构应当建立信息公开制度……</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第十八条 安全评价检测检验机构开展技术服务时，应当如实记录过程控制、现场勘验和检测检验的情况，并与现场图像影像等证明资料一并及时归档。</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安全评价检测检验机构应当按照有关规定在网上公开安全评价报告、安全生产检测检验报告相关信息及现场勘验图像影像。</w:t>
            </w:r>
          </w:p>
        </w:tc>
        <w:tc>
          <w:tcPr>
            <w:tcW w:w="4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D0A4C">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《安全评价检测检验机构管理办法》第三十条  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（三）未按规定公开安全评价报告、安全生产检测检验报告相关信息及现场勘验图像影像资料的；</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1D919">
            <w:pPr>
              <w:widowControl/>
              <w:adjustRightInd w:val="0"/>
              <w:snapToGrid w:val="0"/>
              <w:ind w:firstLine="420" w:firstLineChars="200"/>
              <w:rPr>
                <w:rFonts w:hint="eastAsia" w:ascii="宋体" w:hAnsi="宋体" w:cs="宋体"/>
                <w:color w:val="auto"/>
                <w:kern w:val="0"/>
                <w:szCs w:val="21"/>
                <w:lang w:val="en-US" w:eastAsia="zh-CN"/>
              </w:rPr>
            </w:pPr>
          </w:p>
        </w:tc>
      </w:tr>
      <w:tr w14:paraId="1CD60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72"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EE985">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11</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36A0E">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安全评价检测检验机构从业情况：按标准配备项目安全评价检测检验人员</w:t>
            </w:r>
          </w:p>
        </w:tc>
        <w:tc>
          <w:tcPr>
            <w:tcW w:w="3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7DAAC">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《安全评价检测检验机构管理办法》</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第三条……</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省级人民政府应急管理部门、煤矿安全生产监督管理部门（以下统称资质认可机关）按照各自的职责，分别负责安全评价检测检验机构资质认可和监督管理工作。</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设区的市级人民政府、县级人民政府应急管理部门、煤矿安全生产监督管理部门按照各自的职责，对安全评价检测检验机构执业行为实施监督检查，并对发现的违法行为依法实施行政处罚。</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第二十四条资质认可机关应当将其认可的安全评价检测检验机构纳入年度安全生产监督检查计划范围。按照国务院有关“双随机、一公开”的规定实施监督检查，并确保每三年至少覆盖一次。</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安全评价检测检验机构从事跨区域技术服务的，项目实施地资质认可机关应当及时核查其资质有效性、认可范围等信息，并对其技术服务实施抽查。</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资质认可机关及其下级部门应当对本行政区域内登记注册的安全评价检测检验机构资质条件保持情况、接受行政处罚和投诉举报等情况进行重点监督检查。</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E071A">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《安全评价检测检验机构管理办法》第十七条 ……安全评价项目组组长应当具有与业务相关的二级以上安全评价师资格，并在本行业领域工作三年以上。项目组其他组成人员应当符合安全评价项目专职安全评价师专业能力配备标准。</w:t>
            </w:r>
          </w:p>
        </w:tc>
        <w:tc>
          <w:tcPr>
            <w:tcW w:w="4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B17FB">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《安全评价检测检验机构管理办法》第三十条  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（六）未按照有关法规标准的强制性规定从事安全评价、检测检验活动的；</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E911A">
            <w:pPr>
              <w:widowControl/>
              <w:adjustRightInd w:val="0"/>
              <w:snapToGrid w:val="0"/>
              <w:ind w:firstLine="420" w:firstLineChars="200"/>
              <w:rPr>
                <w:rFonts w:hint="eastAsia" w:ascii="宋体" w:hAnsi="宋体" w:cs="宋体"/>
                <w:color w:val="auto"/>
                <w:kern w:val="0"/>
                <w:szCs w:val="21"/>
                <w:lang w:val="en-US" w:eastAsia="zh-CN"/>
              </w:rPr>
            </w:pPr>
          </w:p>
        </w:tc>
      </w:tr>
      <w:tr w14:paraId="59F5E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72"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A5128">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12</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0E09B">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安全评价检测检验机构从业情况：跨区开展业务从业告知</w:t>
            </w:r>
          </w:p>
        </w:tc>
        <w:tc>
          <w:tcPr>
            <w:tcW w:w="3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A6D4E">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《安全评价检测检验机构管理办法》</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第三条……</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省级人民政府应急管理部门、煤矿安全生产监督管理部门（以下统称资质认可机关）按照各自的职责，分别负责安全评价检测检验机构资质认可和监督管理工作。</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设区的市级人民政府、县级人民政府应急管理部门、煤矿安全生产监督管理部门按照各自的职责，对安全评价检测检验机构执业行为实施监督检查，并对发现的违法行为依法实施行政处罚。</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第二十四条资质认可机关应当将其认可的安全评价检测检验机构纳入年度安全生产监督检查计划范围。按照国务院有关“双随机、一公开”的规定实施监督检查，并确保每三年至少覆盖一次。</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安全评价检测检验机构从事跨区域技术服务的，项目实施地资质认可机关应当及时核查其资质有效性、认可范围等信息，并对其技术服务实施抽查。</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资质认可机关及其下级部门应当对本行政区域内登记注册的安全评价检测检验机构资质条件保持情况、接受行政处罚和投诉举报等情况进行重点监督检查。</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387CC">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第十九条 安全评价检测检验机构应当在开展现场技术服务前七个工作日内，书面告知项目实施地资质认可机关，接受资质认可机关及其下级部门的监督抽查。</w:t>
            </w:r>
          </w:p>
        </w:tc>
        <w:tc>
          <w:tcPr>
            <w:tcW w:w="4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4B630">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《安全评价检测检验机构管理办法》第三十条  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（四）未在开展现场技术服务前七个工作日内，书面告知项目实施地资质认可机关的；</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C1F58">
            <w:pPr>
              <w:keepNext w:val="0"/>
              <w:keepLines w:val="0"/>
              <w:pageBreakBefore w:val="0"/>
              <w:kinsoku/>
              <w:wordWrap/>
              <w:overflowPunct/>
              <w:topLinePunct w:val="0"/>
              <w:autoSpaceDE/>
              <w:autoSpaceDN/>
              <w:bidi w:val="0"/>
              <w:adjustRightInd/>
              <w:snapToGrid/>
              <w:spacing w:line="220" w:lineRule="exact"/>
              <w:ind w:left="0" w:leftChars="0" w:right="0" w:rightChars="0" w:firstLine="0" w:firstLineChars="0"/>
              <w:outlineLvl w:val="9"/>
              <w:rPr>
                <w:rFonts w:hint="eastAsia" w:ascii="宋体" w:hAnsi="宋体" w:eastAsia="宋体" w:cs="宋体"/>
                <w:i w:val="0"/>
                <w:color w:val="000000"/>
                <w:sz w:val="21"/>
                <w:szCs w:val="21"/>
                <w:u w:val="none"/>
              </w:rPr>
            </w:pPr>
          </w:p>
        </w:tc>
      </w:tr>
      <w:tr w14:paraId="7D33D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72"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E8591">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13</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58769">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安全评价检测检验机构从业情况：按照核准资质范围评价检测检验</w:t>
            </w:r>
          </w:p>
        </w:tc>
        <w:tc>
          <w:tcPr>
            <w:tcW w:w="3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33776">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《安全评价检测检验机构管理办法》</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第三条……</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省级人民政府应急管理部门、煤矿安全生产监督管理部门（以下统称资质认可机关）按照各自的职责，分别负责安全评价检测检验机构资质认可和监督管理工作。</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设区的市级人民政府、县级人民政府应急管理部门、煤矿安全生产监督管理部门按照各自的职责，对安全评价检测检验机构执业行为实施监督检查，并对发现的违法行为依法实施行政处罚。</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第二十四条资质认可机关应当将其认可的安全评价检测检验机构纳入年度安全生产监督检查计划范围。按照国务院有关“双随机、一公开”的规定实施监督检查，并确保每三年至少覆盖一次。</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安全评价检测检验机构从事跨区域技术服务的，项目实施地资质认可机关应当及时核查其资质有效性、认可范围等信息，并对其技术服务实施抽查。</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资质认可机关及其下级部门应当对本行政区域内登记注册的安全评价检测检验机构资质条件保持情况、接受行政处罚和投诉举报等情况进行重点监督检查。</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DFC6D">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《安全评价检测检验机构管理办法》第二十二条  安全评价检测检验机构及其从业人员不得有下列行为：</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（二）不再具备资质条件或者资质过期从事安全评价、检测检验的；</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（三）超出资质认可业务范围，从事法定的安全评价、检测检验的；</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（十）冒用他人名义或者允许他人冒用本人名义在安全评价、检测检验报告和原始记录中签名的；</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p>
        </w:tc>
        <w:tc>
          <w:tcPr>
            <w:tcW w:w="4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A0520">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《安全评价检测检验机构管理办法》第二十九条  未取得资质的机构及其有关人员擅自从事安全评价、检测检验服务的，责令立即停止违法行为，依照下列规定给予处罚：</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（一）机构有违法所得的，没收其违法所得，并处违法所得一倍以上三倍以下的罚款，但最高不得超过三万元；没有违法所得的，处五千元以上一万元以下的罚款；</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（二）有关人员处五千元以上一万元以下的罚款。</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对有前款违法行为的机构及其人员，由资质认可机关记入有关机构和人员的信用记录，并依照有关规定予以公告。</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F18D8">
            <w:pPr>
              <w:keepNext w:val="0"/>
              <w:keepLines w:val="0"/>
              <w:pageBreakBefore w:val="0"/>
              <w:kinsoku/>
              <w:wordWrap/>
              <w:overflowPunct/>
              <w:topLinePunct w:val="0"/>
              <w:autoSpaceDE/>
              <w:autoSpaceDN/>
              <w:bidi w:val="0"/>
              <w:adjustRightInd/>
              <w:snapToGrid/>
              <w:spacing w:line="220" w:lineRule="exact"/>
              <w:ind w:left="0" w:leftChars="0" w:right="0" w:rightChars="0" w:firstLine="0" w:firstLineChars="0"/>
              <w:outlineLvl w:val="9"/>
              <w:rPr>
                <w:rFonts w:hint="eastAsia" w:ascii="宋体" w:hAnsi="宋体" w:eastAsia="宋体" w:cs="宋体"/>
                <w:i w:val="0"/>
                <w:color w:val="000000"/>
                <w:sz w:val="21"/>
                <w:szCs w:val="21"/>
                <w:u w:val="none"/>
              </w:rPr>
            </w:pPr>
          </w:p>
        </w:tc>
      </w:tr>
      <w:tr w14:paraId="3440B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06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BE242">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14</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C0A37">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安全评价检测检验机构从业情况:出租或者出借资质、挂靠</w:t>
            </w:r>
          </w:p>
        </w:tc>
        <w:tc>
          <w:tcPr>
            <w:tcW w:w="3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0F8D4">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《安全评价检测检验机构管理办法》</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第三条……</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省级人民政府应急管理部门、煤矿安全生产监督管理部门（以下统称资质认可机关）按照各自的职责，分别负责安全评价检测检验机构资质认可和监督管理工作。</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设区的市级人民政府、县级人民政府应急管理部门、煤矿安全生产监督管理部门按照各自的职责，对安全评价检测检验机构执业行为实施监督检查，并对发现的违法行为依法实施行政处罚。</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第二十四条资质认可机关应当将其认可的安全评价检测检验机构纳入年度安全生产监督检查计划范围。按照国务院有关“双随机、一公开”的规定实施监督检查，并确保每三年至少覆盖一次。</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安全评价检测检验机构从事跨区域技术服务的，项目实施地资质认可机关应当及时核查其资质有效性、认可范围等信息，并对其技术服务实施抽查。</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资质认可机关及其下级部门应当对本行政区域内登记注册的安全评价检测检验机构资质条件保持情况、接受行政处罚和投诉举报等情况进行重点监督检查。</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974A5">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《中华人民共和国安全生产法》第七十二条  ……</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承担安全评价、认证、检测、检验职责的机构应当建立并实施服务公开和报告公开制度，不得租借资质、挂靠、出具虚假报告。</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br w:type="textWrapping"/>
            </w:r>
          </w:p>
        </w:tc>
        <w:tc>
          <w:tcPr>
            <w:tcW w:w="4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4957C">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《中华人民共和国安全生产法》第九十二条　……</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承担安全评价、认证、检测、检验职责的机构租借资质、挂靠、出具虚假报告的，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给他人造成损害的，与生产经营单位承担连带赔偿责任；构成犯罪的，依照刑法有关规定追究刑事责任。</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对有前款违法行为的机构及其直接责任人员，吊销其相应资质和资格，五年内不得从事安全评价、认证、检测、检验等工作；情节严重的，实行终身行业和职业禁入。</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br w:type="textWrapping"/>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16464">
            <w:pPr>
              <w:keepNext w:val="0"/>
              <w:keepLines w:val="0"/>
              <w:pageBreakBefore w:val="0"/>
              <w:kinsoku/>
              <w:wordWrap/>
              <w:overflowPunct/>
              <w:topLinePunct w:val="0"/>
              <w:autoSpaceDE/>
              <w:autoSpaceDN/>
              <w:bidi w:val="0"/>
              <w:adjustRightInd/>
              <w:snapToGrid/>
              <w:spacing w:line="220" w:lineRule="exact"/>
              <w:ind w:left="0" w:leftChars="0" w:right="0" w:rightChars="0" w:firstLine="0" w:firstLineChars="0"/>
              <w:outlineLvl w:val="9"/>
              <w:rPr>
                <w:rFonts w:hint="eastAsia" w:ascii="宋体" w:hAnsi="宋体" w:eastAsia="宋体" w:cs="宋体"/>
                <w:i w:val="0"/>
                <w:color w:val="000000"/>
                <w:sz w:val="21"/>
                <w:szCs w:val="21"/>
                <w:u w:val="none"/>
              </w:rPr>
            </w:pPr>
          </w:p>
        </w:tc>
      </w:tr>
      <w:tr w14:paraId="6E97B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72"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6BA49">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15</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20FAE">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安全评价检测检验机构从业情况:出具重大疏漏的安全评价、检测检验报告</w:t>
            </w:r>
          </w:p>
        </w:tc>
        <w:tc>
          <w:tcPr>
            <w:tcW w:w="3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546EF">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《安全评价检测检验机构管理办法》</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第三条……</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省级人民政府应急管理部门、煤矿安全生产监督管理部门（以下统称资质认可机关）按照各自的职责，分别负责安全评价检测检验机构资质认可和监督管理工作。</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设区的市级人民政府、县级人民政府应急管理部门、煤矿安全生产监督管理部门按照各自的职责，对安全评价检测检验机构执业行为实施监督检查，并对发现的违法行为依法实施行政处罚。</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第二十四条资质认可机关应当将其认可的安全评价检测检验机构纳入年度安全生产监督检查计划范围。按照国务院有关“双随机、一公开”的规定实施监督检查，并确保每三年至少覆盖一次。</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安全评价检测检验机构从事跨区域技术服务的，项目实施地资质认可机关应当及时核查其资质有效性、认可范围等信息，并对其技术服务实施抽查。</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资质认可机关及其下级部门应当对本行政区域内登记注册的安全评价检测检验机构资质条件保持情况、接受行政处罚和投诉举报等情况进行重点监督检查。</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056BE">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《安全评价检测检验机构管理办法》第二十二条  安全评价检测检验机构及其从业人员不得有下列行为：</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（五）出具虚假或者重大疏漏的安全评价、检测检验报告的；</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p>
        </w:tc>
        <w:tc>
          <w:tcPr>
            <w:tcW w:w="4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46475">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《安全评价检测检验机构管理办法》第三十条  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（十）安全评价报告存在法规标准引用错误、关键危险有害因素漏项、重大危险源辨识错误、对策措施建议与存在问题严重不符等重大疏漏，但尚未造成重大损失的；</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（十一）安全生产检测检验报告存在法规标准引用错误、关键项目漏检、结论不明确等重大疏漏，但尚未造成重大损失的。</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B3836">
            <w:pPr>
              <w:keepNext w:val="0"/>
              <w:keepLines w:val="0"/>
              <w:pageBreakBefore w:val="0"/>
              <w:tabs>
                <w:tab w:val="left" w:pos="420"/>
              </w:tabs>
              <w:kinsoku/>
              <w:wordWrap/>
              <w:overflowPunct/>
              <w:topLinePunct w:val="0"/>
              <w:autoSpaceDE/>
              <w:autoSpaceDN/>
              <w:bidi w:val="0"/>
              <w:adjustRightInd/>
              <w:snapToGrid/>
              <w:spacing w:line="220" w:lineRule="exact"/>
              <w:ind w:left="0" w:leftChars="0" w:right="0" w:rightChars="0" w:firstLine="0" w:firstLineChars="0"/>
              <w:outlineLvl w:val="9"/>
              <w:rPr>
                <w:rFonts w:hint="eastAsia" w:ascii="宋体" w:hAnsi="宋体" w:eastAsia="宋体" w:cs="宋体"/>
                <w:i w:val="0"/>
                <w:color w:val="000000"/>
                <w:sz w:val="21"/>
                <w:szCs w:val="21"/>
                <w:u w:val="none"/>
              </w:rPr>
            </w:pPr>
          </w:p>
        </w:tc>
      </w:tr>
      <w:tr w14:paraId="63981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18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086D6">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7B11D">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安全评价检测检验机构从业情况:出具虚假安全评价、检测检验报告</w:t>
            </w:r>
          </w:p>
        </w:tc>
        <w:tc>
          <w:tcPr>
            <w:tcW w:w="3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DCF62">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《安全评价检测检验机构管理办法》</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第三条……</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省级人民政府应急管理部门、煤矿安全生产监督管理部门（以下统称资质认可机关）按照各自的职责，分别负责安全评价检测检验机构资质认可和监督管理工作。</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设区的市级人民政府、县级人民政府应急管理部门、煤矿安全生产监督管理部门按照各自的职责，对安全评价检测检验机构执业行为实施监督检查，并对发现的违法行为依法实施行政处罚。</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第二十四条资质认可机关应当将其认可的安全评价检测检验机构纳入年度安全生产监督检查计划范围。按照国务院有关“双随机、一公开”的规定实施监督检查，并确保每三年至少覆盖一次。</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安全评价检测检验机构从事跨区域技术服务的，项目实施地资质认可机关应当及时核查其资质有效性、认可范围等信息，并对其技术服务实施抽查。</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资质认可机关及其下级部门应当对本行政区域内登记注册的安全评价检测检验机构资质条件保持情况、接受行政处罚和投诉举报等情况进行重点监督检查。</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79DD3">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《中华人民共和国安全生产法》第七十二条　承担安全评价、认证、检测、检验职责的机构应当具备国家规定的资质条件，并对其作出的安全评价、认证、检测、检验结果的合法性、真实性负责。资质条件由国务院应急管理部门会同国务院有关部门制定。</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承担安全评价、认证、检测、检验职责的机构应当建立并实施服务公开和报告公开制度，不得租借资质、挂靠、出具虚假报告。</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《安全评价检测检验机构管理办法》第二十二条  安全评价检测检验机构及其从业人员不得有下列行为：</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（五）出具虚假或者重大疏漏的安全评价、检测检验报告的；</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p>
        </w:tc>
        <w:tc>
          <w:tcPr>
            <w:tcW w:w="4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D3A61">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《中华人民共和国安全生产法》第九十二条　……承担安全评价、认证、检测、检验职责的机构租借资质、挂靠、出具虚假报告的，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给他人造成损害的，与生产经营单位承担连带赔偿责任；构成犯罪的，依照刑法有关规定追究刑事责任。</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对有前款违法行为的机构及其直接责任人员，吊销其相应资质和资格，五年内不得从事安全评价、认证、检测、检验等工作；情节严重的，实行终身行业和职业禁入。</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《安全评价检测检验机构管理办法》第三十一条 承担安全评价、检测检验工作的机构，出具虚假证明的，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二万元以上五万元以下的罚款；给他人造成损害的，与生产经营单位承担连带赔偿责任；构成犯罪的，依照刑法有关规定追究刑事责任。</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对有前款违法行为的机构，由资质认可机关吊销其相应资质，向社会公告，按照国家有关规定对相关机构及其责任人员实行行业禁入，纳入不良记录“黑名单”管理，以及安全评价检测检验机构信息查询系统。</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C7B50">
            <w:pPr>
              <w:keepNext w:val="0"/>
              <w:keepLines w:val="0"/>
              <w:pageBreakBefore w:val="0"/>
              <w:kinsoku/>
              <w:wordWrap/>
              <w:overflowPunct/>
              <w:topLinePunct w:val="0"/>
              <w:autoSpaceDE/>
              <w:autoSpaceDN/>
              <w:bidi w:val="0"/>
              <w:adjustRightInd/>
              <w:snapToGrid/>
              <w:spacing w:line="220" w:lineRule="exact"/>
              <w:ind w:left="0" w:leftChars="0" w:right="0" w:rightChars="0" w:firstLine="0" w:firstLineChars="0"/>
              <w:outlineLvl w:val="9"/>
              <w:rPr>
                <w:rFonts w:hint="eastAsia" w:ascii="宋体" w:hAnsi="宋体" w:eastAsia="宋体" w:cs="宋体"/>
                <w:i w:val="0"/>
                <w:color w:val="000000"/>
                <w:sz w:val="21"/>
                <w:szCs w:val="21"/>
                <w:u w:val="none"/>
              </w:rPr>
            </w:pPr>
          </w:p>
        </w:tc>
      </w:tr>
      <w:tr w14:paraId="50D19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21"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067EA">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17</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58F82">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安全评价检测检验机构从业情况:出具失实安全评价、检测检验报告</w:t>
            </w:r>
          </w:p>
        </w:tc>
        <w:tc>
          <w:tcPr>
            <w:tcW w:w="3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F50F3">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《安全评价检测检验机构管理办法》</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第三条……</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省级人民政府应急管理部门、煤矿安全生产监督管理部门（以下统称资质认可机关）按照各自的职责，分别负责安全评价检测检验机构资质认可和监督管理工作。</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设区的市级人民政府、县级人民政府应急管理部门、煤矿安全生产监督管理部门按照各自的职责，对安全评价检测检验机构执业行为实施监督检查，并对发现的违法行为依法实施行政处罚。</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第二十四条资质认可机关应当将其认可的安全评价检测检验机构纳入年度安全生产监督检查计划范围。按照国务院有关“双随机、一公开”的规定实施监督检查，并确保每三年至少覆盖一次。</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安全评价检测检验机构从事跨区域技术服务的，项目实施地资质认可机关应当及时核查其资质有效性、认可范围等信息，并对其技术服务实施抽查。</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资质认可机关及其下级部门应当对本行政区域内登记注册的安全评价检测检验机构资质条件保持情况、接受行政处罚和投诉举报等情况进行重点监督检查。</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7CBBA">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《中华人民共和国安全生产法》第七十二条　承担安全评价、认证、检测、检验职责的机构应当具备国家规定的资质条件，并对其作出的安全评价、认证、检测、检验结果的合法性、真实性负责。资质条件由国务院应急管理部门会同国务院有关部门制定。</w:t>
            </w:r>
          </w:p>
        </w:tc>
        <w:tc>
          <w:tcPr>
            <w:tcW w:w="4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7AEDB">
            <w:pPr>
              <w:widowControl/>
              <w:adjustRightInd w:val="0"/>
              <w:snapToGrid w:val="0"/>
              <w:ind w:firstLine="420" w:firstLineChars="200"/>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《中华人民共和国安全生产法》第九十二条　承担安全评价、认证、检测、检验职责的机构出具失实报告的，责令停业整顿，并处三万元以上十万元以下的罚款；给他人造成损害的，依法承担赔偿责任。</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1D072">
            <w:pPr>
              <w:keepNext w:val="0"/>
              <w:keepLines w:val="0"/>
              <w:pageBreakBefore w:val="0"/>
              <w:kinsoku/>
              <w:wordWrap/>
              <w:overflowPunct/>
              <w:topLinePunct w:val="0"/>
              <w:autoSpaceDE/>
              <w:autoSpaceDN/>
              <w:bidi w:val="0"/>
              <w:adjustRightInd/>
              <w:snapToGrid/>
              <w:spacing w:line="220" w:lineRule="exact"/>
              <w:ind w:left="0" w:leftChars="0" w:right="0" w:rightChars="0" w:firstLine="0" w:firstLineChars="0"/>
              <w:outlineLvl w:val="9"/>
              <w:rPr>
                <w:rFonts w:hint="eastAsia" w:ascii="宋体" w:hAnsi="宋体" w:eastAsia="宋体" w:cs="宋体"/>
                <w:i w:val="0"/>
                <w:color w:val="000000"/>
                <w:sz w:val="21"/>
                <w:szCs w:val="21"/>
                <w:u w:val="none"/>
              </w:rPr>
            </w:pPr>
          </w:p>
        </w:tc>
      </w:tr>
      <w:tr w14:paraId="040FF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6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04D36">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18</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D2026">
            <w:pPr>
              <w:keepNext w:val="0"/>
              <w:keepLines w:val="0"/>
              <w:pageBreakBefore w:val="0"/>
              <w:widowControl/>
              <w:suppressLineNumbers w:val="0"/>
              <w:kinsoku/>
              <w:wordWrap/>
              <w:overflowPunct/>
              <w:topLinePunct w:val="0"/>
              <w:autoSpaceDE/>
              <w:autoSpaceDN/>
              <w:bidi w:val="0"/>
              <w:adjustRightInd/>
              <w:snapToGrid/>
              <w:spacing w:line="220" w:lineRule="exact"/>
              <w:ind w:left="0" w:leftChars="0" w:right="0" w:rightChars="0" w:firstLine="0" w:firstLineChars="0"/>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安全评价检测检验机构从业情况:其它从业行为</w:t>
            </w:r>
          </w:p>
        </w:tc>
        <w:tc>
          <w:tcPr>
            <w:tcW w:w="3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401FA">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lang w:val="en-US" w:eastAsia="zh-CN"/>
              </w:rPr>
              <w:t>《安全评价检测检验机构管理办法》</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第三条……</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省级人民政府应急管理部门、煤矿安全生产监督管理部门（以下统称资质认可机关）按照各自的职责，分别负责安全评价检测检验机构资质认可和监督管理工作。</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设区的市级人民政府、县级人民政府应急管理部门、煤矿安全生产监督管理部门按照各自的职责，对安全评价检测检验机构执业行为实施监督检查，并对发现的违法行为依法实施行政处罚。</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第二十四条资质认可机关应当将其认可的安全评价检测检验机构纳入年度安全生产监督检查计划范围。按照国务院有关“双随机、一公开”的规定实施监督检查，并确保每三年至少覆盖一次。</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安全评价检测检验机构从事跨区域技术服务的，项目实施地资质认可机关应当及时核查其资质有效性、认可范围等信息，并对其技术服务实施抽查。</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资质认可机关及其下级部门应当对本行政区域内登记注册的安全评价检测检验机构资质条件保持情况、接受行政处罚和投诉举报等情况进行重点监督检查。</w:t>
            </w:r>
          </w:p>
        </w:tc>
        <w:tc>
          <w:tcPr>
            <w:tcW w:w="3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8A53B">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lang w:val="en-US" w:eastAsia="zh-CN"/>
              </w:rPr>
              <w:t>第二十二条  安全评价检测检验机构及其从业人员不得有下列行为：</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（一）违反法规标准的规定开展安全评价、检测检验的；</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（六）违反有关法规标准规定，更改或者简化安全评价、检测检验程序和相关内容的；</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（七）专职安全评价师、专业技术人员同时在两个以上安全评价检测检验机构从业的；</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（八）安全评价项目组组长及负责勘验人员不到现场实际地点开展勘验等有关工作的；</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（九） 承担现场检测检验的人员不到现场实际地点开展设备检测检验等有关工作的；</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p>
        </w:tc>
        <w:tc>
          <w:tcPr>
            <w:tcW w:w="4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80DAF">
            <w:pPr>
              <w:widowControl/>
              <w:adjustRightInd w:val="0"/>
              <w:snapToGrid w:val="0"/>
              <w:ind w:firstLine="420" w:firstLineChars="200"/>
              <w:rPr>
                <w:rFonts w:hint="eastAsia" w:ascii="宋体" w:hAnsi="宋体" w:cs="宋体"/>
                <w:color w:val="auto"/>
                <w:kern w:val="0"/>
                <w:szCs w:val="21"/>
              </w:rPr>
            </w:pPr>
            <w:r>
              <w:rPr>
                <w:rFonts w:hint="eastAsia" w:ascii="宋体" w:hAnsi="宋体" w:cs="宋体"/>
                <w:color w:val="auto"/>
                <w:kern w:val="0"/>
                <w:szCs w:val="21"/>
                <w:lang w:val="en-US" w:eastAsia="zh-CN"/>
              </w:rPr>
              <w:t>《安全评价检测检验机构管理办法》第三十条  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（二）违反法规标准规定更改或者简化安全评价、检测检验程序和相关内容的；</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（六）未按照有关法规标准的强制性规定从事安全评价、检测检验活动的；</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（八）安全评价项目组组长及负责勘验人员不到现场实际地点开展勘验等有关工作的；</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（九）承担现场检测检验的人员不到现场实际地点开展设备检测检验等有关工作的；</w:t>
            </w:r>
            <w:r>
              <w:rPr>
                <w:rFonts w:hint="eastAsia" w:ascii="宋体" w:hAnsi="宋体" w:cs="宋体"/>
                <w:color w:val="auto"/>
                <w:kern w:val="0"/>
                <w:szCs w:val="21"/>
                <w:lang w:val="en-US" w:eastAsia="zh-CN"/>
              </w:rPr>
              <w:br w:type="textWrapping"/>
            </w:r>
            <w:r>
              <w:rPr>
                <w:rFonts w:hint="eastAsia" w:ascii="宋体" w:hAnsi="宋体" w:cs="宋体"/>
                <w:color w:val="auto"/>
                <w:kern w:val="0"/>
                <w:szCs w:val="21"/>
                <w:lang w:val="en-US" w:eastAsia="zh-CN"/>
              </w:rPr>
              <w:t>……</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F4265">
            <w:pPr>
              <w:keepNext w:val="0"/>
              <w:keepLines w:val="0"/>
              <w:pageBreakBefore w:val="0"/>
              <w:kinsoku/>
              <w:wordWrap/>
              <w:overflowPunct/>
              <w:topLinePunct w:val="0"/>
              <w:autoSpaceDE/>
              <w:autoSpaceDN/>
              <w:bidi w:val="0"/>
              <w:adjustRightInd/>
              <w:snapToGrid/>
              <w:spacing w:line="220" w:lineRule="exact"/>
              <w:ind w:left="0" w:leftChars="0" w:right="0" w:rightChars="0" w:firstLine="0" w:firstLineChars="0"/>
              <w:outlineLvl w:val="9"/>
              <w:rPr>
                <w:rFonts w:hint="eastAsia" w:ascii="宋体" w:hAnsi="宋体" w:eastAsia="宋体" w:cs="宋体"/>
                <w:i w:val="0"/>
                <w:color w:val="000000"/>
                <w:sz w:val="21"/>
                <w:szCs w:val="21"/>
                <w:u w:val="none"/>
              </w:rPr>
            </w:pPr>
          </w:p>
        </w:tc>
      </w:tr>
    </w:tbl>
    <w:p w14:paraId="51AAC445">
      <w:pPr>
        <w:rPr>
          <w:rFonts w:hint="eastAsia" w:ascii="宋体" w:hAnsi="宋体" w:eastAsia="宋体" w:cs="宋体"/>
          <w:sz w:val="21"/>
          <w:szCs w:val="21"/>
        </w:rPr>
      </w:pPr>
    </w:p>
    <w:p w14:paraId="555B85DA">
      <w:pPr>
        <w:pStyle w:val="7"/>
        <w:rPr>
          <w:rFonts w:hint="eastAsia" w:ascii="宋体" w:hAnsi="宋体" w:eastAsia="宋体" w:cs="宋体"/>
          <w:sz w:val="21"/>
          <w:szCs w:val="21"/>
        </w:rPr>
      </w:pPr>
      <w:bookmarkStart w:id="0" w:name="_GoBack"/>
      <w:bookmarkEnd w:id="0"/>
    </w:p>
    <w:sectPr>
      <w:footerReference r:id="rId4" w:type="default"/>
      <w:pgSz w:w="16838" w:h="11906" w:orient="landscape"/>
      <w:pgMar w:top="1349" w:right="898" w:bottom="612" w:left="144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695D0">
    <w:pPr>
      <w:pStyle w:val="4"/>
    </w:pPr>
    <w:r>
      <w:rPr>
        <w:sz w:val="18"/>
      </w:rPr>
      <mc:AlternateContent>
        <mc:Choice Requires="wps">
          <w:drawing>
            <wp:anchor distT="0" distB="0" distL="114300" distR="114300" simplePos="0" relativeHeight="251659264" behindDoc="0" locked="0" layoutInCell="1" allowOverlap="1">
              <wp:simplePos x="0" y="0"/>
              <wp:positionH relativeFrom="margin">
                <wp:posOffset>4319270</wp:posOffset>
              </wp:positionH>
              <wp:positionV relativeFrom="paragraph">
                <wp:posOffset>-583565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47AC0EF">
                          <w:pPr>
                            <w:pStyle w:val="4"/>
                            <w:jc w:val="center"/>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340.1pt;margin-top:-45.95pt;height:144pt;width:144pt;mso-position-horizontal-relative:margin;mso-wrap-style:none;z-index:251659264;mso-width-relative:page;mso-height-relative:page;" filled="f" stroked="f" coordsize="21600,21600" o:gfxdata="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I+aEatYAAAALAQAADwAAAAAAAAABACAAAAAiAAAAZHJzL2Rvd25y&#10;ZXYueG1sUEsBAhQAFAAAAAgAh07iQPQJJ5fHAQAAmQMAAA4AAAAAAAAAAQAgAAAAJQEAAGRycy9l&#10;Mm9Eb2MueG1sUEsFBgAAAAAGAAYAWQEAAF4FAAAAAA==&#10;">
              <v:fill on="f" focussize="0,0"/>
              <v:stroke on="f"/>
              <v:imagedata o:title=""/>
              <o:lock v:ext="edit" aspectratio="f"/>
              <v:textbox inset="0mm,0mm,0mm,0mm" style="mso-fit-shape-to-text:t;">
                <w:txbxContent>
                  <w:p w14:paraId="547AC0EF">
                    <w:pPr>
                      <w:pStyle w:val="4"/>
                      <w:jc w:val="center"/>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79807">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8037AE">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48037AE">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92B3A5"/>
    <w:multiLevelType w:val="singleLevel"/>
    <w:tmpl w:val="AA92B3A5"/>
    <w:lvl w:ilvl="0" w:tentative="0">
      <w:start w:val="2"/>
      <w:numFmt w:val="chineseCounting"/>
      <w:suff w:val="nothing"/>
      <w:lvlText w:val="（%1）"/>
      <w:lvlJc w:val="left"/>
      <w:rPr>
        <w:rFonts w:hint="eastAsia"/>
      </w:rPr>
    </w:lvl>
  </w:abstractNum>
  <w:abstractNum w:abstractNumId="1">
    <w:nsid w:val="64489E23"/>
    <w:multiLevelType w:val="singleLevel"/>
    <w:tmpl w:val="64489E23"/>
    <w:lvl w:ilvl="0" w:tentative="0">
      <w:start w:val="1"/>
      <w:numFmt w:val="chineseCounting"/>
      <w:suff w:val="nothing"/>
      <w:lvlText w:val="（%1）"/>
      <w:lvlJc w:val="left"/>
    </w:lvl>
  </w:abstractNum>
  <w:abstractNum w:abstractNumId="2">
    <w:nsid w:val="6448A797"/>
    <w:multiLevelType w:val="singleLevel"/>
    <w:tmpl w:val="6448A797"/>
    <w:lvl w:ilvl="0" w:tentative="0">
      <w:start w:val="1"/>
      <w:numFmt w:val="chineseCounting"/>
      <w:suff w:val="nothing"/>
      <w:lvlText w:val="（%1）"/>
      <w:lvlJc w:val="left"/>
    </w:lvl>
  </w:abstractNum>
  <w:abstractNum w:abstractNumId="3">
    <w:nsid w:val="6448B320"/>
    <w:multiLevelType w:val="singleLevel"/>
    <w:tmpl w:val="6448B320"/>
    <w:lvl w:ilvl="0" w:tentative="0">
      <w:start w:val="1"/>
      <w:numFmt w:val="chineseCounting"/>
      <w:suff w:val="nothing"/>
      <w:lvlText w:val="（%1）"/>
      <w:lvlJc w:val="left"/>
    </w:lvl>
  </w:abstractNum>
  <w:abstractNum w:abstractNumId="4">
    <w:nsid w:val="6448B44D"/>
    <w:multiLevelType w:val="singleLevel"/>
    <w:tmpl w:val="6448B44D"/>
    <w:lvl w:ilvl="0" w:tentative="0">
      <w:start w:val="5"/>
      <w:numFmt w:val="chineseCounting"/>
      <w:suff w:val="nothing"/>
      <w:lvlText w:val="（%1）"/>
      <w:lvlJc w:val="left"/>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4F136DA7"/>
    <w:rsid w:val="068648B3"/>
    <w:rsid w:val="08E43B13"/>
    <w:rsid w:val="09FE6D72"/>
    <w:rsid w:val="0C0F70F9"/>
    <w:rsid w:val="0CAA6E21"/>
    <w:rsid w:val="0F5F2145"/>
    <w:rsid w:val="10D10E21"/>
    <w:rsid w:val="1EE2244B"/>
    <w:rsid w:val="21E116E9"/>
    <w:rsid w:val="27225ADA"/>
    <w:rsid w:val="280015E2"/>
    <w:rsid w:val="3058256D"/>
    <w:rsid w:val="30670A02"/>
    <w:rsid w:val="309C71D7"/>
    <w:rsid w:val="31413B18"/>
    <w:rsid w:val="32627A4B"/>
    <w:rsid w:val="34105F46"/>
    <w:rsid w:val="3417273F"/>
    <w:rsid w:val="375872F6"/>
    <w:rsid w:val="387C0543"/>
    <w:rsid w:val="391C6AF7"/>
    <w:rsid w:val="3A88215A"/>
    <w:rsid w:val="3B455DE4"/>
    <w:rsid w:val="3B5D312D"/>
    <w:rsid w:val="3B9643C5"/>
    <w:rsid w:val="40A37834"/>
    <w:rsid w:val="40FA31CC"/>
    <w:rsid w:val="43B46841"/>
    <w:rsid w:val="45FE550D"/>
    <w:rsid w:val="47F6293F"/>
    <w:rsid w:val="48024AFB"/>
    <w:rsid w:val="480706A9"/>
    <w:rsid w:val="484B60E3"/>
    <w:rsid w:val="4B2901FA"/>
    <w:rsid w:val="4F136DA7"/>
    <w:rsid w:val="51BA00E3"/>
    <w:rsid w:val="546D3F89"/>
    <w:rsid w:val="565229F6"/>
    <w:rsid w:val="5BD743DE"/>
    <w:rsid w:val="5E0B4682"/>
    <w:rsid w:val="60C66381"/>
    <w:rsid w:val="658E7B9D"/>
    <w:rsid w:val="712E63F7"/>
    <w:rsid w:val="7AD63D87"/>
    <w:rsid w:val="7BCB1412"/>
    <w:rsid w:val="7D3117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Cambria" w:hAnsi="Cambria"/>
      <w:b/>
      <w:bCs/>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adjustRightInd w:val="0"/>
      <w:spacing w:line="312" w:lineRule="atLeast"/>
      <w:ind w:firstLine="540"/>
      <w:textAlignment w:val="baseline"/>
    </w:pPr>
    <w:rPr>
      <w:rFonts w:eastAsia="宋体"/>
      <w:kern w:val="0"/>
      <w:sz w:val="30"/>
      <w:szCs w:val="20"/>
    </w:rPr>
  </w:style>
  <w:style w:type="paragraph" w:styleId="4">
    <w:name w:val="footer"/>
    <w:basedOn w:val="1"/>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99"/>
    <w:pPr>
      <w:widowControl/>
      <w:spacing w:before="100" w:beforeAutospacing="1" w:after="100" w:afterAutospacing="1"/>
      <w:jc w:val="left"/>
    </w:pPr>
    <w:rPr>
      <w:rFonts w:ascii="宋体" w:hAnsi="宋体" w:eastAsia="宋体" w:cs="宋体"/>
      <w:kern w:val="0"/>
      <w:sz w:val="24"/>
    </w:rPr>
  </w:style>
  <w:style w:type="paragraph" w:styleId="7">
    <w:name w:val="Body Text First Indent 2"/>
    <w:basedOn w:val="3"/>
    <w:qFormat/>
    <w:uiPriority w:val="99"/>
    <w:pPr>
      <w:ind w:firstLine="420"/>
    </w:pPr>
  </w:style>
  <w:style w:type="character" w:styleId="10">
    <w:name w:val="page number"/>
    <w:basedOn w:val="9"/>
    <w:uiPriority w:val="0"/>
  </w:style>
  <w:style w:type="paragraph" w:customStyle="1" w:styleId="11">
    <w:name w:val="正文-公1"/>
    <w:basedOn w:val="1"/>
    <w:next w:val="1"/>
    <w:qFormat/>
    <w:uiPriority w:val="0"/>
    <w:pPr>
      <w:ind w:firstLine="200" w:firstLineChars="200"/>
      <w:jc w:val="left"/>
    </w:pPr>
    <w:rPr>
      <w:rFonts w:eastAsia="仿宋_GB2312"/>
    </w:rPr>
  </w:style>
  <w:style w:type="table" w:customStyle="1" w:styleId="12">
    <w:name w:val="Table Normal"/>
    <w:unhideWhenUsed/>
    <w:qFormat/>
    <w:uiPriority w:val="0"/>
    <w:tblPr>
      <w:tblCellMar>
        <w:top w:w="0" w:type="dxa"/>
        <w:left w:w="0" w:type="dxa"/>
        <w:bottom w:w="0" w:type="dxa"/>
        <w:right w:w="0" w:type="dxa"/>
      </w:tblCellMar>
    </w:tblPr>
  </w:style>
  <w:style w:type="character" w:customStyle="1" w:styleId="13">
    <w:name w:val="font11"/>
    <w:basedOn w:val="9"/>
    <w:qFormat/>
    <w:uiPriority w:val="0"/>
    <w:rPr>
      <w:rFonts w:hint="eastAsia" w:ascii="宋体" w:hAnsi="宋体" w:eastAsia="宋体" w:cs="宋体"/>
      <w:color w:val="000000"/>
      <w:sz w:val="22"/>
      <w:szCs w:val="22"/>
      <w:u w:val="none"/>
    </w:rPr>
  </w:style>
  <w:style w:type="character" w:customStyle="1" w:styleId="14">
    <w:name w:val="font01"/>
    <w:basedOn w:val="9"/>
    <w:qFormat/>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162</Pages>
  <Words>8396</Words>
  <Characters>8464</Characters>
  <Lines>0</Lines>
  <Paragraphs>0</Paragraphs>
  <TotalTime>7</TotalTime>
  <ScaleCrop>false</ScaleCrop>
  <LinksUpToDate>false</LinksUpToDate>
  <CharactersWithSpaces>8552</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2023-05-17T03:29:00Z</dcterms:created>
  <dc:creator>仙贝</dc:creator>
  <cp:lastModifiedBy>苏柳俊</cp:lastModifiedBy>
  <cp:lastPrinted>2023-05-26T11:10:00Z</cp:lastPrinted>
  <dcterms:modified xsi:type="dcterms:W3CDTF">2025-07-22T11:33:56Z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B39C7E770BCB4A068A1772DEAA9D576E</vt:lpwstr>
  </property>
  <property fmtid="{D5CDD505-2E9C-101B-9397-08002B2CF9AE}" pid="4" name="KSOTemplateDocerSaveRecord">
    <vt:lpwstr>eyJoZGlkIjoiMzk5MWEwNTk0MzFkYjM0ZmQxNzM1MTQyMWJiMWM3NzIiLCJ1c2VySWQiOiI2MzAxOTEyMjYifQ==</vt:lpwstr>
  </property>
</Properties>
</file>