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AB06D">
      <w:pPr>
        <w:spacing w:before="263" w:line="221" w:lineRule="auto"/>
        <w:jc w:val="center"/>
        <w:outlineLvl w:val="0"/>
        <w:rPr>
          <w:rFonts w:ascii="黑体" w:hAnsi="黑体" w:eastAsia="黑体" w:cs="黑体"/>
          <w:sz w:val="28"/>
          <w:szCs w:val="28"/>
        </w:rPr>
      </w:pPr>
      <w:r>
        <w:rPr>
          <w:rFonts w:hint="eastAsia" w:ascii="黑体" w:hAnsi="黑体" w:eastAsia="黑体" w:cs="黑体"/>
          <w:b/>
          <w:bCs/>
          <w:spacing w:val="-7"/>
          <w:sz w:val="28"/>
          <w:szCs w:val="28"/>
          <w:lang w:val="en-US" w:eastAsia="zh-CN"/>
        </w:rPr>
        <w:t>伊宁市</w:t>
      </w:r>
      <w:r>
        <w:rPr>
          <w:rFonts w:ascii="黑体" w:hAnsi="黑体" w:eastAsia="黑体" w:cs="黑体"/>
          <w:b/>
          <w:bCs/>
          <w:spacing w:val="-7"/>
          <w:sz w:val="28"/>
          <w:szCs w:val="28"/>
        </w:rPr>
        <w:t>水利局2025年涉企行政检查计划表</w:t>
      </w:r>
    </w:p>
    <w:tbl>
      <w:tblPr>
        <w:tblStyle w:val="5"/>
        <w:tblW w:w="13602"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
        <w:gridCol w:w="1009"/>
        <w:gridCol w:w="1089"/>
        <w:gridCol w:w="979"/>
        <w:gridCol w:w="859"/>
        <w:gridCol w:w="759"/>
        <w:gridCol w:w="1199"/>
        <w:gridCol w:w="659"/>
        <w:gridCol w:w="649"/>
        <w:gridCol w:w="779"/>
        <w:gridCol w:w="5266"/>
      </w:tblGrid>
      <w:tr w14:paraId="1790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55" w:type="dxa"/>
            <w:vAlign w:val="top"/>
          </w:tcPr>
          <w:p w14:paraId="736ED5FC">
            <w:pPr>
              <w:pStyle w:val="4"/>
              <w:spacing w:before="190" w:line="221" w:lineRule="auto"/>
              <w:ind w:left="7"/>
            </w:pPr>
            <w:r>
              <w:rPr>
                <w:b/>
                <w:bCs/>
                <w:spacing w:val="-4"/>
              </w:rPr>
              <w:t>序号</w:t>
            </w:r>
          </w:p>
        </w:tc>
        <w:tc>
          <w:tcPr>
            <w:tcW w:w="1009" w:type="dxa"/>
            <w:vAlign w:val="top"/>
          </w:tcPr>
          <w:p w14:paraId="08D92775">
            <w:pPr>
              <w:pStyle w:val="4"/>
              <w:spacing w:before="189" w:line="219" w:lineRule="auto"/>
              <w:ind w:left="172"/>
            </w:pPr>
            <w:r>
              <w:rPr>
                <w:b/>
                <w:bCs/>
                <w:spacing w:val="-3"/>
              </w:rPr>
              <w:t>检查事项</w:t>
            </w:r>
          </w:p>
        </w:tc>
        <w:tc>
          <w:tcPr>
            <w:tcW w:w="1089" w:type="dxa"/>
            <w:vAlign w:val="top"/>
          </w:tcPr>
          <w:p w14:paraId="2B26F490">
            <w:pPr>
              <w:pStyle w:val="4"/>
              <w:spacing w:before="9" w:line="200" w:lineRule="auto"/>
              <w:ind w:left="13"/>
            </w:pPr>
            <w:r>
              <w:rPr>
                <w:b/>
                <w:bCs/>
                <w:spacing w:val="-10"/>
              </w:rPr>
              <w:t>具体检查对象</w:t>
            </w:r>
            <w:r>
              <w:t xml:space="preserve">   </w:t>
            </w:r>
            <w:r>
              <w:rPr>
                <w:b/>
                <w:bCs/>
                <w:spacing w:val="15"/>
              </w:rPr>
              <w:t>或“双随机”</w:t>
            </w:r>
            <w:r>
              <w:rPr>
                <w:spacing w:val="4"/>
              </w:rPr>
              <w:t xml:space="preserve"> </w:t>
            </w:r>
            <w:r>
              <w:rPr>
                <w:b/>
                <w:bCs/>
                <w:spacing w:val="-8"/>
              </w:rPr>
              <w:t>抽查范围</w:t>
            </w:r>
          </w:p>
        </w:tc>
        <w:tc>
          <w:tcPr>
            <w:tcW w:w="979" w:type="dxa"/>
            <w:vAlign w:val="top"/>
          </w:tcPr>
          <w:p w14:paraId="60D37E43">
            <w:pPr>
              <w:pStyle w:val="4"/>
              <w:spacing w:before="188" w:line="219" w:lineRule="auto"/>
              <w:jc w:val="right"/>
            </w:pPr>
            <w:r>
              <w:rPr>
                <w:b/>
                <w:bCs/>
                <w:spacing w:val="-3"/>
              </w:rPr>
              <w:t>检查牵头单位</w:t>
            </w:r>
          </w:p>
        </w:tc>
        <w:tc>
          <w:tcPr>
            <w:tcW w:w="859" w:type="dxa"/>
            <w:vAlign w:val="top"/>
          </w:tcPr>
          <w:p w14:paraId="09CD39BD">
            <w:pPr>
              <w:pStyle w:val="4"/>
              <w:spacing w:before="189" w:line="220" w:lineRule="auto"/>
              <w:ind w:left="105"/>
            </w:pPr>
            <w:r>
              <w:rPr>
                <w:b/>
                <w:bCs/>
                <w:spacing w:val="-4"/>
              </w:rPr>
              <w:t>参与单位</w:t>
            </w:r>
          </w:p>
        </w:tc>
        <w:tc>
          <w:tcPr>
            <w:tcW w:w="759" w:type="dxa"/>
            <w:vAlign w:val="top"/>
          </w:tcPr>
          <w:p w14:paraId="30B6EDC4">
            <w:pPr>
              <w:pStyle w:val="4"/>
              <w:spacing w:before="99" w:line="197" w:lineRule="auto"/>
              <w:ind w:left="56"/>
            </w:pPr>
            <w:r>
              <w:rPr>
                <w:b/>
                <w:bCs/>
                <w:spacing w:val="-4"/>
              </w:rPr>
              <w:t>单位任务</w:t>
            </w:r>
          </w:p>
          <w:p w14:paraId="22210B11">
            <w:pPr>
              <w:pStyle w:val="4"/>
              <w:spacing w:line="220" w:lineRule="auto"/>
              <w:ind w:left="226"/>
            </w:pPr>
            <w:r>
              <w:rPr>
                <w:b/>
                <w:bCs/>
                <w:spacing w:val="-4"/>
              </w:rPr>
              <w:t>分工</w:t>
            </w:r>
          </w:p>
        </w:tc>
        <w:tc>
          <w:tcPr>
            <w:tcW w:w="1199" w:type="dxa"/>
            <w:vAlign w:val="top"/>
          </w:tcPr>
          <w:p w14:paraId="768AF2F5">
            <w:pPr>
              <w:pStyle w:val="4"/>
              <w:spacing w:before="88" w:line="226" w:lineRule="auto"/>
              <w:ind w:left="7" w:right="307"/>
            </w:pPr>
            <w:r>
              <w:rPr>
                <w:b/>
                <w:bCs/>
                <w:spacing w:val="-3"/>
              </w:rPr>
              <w:t>检查内容(项</w:t>
            </w:r>
            <w:r>
              <w:t xml:space="preserve"> </w:t>
            </w:r>
            <w:r>
              <w:rPr>
                <w:b/>
                <w:bCs/>
                <w:spacing w:val="-21"/>
              </w:rPr>
              <w:t>目</w:t>
            </w:r>
            <w:r>
              <w:rPr>
                <w:spacing w:val="-5"/>
              </w:rPr>
              <w:t xml:space="preserve"> </w:t>
            </w:r>
            <w:r>
              <w:rPr>
                <w:b/>
                <w:bCs/>
                <w:spacing w:val="-21"/>
              </w:rPr>
              <w:t>)</w:t>
            </w:r>
          </w:p>
        </w:tc>
        <w:tc>
          <w:tcPr>
            <w:tcW w:w="659" w:type="dxa"/>
            <w:vAlign w:val="top"/>
          </w:tcPr>
          <w:p w14:paraId="022DCC49">
            <w:pPr>
              <w:pStyle w:val="4"/>
              <w:spacing w:before="78" w:line="237" w:lineRule="auto"/>
              <w:ind w:left="167" w:right="86" w:hanging="79"/>
            </w:pPr>
            <w:r>
              <w:rPr>
                <w:b/>
                <w:bCs/>
                <w:spacing w:val="-4"/>
              </w:rPr>
              <w:t>拟检查</w:t>
            </w:r>
            <w:r>
              <w:t xml:space="preserve"> </w:t>
            </w:r>
            <w:r>
              <w:rPr>
                <w:b/>
                <w:bCs/>
                <w:spacing w:val="3"/>
              </w:rPr>
              <w:t>时间</w:t>
            </w:r>
          </w:p>
        </w:tc>
        <w:tc>
          <w:tcPr>
            <w:tcW w:w="649" w:type="dxa"/>
            <w:vAlign w:val="top"/>
          </w:tcPr>
          <w:p w14:paraId="7D6CF534">
            <w:pPr>
              <w:pStyle w:val="4"/>
              <w:spacing w:before="79" w:line="219" w:lineRule="auto"/>
              <w:ind w:left="79"/>
            </w:pPr>
            <w:r>
              <w:rPr>
                <w:b/>
                <w:bCs/>
                <w:spacing w:val="-4"/>
              </w:rPr>
              <w:t>年度检</w:t>
            </w:r>
          </w:p>
          <w:p w14:paraId="3CD6D2A2">
            <w:pPr>
              <w:pStyle w:val="4"/>
              <w:spacing w:before="20" w:line="219" w:lineRule="auto"/>
              <w:ind w:left="79"/>
            </w:pPr>
            <w:r>
              <w:rPr>
                <w:b/>
                <w:bCs/>
                <w:spacing w:val="-4"/>
              </w:rPr>
              <w:t>查频次</w:t>
            </w:r>
          </w:p>
        </w:tc>
        <w:tc>
          <w:tcPr>
            <w:tcW w:w="779" w:type="dxa"/>
            <w:vAlign w:val="top"/>
          </w:tcPr>
          <w:p w14:paraId="52E00350">
            <w:pPr>
              <w:pStyle w:val="4"/>
              <w:spacing w:before="189" w:line="219" w:lineRule="auto"/>
              <w:ind w:left="50"/>
            </w:pPr>
            <w:r>
              <w:rPr>
                <w:b/>
                <w:bCs/>
                <w:spacing w:val="-3"/>
              </w:rPr>
              <w:t>检查方式</w:t>
            </w:r>
          </w:p>
        </w:tc>
        <w:tc>
          <w:tcPr>
            <w:tcW w:w="5266" w:type="dxa"/>
            <w:vAlign w:val="top"/>
          </w:tcPr>
          <w:p w14:paraId="3CD27ADE">
            <w:pPr>
              <w:pStyle w:val="4"/>
              <w:spacing w:before="188" w:line="219" w:lineRule="auto"/>
              <w:ind w:left="431"/>
              <w:rPr>
                <w:rFonts w:hint="eastAsia" w:eastAsia="宋体"/>
                <w:lang w:eastAsia="zh-CN"/>
              </w:rPr>
            </w:pPr>
            <w:r>
              <w:rPr>
                <w:b/>
                <w:bCs/>
                <w:spacing w:val="-5"/>
              </w:rPr>
              <w:t>法律法规规章、文件</w:t>
            </w:r>
            <w:r>
              <w:rPr>
                <w:rFonts w:hint="eastAsia"/>
                <w:b/>
                <w:bCs/>
                <w:spacing w:val="-5"/>
                <w:lang w:val="en-US" w:eastAsia="zh-CN"/>
              </w:rPr>
              <w:t>依据</w:t>
            </w:r>
          </w:p>
        </w:tc>
      </w:tr>
      <w:tr w14:paraId="3E2E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355" w:type="dxa"/>
            <w:vAlign w:val="top"/>
          </w:tcPr>
          <w:p w14:paraId="46851055">
            <w:pPr>
              <w:pStyle w:val="4"/>
              <w:spacing w:before="52" w:line="241" w:lineRule="auto"/>
              <w:ind w:left="124"/>
              <w:jc w:val="left"/>
            </w:pPr>
          </w:p>
          <w:p w14:paraId="3AFC551B">
            <w:pPr>
              <w:pStyle w:val="4"/>
              <w:spacing w:before="52" w:line="241" w:lineRule="auto"/>
              <w:ind w:left="124"/>
              <w:jc w:val="left"/>
            </w:pPr>
          </w:p>
          <w:p w14:paraId="5E092A31">
            <w:pPr>
              <w:pStyle w:val="4"/>
              <w:spacing w:before="52" w:line="241" w:lineRule="auto"/>
              <w:ind w:left="124"/>
              <w:jc w:val="left"/>
            </w:pPr>
          </w:p>
          <w:p w14:paraId="4D67F57C">
            <w:pPr>
              <w:pStyle w:val="4"/>
              <w:spacing w:before="52" w:line="241" w:lineRule="auto"/>
              <w:ind w:left="124"/>
              <w:jc w:val="left"/>
            </w:pPr>
          </w:p>
          <w:p w14:paraId="0D9435B2">
            <w:pPr>
              <w:pStyle w:val="4"/>
              <w:spacing w:before="52" w:line="241" w:lineRule="auto"/>
              <w:ind w:left="124"/>
              <w:jc w:val="left"/>
            </w:pPr>
          </w:p>
          <w:p w14:paraId="7DC9C54A">
            <w:pPr>
              <w:pStyle w:val="4"/>
              <w:spacing w:before="52" w:line="241" w:lineRule="auto"/>
              <w:ind w:left="124"/>
              <w:jc w:val="left"/>
            </w:pPr>
            <w:r>
              <w:t>1</w:t>
            </w:r>
          </w:p>
        </w:tc>
        <w:tc>
          <w:tcPr>
            <w:tcW w:w="1009" w:type="dxa"/>
            <w:vAlign w:val="center"/>
          </w:tcPr>
          <w:p w14:paraId="3F41428D">
            <w:pPr>
              <w:pStyle w:val="4"/>
              <w:spacing w:before="52" w:line="196" w:lineRule="auto"/>
              <w:ind w:left="9"/>
              <w:jc w:val="center"/>
              <w:rPr>
                <w:sz w:val="18"/>
                <w:szCs w:val="18"/>
              </w:rPr>
            </w:pPr>
            <w:r>
              <w:rPr>
                <w:spacing w:val="-1"/>
                <w:sz w:val="18"/>
                <w:szCs w:val="18"/>
              </w:rPr>
              <w:t>对河道管理范</w:t>
            </w:r>
            <w:r>
              <w:rPr>
                <w:spacing w:val="1"/>
                <w:sz w:val="18"/>
                <w:szCs w:val="18"/>
              </w:rPr>
              <w:t>围采砂活动监</w:t>
            </w:r>
            <w:r>
              <w:rPr>
                <w:spacing w:val="-3"/>
                <w:sz w:val="18"/>
                <w:szCs w:val="18"/>
              </w:rPr>
              <w:t>督检查</w:t>
            </w:r>
          </w:p>
        </w:tc>
        <w:tc>
          <w:tcPr>
            <w:tcW w:w="1089" w:type="dxa"/>
            <w:vAlign w:val="center"/>
          </w:tcPr>
          <w:p w14:paraId="7B3644F0">
            <w:pPr>
              <w:pStyle w:val="4"/>
              <w:spacing w:before="52" w:line="199" w:lineRule="auto"/>
              <w:ind w:left="10"/>
              <w:jc w:val="center"/>
              <w:rPr>
                <w:sz w:val="18"/>
                <w:szCs w:val="18"/>
              </w:rPr>
            </w:pPr>
            <w:r>
              <w:rPr>
                <w:spacing w:val="6"/>
                <w:sz w:val="18"/>
                <w:szCs w:val="18"/>
              </w:rPr>
              <w:t>抽查比例10%,</w:t>
            </w:r>
            <w:r>
              <w:rPr>
                <w:spacing w:val="-1"/>
                <w:sz w:val="18"/>
                <w:szCs w:val="18"/>
              </w:rPr>
              <w:t>抽查频次1-4次/年</w:t>
            </w:r>
          </w:p>
        </w:tc>
        <w:tc>
          <w:tcPr>
            <w:tcW w:w="979" w:type="dxa"/>
            <w:vAlign w:val="center"/>
          </w:tcPr>
          <w:p w14:paraId="6F85D899">
            <w:pPr>
              <w:pStyle w:val="4"/>
              <w:spacing w:before="52" w:line="219" w:lineRule="auto"/>
              <w:ind w:left="241"/>
              <w:jc w:val="center"/>
              <w:rPr>
                <w:sz w:val="18"/>
                <w:szCs w:val="18"/>
              </w:rPr>
            </w:pPr>
            <w:r>
              <w:rPr>
                <w:spacing w:val="4"/>
                <w:sz w:val="18"/>
                <w:szCs w:val="18"/>
              </w:rPr>
              <w:t>水利局</w:t>
            </w:r>
          </w:p>
        </w:tc>
        <w:tc>
          <w:tcPr>
            <w:tcW w:w="859" w:type="dxa"/>
            <w:vAlign w:val="center"/>
          </w:tcPr>
          <w:p w14:paraId="21721F9B">
            <w:pPr>
              <w:pStyle w:val="4"/>
              <w:spacing w:before="52" w:line="234" w:lineRule="auto"/>
              <w:ind w:left="102" w:hanging="80"/>
              <w:jc w:val="center"/>
              <w:rPr>
                <w:sz w:val="18"/>
                <w:szCs w:val="18"/>
              </w:rPr>
            </w:pPr>
            <w:r>
              <w:rPr>
                <w:spacing w:val="5"/>
                <w:sz w:val="18"/>
                <w:szCs w:val="18"/>
              </w:rPr>
              <w:t>环保局、自</w:t>
            </w:r>
            <w:r>
              <w:rPr>
                <w:spacing w:val="3"/>
                <w:sz w:val="18"/>
                <w:szCs w:val="18"/>
              </w:rPr>
              <w:t>然资源局</w:t>
            </w:r>
          </w:p>
        </w:tc>
        <w:tc>
          <w:tcPr>
            <w:tcW w:w="759" w:type="dxa"/>
            <w:vAlign w:val="center"/>
          </w:tcPr>
          <w:p w14:paraId="18165C23">
            <w:pPr>
              <w:jc w:val="center"/>
              <w:rPr>
                <w:rFonts w:ascii="Arial"/>
                <w:sz w:val="22"/>
                <w:szCs w:val="22"/>
              </w:rPr>
            </w:pPr>
          </w:p>
        </w:tc>
        <w:tc>
          <w:tcPr>
            <w:tcW w:w="1199" w:type="dxa"/>
            <w:vAlign w:val="center"/>
          </w:tcPr>
          <w:p w14:paraId="0A37FCDD">
            <w:pPr>
              <w:pStyle w:val="4"/>
              <w:spacing w:line="206" w:lineRule="auto"/>
              <w:ind w:left="24"/>
              <w:jc w:val="center"/>
              <w:rPr>
                <w:rFonts w:hint="default" w:eastAsia="宋体"/>
                <w:sz w:val="18"/>
                <w:szCs w:val="18"/>
                <w:lang w:val="en-US" w:eastAsia="zh-CN"/>
              </w:rPr>
            </w:pPr>
            <w:r>
              <w:rPr>
                <w:spacing w:val="-2"/>
                <w:sz w:val="18"/>
                <w:szCs w:val="18"/>
              </w:rPr>
              <w:t>主要检查河道</w:t>
            </w:r>
            <w:r>
              <w:rPr>
                <w:rFonts w:hint="eastAsia"/>
                <w:spacing w:val="-2"/>
                <w:sz w:val="18"/>
                <w:szCs w:val="18"/>
                <w:lang w:val="en-US" w:eastAsia="zh-CN"/>
              </w:rPr>
              <w:t>非法采砂情况</w:t>
            </w:r>
          </w:p>
        </w:tc>
        <w:tc>
          <w:tcPr>
            <w:tcW w:w="659" w:type="dxa"/>
            <w:vAlign w:val="center"/>
          </w:tcPr>
          <w:p w14:paraId="64324A20">
            <w:pPr>
              <w:pStyle w:val="4"/>
              <w:spacing w:before="52" w:line="219" w:lineRule="auto"/>
              <w:jc w:val="center"/>
              <w:rPr>
                <w:sz w:val="18"/>
                <w:szCs w:val="18"/>
              </w:rPr>
            </w:pPr>
            <w:r>
              <w:rPr>
                <w:spacing w:val="-2"/>
                <w:sz w:val="18"/>
                <w:szCs w:val="18"/>
              </w:rPr>
              <w:t>4月-11月</w:t>
            </w:r>
          </w:p>
        </w:tc>
        <w:tc>
          <w:tcPr>
            <w:tcW w:w="649" w:type="dxa"/>
            <w:vAlign w:val="center"/>
          </w:tcPr>
          <w:p w14:paraId="4325F4B1">
            <w:pPr>
              <w:pStyle w:val="4"/>
              <w:spacing w:before="52" w:line="219" w:lineRule="auto"/>
              <w:ind w:left="36"/>
              <w:jc w:val="center"/>
              <w:rPr>
                <w:sz w:val="18"/>
                <w:szCs w:val="18"/>
              </w:rPr>
            </w:pPr>
            <w:r>
              <w:rPr>
                <w:spacing w:val="-2"/>
                <w:sz w:val="18"/>
                <w:szCs w:val="18"/>
              </w:rPr>
              <w:t>每月1次</w:t>
            </w:r>
          </w:p>
        </w:tc>
        <w:tc>
          <w:tcPr>
            <w:tcW w:w="779" w:type="dxa"/>
            <w:vAlign w:val="center"/>
          </w:tcPr>
          <w:p w14:paraId="7DD590B6">
            <w:pPr>
              <w:pStyle w:val="4"/>
              <w:spacing w:before="52" w:line="219" w:lineRule="auto"/>
              <w:ind w:left="88"/>
              <w:jc w:val="center"/>
              <w:rPr>
                <w:sz w:val="18"/>
                <w:szCs w:val="18"/>
              </w:rPr>
            </w:pPr>
            <w:r>
              <w:rPr>
                <w:spacing w:val="2"/>
                <w:sz w:val="18"/>
                <w:szCs w:val="18"/>
              </w:rPr>
              <w:t>日常检查</w:t>
            </w:r>
          </w:p>
        </w:tc>
        <w:tc>
          <w:tcPr>
            <w:tcW w:w="5266" w:type="dxa"/>
            <w:vAlign w:val="top"/>
          </w:tcPr>
          <w:p w14:paraId="0A7D33C4">
            <w:pPr>
              <w:pStyle w:val="4"/>
              <w:spacing w:before="8" w:line="209" w:lineRule="auto"/>
              <w:ind w:left="18"/>
              <w:jc w:val="left"/>
              <w:rPr>
                <w:rFonts w:hint="eastAsia"/>
                <w:sz w:val="18"/>
                <w:szCs w:val="18"/>
              </w:rPr>
            </w:pPr>
            <w:r>
              <w:rPr>
                <w:rFonts w:hint="eastAsia"/>
                <w:sz w:val="18"/>
                <w:szCs w:val="18"/>
              </w:rPr>
              <w:t>《新疆维吾尔自治区河道管理条例》第二十二条:在河道管理范围内(堤防和护堤地除外)进行下列活动，必须报经河道主管机关批准，涉及其他部门的，由河道主管机关会同有关部门批准:</w:t>
            </w:r>
          </w:p>
          <w:p w14:paraId="5773A473">
            <w:pPr>
              <w:pStyle w:val="4"/>
              <w:numPr>
                <w:ilvl w:val="0"/>
                <w:numId w:val="1"/>
              </w:numPr>
              <w:spacing w:before="8" w:line="209" w:lineRule="auto"/>
              <w:ind w:left="18"/>
              <w:jc w:val="left"/>
              <w:rPr>
                <w:rFonts w:hint="eastAsia"/>
                <w:sz w:val="18"/>
                <w:szCs w:val="18"/>
                <w:lang w:eastAsia="zh-CN"/>
              </w:rPr>
            </w:pPr>
            <w:r>
              <w:rPr>
                <w:rFonts w:hint="eastAsia"/>
                <w:sz w:val="18"/>
                <w:szCs w:val="18"/>
              </w:rPr>
              <w:t>采砂、取土、采石、淘金</w:t>
            </w:r>
            <w:r>
              <w:rPr>
                <w:rFonts w:hint="eastAsia"/>
                <w:sz w:val="18"/>
                <w:szCs w:val="18"/>
                <w:lang w:eastAsia="zh-CN"/>
              </w:rPr>
              <w:t>；</w:t>
            </w:r>
          </w:p>
          <w:p w14:paraId="2E7EC3A7">
            <w:pPr>
              <w:pStyle w:val="4"/>
              <w:numPr>
                <w:ilvl w:val="0"/>
                <w:numId w:val="1"/>
              </w:numPr>
              <w:spacing w:before="8" w:line="209" w:lineRule="auto"/>
              <w:ind w:left="18"/>
              <w:jc w:val="left"/>
              <w:rPr>
                <w:rFonts w:hint="eastAsia"/>
                <w:sz w:val="18"/>
                <w:szCs w:val="18"/>
              </w:rPr>
            </w:pPr>
            <w:r>
              <w:rPr>
                <w:rFonts w:hint="eastAsia"/>
                <w:sz w:val="18"/>
                <w:szCs w:val="18"/>
              </w:rPr>
              <w:t>爆破、钻探、挖筑鱼塘</w:t>
            </w:r>
            <w:r>
              <w:rPr>
                <w:rFonts w:hint="eastAsia"/>
                <w:sz w:val="18"/>
                <w:szCs w:val="18"/>
                <w:lang w:eastAsia="zh-CN"/>
              </w:rPr>
              <w:t>；</w:t>
            </w:r>
          </w:p>
          <w:p w14:paraId="25DAE09D">
            <w:pPr>
              <w:pStyle w:val="4"/>
              <w:numPr>
                <w:ilvl w:val="0"/>
                <w:numId w:val="1"/>
              </w:numPr>
              <w:spacing w:before="8" w:line="209" w:lineRule="auto"/>
              <w:ind w:left="18"/>
              <w:jc w:val="left"/>
              <w:rPr>
                <w:rFonts w:hint="eastAsia"/>
                <w:sz w:val="18"/>
                <w:szCs w:val="18"/>
              </w:rPr>
            </w:pPr>
            <w:r>
              <w:rPr>
                <w:rFonts w:hint="eastAsia"/>
                <w:sz w:val="18"/>
                <w:szCs w:val="18"/>
                <w:lang w:val="en-US" w:eastAsia="zh-CN"/>
              </w:rPr>
              <w:t>在河道滩地存放物料、修建厂房或其他</w:t>
            </w:r>
            <w:r>
              <w:rPr>
                <w:rFonts w:hint="eastAsia"/>
                <w:sz w:val="18"/>
                <w:szCs w:val="18"/>
              </w:rPr>
              <w:t>建筑设施</w:t>
            </w:r>
            <w:r>
              <w:rPr>
                <w:rFonts w:hint="eastAsia"/>
                <w:sz w:val="18"/>
                <w:szCs w:val="18"/>
                <w:lang w:eastAsia="zh-CN"/>
              </w:rPr>
              <w:t>；</w:t>
            </w:r>
          </w:p>
          <w:p w14:paraId="2DDFCE68">
            <w:pPr>
              <w:pStyle w:val="4"/>
              <w:numPr>
                <w:ilvl w:val="0"/>
                <w:numId w:val="1"/>
              </w:numPr>
              <w:spacing w:before="8" w:line="209" w:lineRule="auto"/>
              <w:ind w:left="18"/>
              <w:jc w:val="left"/>
              <w:rPr>
                <w:rFonts w:hint="eastAsia"/>
                <w:sz w:val="18"/>
                <w:szCs w:val="18"/>
              </w:rPr>
            </w:pPr>
            <w:r>
              <w:rPr>
                <w:rFonts w:hint="eastAsia"/>
                <w:sz w:val="18"/>
                <w:szCs w:val="18"/>
              </w:rPr>
              <w:t>在河道滩地开采地下资源及进行考古发掘。</w:t>
            </w:r>
          </w:p>
          <w:p w14:paraId="32487EDC">
            <w:pPr>
              <w:pStyle w:val="4"/>
              <w:spacing w:before="8" w:line="209" w:lineRule="auto"/>
              <w:ind w:left="18"/>
              <w:jc w:val="left"/>
              <w:rPr>
                <w:sz w:val="18"/>
                <w:szCs w:val="18"/>
              </w:rPr>
            </w:pPr>
            <w:r>
              <w:rPr>
                <w:rFonts w:hint="eastAsia"/>
                <w:sz w:val="18"/>
                <w:szCs w:val="18"/>
              </w:rPr>
              <w:t>从事前款第一项所列采砂、职土、采石、淘金等生产活动的，应当按国家和自治区的有关规定取得采砂(</w:t>
            </w:r>
            <w:r>
              <w:rPr>
                <w:rFonts w:hint="eastAsia"/>
                <w:sz w:val="18"/>
                <w:szCs w:val="18"/>
                <w:lang w:val="en-US" w:eastAsia="zh-CN"/>
              </w:rPr>
              <w:t>取</w:t>
            </w:r>
            <w:r>
              <w:rPr>
                <w:rFonts w:hint="eastAsia"/>
                <w:sz w:val="18"/>
                <w:szCs w:val="18"/>
              </w:rPr>
              <w:t>土、采石</w:t>
            </w:r>
            <w:r>
              <w:rPr>
                <w:rFonts w:hint="eastAsia"/>
                <w:sz w:val="18"/>
                <w:szCs w:val="18"/>
                <w:lang w:eastAsia="zh-CN"/>
              </w:rPr>
              <w:t>、</w:t>
            </w:r>
            <w:r>
              <w:rPr>
                <w:rFonts w:hint="eastAsia"/>
                <w:sz w:val="18"/>
                <w:szCs w:val="18"/>
              </w:rPr>
              <w:t>淘金)许可证，缴纳管理费，方可</w:t>
            </w:r>
            <w:r>
              <w:rPr>
                <w:rFonts w:hint="eastAsia"/>
                <w:sz w:val="18"/>
                <w:szCs w:val="18"/>
                <w:lang w:val="en-US" w:eastAsia="zh-CN"/>
              </w:rPr>
              <w:t>按</w:t>
            </w:r>
            <w:r>
              <w:rPr>
                <w:rFonts w:hint="eastAsia"/>
                <w:sz w:val="18"/>
                <w:szCs w:val="18"/>
              </w:rPr>
              <w:t>批准的作业范围和方式进行。第三十三条</w:t>
            </w:r>
            <w:r>
              <w:rPr>
                <w:rFonts w:hint="eastAsia"/>
                <w:sz w:val="18"/>
                <w:szCs w:val="18"/>
                <w:lang w:eastAsia="zh-CN"/>
              </w:rPr>
              <w:t>：</w:t>
            </w:r>
            <w:r>
              <w:rPr>
                <w:rFonts w:hint="eastAsia"/>
                <w:sz w:val="18"/>
                <w:szCs w:val="18"/>
              </w:rPr>
              <w:t>在河道范围内，未经批准或者不按批准的作业范围和方式采砂、取土、采石、淘金的，县级以上河道主管机关除责令其恢复河道原状外，可以视情节轻重分别给予三千元以下罚款、没收违法所得的处罚。</w:t>
            </w:r>
          </w:p>
        </w:tc>
      </w:tr>
      <w:tr w14:paraId="3EF0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 w:type="dxa"/>
            <w:vAlign w:val="top"/>
          </w:tcPr>
          <w:p w14:paraId="1A96A5F1">
            <w:pPr>
              <w:pStyle w:val="4"/>
              <w:spacing w:before="52" w:line="241" w:lineRule="auto"/>
              <w:ind w:left="124"/>
              <w:jc w:val="left"/>
            </w:pPr>
          </w:p>
          <w:p w14:paraId="086E6B06">
            <w:pPr>
              <w:pStyle w:val="4"/>
              <w:spacing w:before="52" w:line="241" w:lineRule="auto"/>
              <w:ind w:left="124"/>
              <w:jc w:val="left"/>
            </w:pPr>
            <w:r>
              <w:t>2</w:t>
            </w:r>
          </w:p>
        </w:tc>
        <w:tc>
          <w:tcPr>
            <w:tcW w:w="1009" w:type="dxa"/>
            <w:vAlign w:val="center"/>
          </w:tcPr>
          <w:p w14:paraId="15EAAFF7">
            <w:pPr>
              <w:pStyle w:val="4"/>
              <w:spacing w:before="52" w:line="219" w:lineRule="auto"/>
              <w:ind w:left="9"/>
              <w:jc w:val="center"/>
              <w:rPr>
                <w:sz w:val="18"/>
                <w:szCs w:val="18"/>
              </w:rPr>
            </w:pPr>
            <w:r>
              <w:rPr>
                <w:spacing w:val="-1"/>
                <w:sz w:val="18"/>
                <w:szCs w:val="18"/>
              </w:rPr>
              <w:t>对水利行业安全生产的行政</w:t>
            </w:r>
            <w:r>
              <w:rPr>
                <w:spacing w:val="-2"/>
                <w:sz w:val="18"/>
                <w:szCs w:val="18"/>
              </w:rPr>
              <w:t>检查</w:t>
            </w:r>
          </w:p>
        </w:tc>
        <w:tc>
          <w:tcPr>
            <w:tcW w:w="1089" w:type="dxa"/>
            <w:vAlign w:val="center"/>
          </w:tcPr>
          <w:p w14:paraId="519A6962">
            <w:pPr>
              <w:pStyle w:val="4"/>
              <w:spacing w:before="52" w:line="219" w:lineRule="auto"/>
              <w:jc w:val="center"/>
              <w:rPr>
                <w:sz w:val="18"/>
                <w:szCs w:val="18"/>
              </w:rPr>
            </w:pPr>
            <w:r>
              <w:rPr>
                <w:spacing w:val="1"/>
                <w:sz w:val="16"/>
                <w:szCs w:val="16"/>
              </w:rPr>
              <w:t>水利</w:t>
            </w:r>
            <w:r>
              <w:rPr>
                <w:spacing w:val="-1"/>
                <w:sz w:val="16"/>
                <w:szCs w:val="16"/>
              </w:rPr>
              <w:t>在建项目施工</w:t>
            </w:r>
            <w:r>
              <w:rPr>
                <w:spacing w:val="13"/>
                <w:sz w:val="16"/>
                <w:szCs w:val="16"/>
              </w:rPr>
              <w:t>单位；水库、</w:t>
            </w:r>
            <w:r>
              <w:rPr>
                <w:spacing w:val="1"/>
                <w:sz w:val="16"/>
                <w:szCs w:val="16"/>
              </w:rPr>
              <w:t>大坝管</w:t>
            </w:r>
            <w:r>
              <w:rPr>
                <w:spacing w:val="-2"/>
                <w:sz w:val="16"/>
                <w:szCs w:val="16"/>
              </w:rPr>
              <w:t>理主体</w:t>
            </w:r>
          </w:p>
        </w:tc>
        <w:tc>
          <w:tcPr>
            <w:tcW w:w="979" w:type="dxa"/>
            <w:vAlign w:val="center"/>
          </w:tcPr>
          <w:p w14:paraId="12DAB84D">
            <w:pPr>
              <w:pStyle w:val="4"/>
              <w:spacing w:before="52" w:line="219" w:lineRule="auto"/>
              <w:ind w:left="241"/>
              <w:jc w:val="center"/>
              <w:rPr>
                <w:sz w:val="18"/>
                <w:szCs w:val="18"/>
              </w:rPr>
            </w:pPr>
            <w:r>
              <w:rPr>
                <w:spacing w:val="4"/>
                <w:sz w:val="18"/>
                <w:szCs w:val="18"/>
              </w:rPr>
              <w:t>水利局</w:t>
            </w:r>
          </w:p>
        </w:tc>
        <w:tc>
          <w:tcPr>
            <w:tcW w:w="859" w:type="dxa"/>
            <w:vAlign w:val="center"/>
          </w:tcPr>
          <w:p w14:paraId="2E93762E">
            <w:pPr>
              <w:pStyle w:val="4"/>
              <w:spacing w:before="52" w:line="220" w:lineRule="auto"/>
              <w:ind w:left="102" w:right="37" w:hanging="80"/>
              <w:jc w:val="center"/>
              <w:rPr>
                <w:sz w:val="18"/>
                <w:szCs w:val="18"/>
              </w:rPr>
            </w:pPr>
            <w:r>
              <w:rPr>
                <w:spacing w:val="-3"/>
                <w:sz w:val="18"/>
                <w:szCs w:val="18"/>
              </w:rPr>
              <w:t>公安局、应</w:t>
            </w:r>
            <w:r>
              <w:rPr>
                <w:spacing w:val="2"/>
                <w:sz w:val="18"/>
                <w:szCs w:val="18"/>
              </w:rPr>
              <w:t xml:space="preserve"> </w:t>
            </w:r>
            <w:r>
              <w:rPr>
                <w:spacing w:val="3"/>
                <w:sz w:val="18"/>
                <w:szCs w:val="18"/>
              </w:rPr>
              <w:t>急管理局</w:t>
            </w:r>
          </w:p>
        </w:tc>
        <w:tc>
          <w:tcPr>
            <w:tcW w:w="759" w:type="dxa"/>
            <w:vAlign w:val="center"/>
          </w:tcPr>
          <w:p w14:paraId="4CF4E8E8">
            <w:pPr>
              <w:jc w:val="center"/>
              <w:rPr>
                <w:rFonts w:ascii="Arial"/>
                <w:sz w:val="22"/>
                <w:szCs w:val="22"/>
              </w:rPr>
            </w:pPr>
          </w:p>
        </w:tc>
        <w:tc>
          <w:tcPr>
            <w:tcW w:w="1199" w:type="dxa"/>
            <w:vAlign w:val="center"/>
          </w:tcPr>
          <w:p w14:paraId="5D6F9B14">
            <w:pPr>
              <w:pStyle w:val="4"/>
              <w:spacing w:before="52" w:line="215" w:lineRule="auto"/>
              <w:ind w:left="4" w:right="73"/>
              <w:jc w:val="center"/>
              <w:rPr>
                <w:sz w:val="18"/>
                <w:szCs w:val="18"/>
              </w:rPr>
            </w:pPr>
            <w:r>
              <w:rPr>
                <w:spacing w:val="-2"/>
                <w:sz w:val="18"/>
                <w:szCs w:val="18"/>
              </w:rPr>
              <w:t>安全生产监督检</w:t>
            </w:r>
            <w:r>
              <w:rPr>
                <w:sz w:val="18"/>
                <w:szCs w:val="18"/>
              </w:rPr>
              <w:t>查</w:t>
            </w:r>
          </w:p>
        </w:tc>
        <w:tc>
          <w:tcPr>
            <w:tcW w:w="659" w:type="dxa"/>
            <w:vAlign w:val="center"/>
          </w:tcPr>
          <w:p w14:paraId="5730BDEC">
            <w:pPr>
              <w:pStyle w:val="4"/>
              <w:spacing w:before="52" w:line="219" w:lineRule="auto"/>
              <w:jc w:val="center"/>
              <w:rPr>
                <w:sz w:val="18"/>
                <w:szCs w:val="18"/>
              </w:rPr>
            </w:pPr>
            <w:r>
              <w:rPr>
                <w:spacing w:val="-2"/>
                <w:sz w:val="18"/>
                <w:szCs w:val="18"/>
              </w:rPr>
              <w:t>4月-12月</w:t>
            </w:r>
          </w:p>
        </w:tc>
        <w:tc>
          <w:tcPr>
            <w:tcW w:w="649" w:type="dxa"/>
            <w:vAlign w:val="center"/>
          </w:tcPr>
          <w:p w14:paraId="79D1F878">
            <w:pPr>
              <w:pStyle w:val="4"/>
              <w:spacing w:before="52" w:line="219" w:lineRule="auto"/>
              <w:ind w:left="36"/>
              <w:jc w:val="center"/>
              <w:rPr>
                <w:sz w:val="18"/>
                <w:szCs w:val="18"/>
              </w:rPr>
            </w:pPr>
            <w:r>
              <w:rPr>
                <w:spacing w:val="-2"/>
                <w:sz w:val="18"/>
                <w:szCs w:val="18"/>
              </w:rPr>
              <w:t>每月1次</w:t>
            </w:r>
          </w:p>
        </w:tc>
        <w:tc>
          <w:tcPr>
            <w:tcW w:w="779" w:type="dxa"/>
            <w:vAlign w:val="center"/>
          </w:tcPr>
          <w:p w14:paraId="374048E4">
            <w:pPr>
              <w:pStyle w:val="4"/>
              <w:spacing w:before="52" w:line="219" w:lineRule="auto"/>
              <w:ind w:left="17"/>
              <w:jc w:val="center"/>
              <w:rPr>
                <w:sz w:val="18"/>
                <w:szCs w:val="18"/>
              </w:rPr>
            </w:pPr>
            <w:r>
              <w:rPr>
                <w:spacing w:val="-2"/>
                <w:sz w:val="18"/>
                <w:szCs w:val="18"/>
              </w:rPr>
              <w:t>现场检查</w:t>
            </w:r>
          </w:p>
          <w:p w14:paraId="7F908926">
            <w:pPr>
              <w:pStyle w:val="4"/>
              <w:spacing w:before="10" w:line="207" w:lineRule="auto"/>
              <w:ind w:left="17"/>
              <w:jc w:val="center"/>
              <w:rPr>
                <w:sz w:val="18"/>
                <w:szCs w:val="18"/>
              </w:rPr>
            </w:pPr>
            <w:r>
              <w:rPr>
                <w:sz w:val="18"/>
                <w:szCs w:val="18"/>
              </w:rPr>
              <w:t>、非现场</w:t>
            </w:r>
          </w:p>
          <w:p w14:paraId="4A7304C6">
            <w:pPr>
              <w:pStyle w:val="4"/>
              <w:spacing w:before="1" w:line="226" w:lineRule="auto"/>
              <w:ind w:left="17" w:right="117"/>
              <w:jc w:val="center"/>
              <w:rPr>
                <w:sz w:val="18"/>
                <w:szCs w:val="18"/>
              </w:rPr>
            </w:pPr>
            <w:r>
              <w:rPr>
                <w:spacing w:val="-2"/>
                <w:sz w:val="18"/>
                <w:szCs w:val="18"/>
              </w:rPr>
              <w:t>检查相结</w:t>
            </w:r>
            <w:r>
              <w:rPr>
                <w:sz w:val="18"/>
                <w:szCs w:val="18"/>
              </w:rPr>
              <w:t>合</w:t>
            </w:r>
          </w:p>
        </w:tc>
        <w:tc>
          <w:tcPr>
            <w:tcW w:w="5266" w:type="dxa"/>
            <w:vAlign w:val="top"/>
          </w:tcPr>
          <w:p w14:paraId="4839F08E">
            <w:pPr>
              <w:pStyle w:val="4"/>
              <w:spacing w:before="258" w:line="208" w:lineRule="auto"/>
              <w:ind w:left="58" w:hanging="58"/>
              <w:jc w:val="left"/>
              <w:rPr>
                <w:sz w:val="18"/>
                <w:szCs w:val="18"/>
              </w:rPr>
            </w:pPr>
            <w:r>
              <w:rPr>
                <w:spacing w:val="-4"/>
                <w:sz w:val="18"/>
                <w:szCs w:val="18"/>
              </w:rPr>
              <w:t>《中华人民共和国安全生产法》</w:t>
            </w:r>
            <w:r>
              <w:rPr>
                <w:rFonts w:hint="eastAsia"/>
                <w:spacing w:val="-4"/>
                <w:sz w:val="18"/>
                <w:szCs w:val="18"/>
                <w:lang w:eastAsia="zh-CN"/>
              </w:rPr>
              <w:t>（</w:t>
            </w:r>
            <w:r>
              <w:rPr>
                <w:rFonts w:hint="eastAsia"/>
                <w:spacing w:val="-4"/>
                <w:sz w:val="18"/>
                <w:szCs w:val="18"/>
                <w:lang w:val="en-US" w:eastAsia="zh-CN"/>
              </w:rPr>
              <w:t>2021</w:t>
            </w:r>
            <w:r>
              <w:rPr>
                <w:spacing w:val="-4"/>
                <w:sz w:val="18"/>
                <w:szCs w:val="18"/>
              </w:rPr>
              <w:t>年9月1日实施)第十条县级以上</w:t>
            </w:r>
            <w:r>
              <w:rPr>
                <w:spacing w:val="12"/>
                <w:sz w:val="18"/>
                <w:szCs w:val="18"/>
              </w:rPr>
              <w:t xml:space="preserve"> </w:t>
            </w:r>
            <w:r>
              <w:rPr>
                <w:spacing w:val="-11"/>
                <w:sz w:val="18"/>
                <w:szCs w:val="18"/>
              </w:rPr>
              <w:t>民政府有关部门依照本法和其他</w:t>
            </w:r>
            <w:r>
              <w:rPr>
                <w:rFonts w:hint="eastAsia"/>
                <w:spacing w:val="9"/>
                <w:sz w:val="18"/>
                <w:szCs w:val="18"/>
                <w:lang w:val="en-US" w:eastAsia="zh-CN"/>
              </w:rPr>
              <w:t>法</w:t>
            </w:r>
            <w:r>
              <w:rPr>
                <w:spacing w:val="-10"/>
                <w:sz w:val="18"/>
                <w:szCs w:val="18"/>
              </w:rPr>
              <w:t>律、法规的规定，在各自的职责</w:t>
            </w:r>
            <w:r>
              <w:rPr>
                <w:spacing w:val="-11"/>
                <w:sz w:val="18"/>
                <w:szCs w:val="18"/>
              </w:rPr>
              <w:t>对有关行业、领域的安全生产工</w:t>
            </w:r>
            <w:r>
              <w:rPr>
                <w:spacing w:val="-3"/>
                <w:sz w:val="18"/>
                <w:szCs w:val="18"/>
              </w:rPr>
              <w:t>监督管理。</w:t>
            </w:r>
          </w:p>
        </w:tc>
      </w:tr>
      <w:tr w14:paraId="7273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355" w:type="dxa"/>
            <w:vAlign w:val="top"/>
          </w:tcPr>
          <w:p w14:paraId="06AFC0FC">
            <w:pPr>
              <w:pStyle w:val="4"/>
              <w:spacing w:before="52"/>
              <w:ind w:left="124"/>
              <w:jc w:val="left"/>
            </w:pPr>
          </w:p>
          <w:p w14:paraId="445E29F4">
            <w:pPr>
              <w:pStyle w:val="4"/>
              <w:spacing w:before="52"/>
              <w:ind w:left="124"/>
              <w:jc w:val="left"/>
            </w:pPr>
          </w:p>
          <w:p w14:paraId="1CC833FB">
            <w:pPr>
              <w:pStyle w:val="4"/>
              <w:spacing w:before="52"/>
              <w:ind w:left="124"/>
              <w:jc w:val="left"/>
            </w:pPr>
          </w:p>
          <w:p w14:paraId="707102FE">
            <w:pPr>
              <w:pStyle w:val="4"/>
              <w:spacing w:before="52"/>
              <w:ind w:left="124"/>
              <w:jc w:val="left"/>
            </w:pPr>
            <w:r>
              <w:t>3</w:t>
            </w:r>
          </w:p>
        </w:tc>
        <w:tc>
          <w:tcPr>
            <w:tcW w:w="1009" w:type="dxa"/>
            <w:vAlign w:val="center"/>
          </w:tcPr>
          <w:p w14:paraId="29E696C0">
            <w:pPr>
              <w:pStyle w:val="4"/>
              <w:spacing w:before="52" w:line="208" w:lineRule="auto"/>
              <w:jc w:val="center"/>
              <w:rPr>
                <w:sz w:val="18"/>
                <w:szCs w:val="18"/>
              </w:rPr>
            </w:pPr>
            <w:r>
              <w:rPr>
                <w:spacing w:val="-1"/>
                <w:sz w:val="18"/>
                <w:szCs w:val="18"/>
              </w:rPr>
              <w:t>对水资源管理情况的行政检</w:t>
            </w:r>
            <w:r>
              <w:rPr>
                <w:sz w:val="18"/>
                <w:szCs w:val="18"/>
              </w:rPr>
              <w:t>查</w:t>
            </w:r>
          </w:p>
        </w:tc>
        <w:tc>
          <w:tcPr>
            <w:tcW w:w="1089" w:type="dxa"/>
            <w:vAlign w:val="center"/>
          </w:tcPr>
          <w:p w14:paraId="56171122">
            <w:pPr>
              <w:pStyle w:val="4"/>
              <w:spacing w:before="52" w:line="214" w:lineRule="auto"/>
              <w:ind w:left="10" w:right="33"/>
              <w:jc w:val="center"/>
              <w:rPr>
                <w:sz w:val="18"/>
                <w:szCs w:val="18"/>
              </w:rPr>
            </w:pPr>
            <w:r>
              <w:rPr>
                <w:rFonts w:hint="eastAsia"/>
                <w:spacing w:val="-2"/>
                <w:sz w:val="18"/>
                <w:szCs w:val="18"/>
                <w:lang w:val="en-US" w:eastAsia="zh-CN"/>
              </w:rPr>
              <w:t>对</w:t>
            </w:r>
            <w:r>
              <w:rPr>
                <w:spacing w:val="-2"/>
                <w:sz w:val="18"/>
                <w:szCs w:val="18"/>
              </w:rPr>
              <w:t>取用水企业</w:t>
            </w:r>
            <w:r>
              <w:rPr>
                <w:spacing w:val="-1"/>
                <w:sz w:val="18"/>
                <w:szCs w:val="18"/>
              </w:rPr>
              <w:t>“双随</w:t>
            </w:r>
            <w:r>
              <w:rPr>
                <w:sz w:val="18"/>
                <w:szCs w:val="18"/>
              </w:rPr>
              <w:t xml:space="preserve">  </w:t>
            </w:r>
            <w:r>
              <w:rPr>
                <w:spacing w:val="-1"/>
                <w:sz w:val="18"/>
                <w:szCs w:val="18"/>
              </w:rPr>
              <w:t>机一公开”抽</w:t>
            </w:r>
            <w:r>
              <w:rPr>
                <w:sz w:val="18"/>
                <w:szCs w:val="18"/>
              </w:rPr>
              <w:t>查家。</w:t>
            </w:r>
          </w:p>
        </w:tc>
        <w:tc>
          <w:tcPr>
            <w:tcW w:w="979" w:type="dxa"/>
            <w:vAlign w:val="center"/>
          </w:tcPr>
          <w:p w14:paraId="53F9021E">
            <w:pPr>
              <w:pStyle w:val="4"/>
              <w:spacing w:before="52" w:line="219" w:lineRule="auto"/>
              <w:ind w:left="241"/>
              <w:jc w:val="center"/>
              <w:rPr>
                <w:sz w:val="18"/>
                <w:szCs w:val="18"/>
              </w:rPr>
            </w:pPr>
            <w:r>
              <w:rPr>
                <w:spacing w:val="4"/>
                <w:sz w:val="18"/>
                <w:szCs w:val="18"/>
              </w:rPr>
              <w:t>水利局</w:t>
            </w:r>
          </w:p>
        </w:tc>
        <w:tc>
          <w:tcPr>
            <w:tcW w:w="859" w:type="dxa"/>
            <w:vAlign w:val="center"/>
          </w:tcPr>
          <w:p w14:paraId="3CABA7D9">
            <w:pPr>
              <w:pStyle w:val="4"/>
              <w:spacing w:before="52" w:line="219" w:lineRule="auto"/>
              <w:ind w:left="182"/>
              <w:jc w:val="center"/>
              <w:rPr>
                <w:sz w:val="18"/>
                <w:szCs w:val="18"/>
              </w:rPr>
            </w:pPr>
            <w:r>
              <w:rPr>
                <w:spacing w:val="-2"/>
                <w:sz w:val="18"/>
                <w:szCs w:val="18"/>
              </w:rPr>
              <w:t>各乡镇</w:t>
            </w:r>
          </w:p>
        </w:tc>
        <w:tc>
          <w:tcPr>
            <w:tcW w:w="759" w:type="dxa"/>
            <w:vAlign w:val="center"/>
          </w:tcPr>
          <w:p w14:paraId="04DFF7C0">
            <w:pPr>
              <w:jc w:val="center"/>
              <w:rPr>
                <w:rFonts w:ascii="Arial"/>
                <w:sz w:val="22"/>
                <w:szCs w:val="22"/>
              </w:rPr>
            </w:pPr>
          </w:p>
        </w:tc>
        <w:tc>
          <w:tcPr>
            <w:tcW w:w="1199" w:type="dxa"/>
            <w:vAlign w:val="center"/>
          </w:tcPr>
          <w:p w14:paraId="05023625">
            <w:pPr>
              <w:pStyle w:val="4"/>
              <w:spacing w:before="52" w:line="212" w:lineRule="auto"/>
              <w:ind w:left="4"/>
              <w:jc w:val="center"/>
              <w:rPr>
                <w:sz w:val="18"/>
                <w:szCs w:val="18"/>
              </w:rPr>
            </w:pPr>
            <w:r>
              <w:rPr>
                <w:spacing w:val="-4"/>
                <w:sz w:val="18"/>
                <w:szCs w:val="18"/>
              </w:rPr>
              <w:t>计量设施、水资</w:t>
            </w:r>
            <w:r>
              <w:rPr>
                <w:spacing w:val="2"/>
                <w:sz w:val="18"/>
                <w:szCs w:val="18"/>
              </w:rPr>
              <w:t xml:space="preserve">  </w:t>
            </w:r>
            <w:r>
              <w:rPr>
                <w:spacing w:val="-3"/>
                <w:sz w:val="18"/>
                <w:szCs w:val="18"/>
              </w:rPr>
              <w:t>源费征收、取水</w:t>
            </w:r>
            <w:r>
              <w:rPr>
                <w:sz w:val="18"/>
                <w:szCs w:val="18"/>
              </w:rPr>
              <w:t xml:space="preserve">  </w:t>
            </w:r>
            <w:r>
              <w:rPr>
                <w:spacing w:val="9"/>
                <w:sz w:val="18"/>
                <w:szCs w:val="18"/>
              </w:rPr>
              <w:t>许可制度实施、</w:t>
            </w:r>
            <w:r>
              <w:rPr>
                <w:sz w:val="18"/>
                <w:szCs w:val="18"/>
              </w:rPr>
              <w:t xml:space="preserve"> </w:t>
            </w:r>
            <w:r>
              <w:rPr>
                <w:spacing w:val="-4"/>
                <w:sz w:val="18"/>
                <w:szCs w:val="18"/>
              </w:rPr>
              <w:t>节水措施与工艺</w:t>
            </w:r>
            <w:r>
              <w:rPr>
                <w:spacing w:val="2"/>
                <w:sz w:val="18"/>
                <w:szCs w:val="18"/>
              </w:rPr>
              <w:t xml:space="preserve">  </w:t>
            </w:r>
            <w:r>
              <w:rPr>
                <w:sz w:val="18"/>
                <w:szCs w:val="18"/>
              </w:rPr>
              <w:t>、取水设施、取</w:t>
            </w:r>
            <w:r>
              <w:rPr>
                <w:spacing w:val="-2"/>
                <w:sz w:val="18"/>
                <w:szCs w:val="18"/>
              </w:rPr>
              <w:t>水口和退水口水</w:t>
            </w:r>
            <w:r>
              <w:rPr>
                <w:spacing w:val="4"/>
                <w:sz w:val="18"/>
                <w:szCs w:val="18"/>
              </w:rPr>
              <w:t xml:space="preserve"> </w:t>
            </w:r>
            <w:r>
              <w:rPr>
                <w:spacing w:val="-1"/>
                <w:sz w:val="18"/>
                <w:szCs w:val="18"/>
              </w:rPr>
              <w:t>质、取用水统计</w:t>
            </w:r>
            <w:r>
              <w:rPr>
                <w:spacing w:val="-2"/>
                <w:sz w:val="18"/>
                <w:szCs w:val="18"/>
              </w:rPr>
              <w:t>报表</w:t>
            </w:r>
          </w:p>
        </w:tc>
        <w:tc>
          <w:tcPr>
            <w:tcW w:w="659" w:type="dxa"/>
            <w:vAlign w:val="center"/>
          </w:tcPr>
          <w:p w14:paraId="6E593E44">
            <w:pPr>
              <w:pStyle w:val="4"/>
              <w:spacing w:before="52" w:line="219" w:lineRule="auto"/>
              <w:jc w:val="center"/>
              <w:rPr>
                <w:sz w:val="18"/>
                <w:szCs w:val="18"/>
              </w:rPr>
            </w:pPr>
            <w:r>
              <w:rPr>
                <w:spacing w:val="-2"/>
                <w:sz w:val="18"/>
                <w:szCs w:val="18"/>
              </w:rPr>
              <w:t>4月-10月</w:t>
            </w:r>
          </w:p>
        </w:tc>
        <w:tc>
          <w:tcPr>
            <w:tcW w:w="649" w:type="dxa"/>
            <w:vAlign w:val="center"/>
          </w:tcPr>
          <w:p w14:paraId="68E11DC4">
            <w:pPr>
              <w:pStyle w:val="4"/>
              <w:spacing w:before="52" w:line="219" w:lineRule="auto"/>
              <w:ind w:left="36"/>
              <w:jc w:val="center"/>
              <w:rPr>
                <w:sz w:val="18"/>
                <w:szCs w:val="18"/>
              </w:rPr>
            </w:pPr>
            <w:r>
              <w:rPr>
                <w:spacing w:val="-2"/>
                <w:sz w:val="18"/>
                <w:szCs w:val="18"/>
              </w:rPr>
              <w:t>每月1次</w:t>
            </w:r>
          </w:p>
        </w:tc>
        <w:tc>
          <w:tcPr>
            <w:tcW w:w="779" w:type="dxa"/>
            <w:vAlign w:val="center"/>
          </w:tcPr>
          <w:p w14:paraId="2E818F32">
            <w:pPr>
              <w:pStyle w:val="4"/>
              <w:spacing w:before="52" w:line="219" w:lineRule="auto"/>
              <w:ind w:left="98"/>
              <w:jc w:val="center"/>
              <w:rPr>
                <w:sz w:val="18"/>
                <w:szCs w:val="18"/>
              </w:rPr>
            </w:pPr>
            <w:r>
              <w:rPr>
                <w:spacing w:val="-2"/>
                <w:sz w:val="18"/>
                <w:szCs w:val="18"/>
              </w:rPr>
              <w:t>现场检查</w:t>
            </w:r>
          </w:p>
        </w:tc>
        <w:tc>
          <w:tcPr>
            <w:tcW w:w="5266" w:type="dxa"/>
            <w:vAlign w:val="top"/>
          </w:tcPr>
          <w:p w14:paraId="48CE0482">
            <w:pPr>
              <w:pStyle w:val="4"/>
              <w:spacing w:before="258" w:line="208" w:lineRule="auto"/>
              <w:ind w:left="58" w:hanging="58"/>
              <w:jc w:val="left"/>
              <w:rPr>
                <w:spacing w:val="-11"/>
                <w:sz w:val="18"/>
                <w:szCs w:val="18"/>
              </w:rPr>
            </w:pPr>
            <w:r>
              <w:rPr>
                <w:rFonts w:hint="eastAsia"/>
                <w:spacing w:val="-11"/>
                <w:sz w:val="18"/>
                <w:szCs w:val="18"/>
              </w:rPr>
              <w:t>1.</w:t>
            </w:r>
            <w:r>
              <w:rPr>
                <w:rFonts w:hint="eastAsia"/>
                <w:spacing w:val="-11"/>
                <w:sz w:val="18"/>
                <w:szCs w:val="18"/>
                <w:lang w:eastAsia="zh-CN"/>
              </w:rPr>
              <w:t>《</w:t>
            </w:r>
            <w:r>
              <w:rPr>
                <w:rFonts w:hint="eastAsia"/>
                <w:spacing w:val="-11"/>
                <w:sz w:val="18"/>
                <w:szCs w:val="18"/>
              </w:rPr>
              <w:t>中华人民共和国水法》第四十八条:直接从江河、湖泊或者地下取用水资源的单位和个人，应当按照国家取水许可制度和水资源有偿使用制度的规定，向水行政主管部门或者流域管理机构申请领职职水许可证，并缴纳水资源费，取得</w:t>
            </w:r>
            <w:r>
              <w:rPr>
                <w:rFonts w:hint="eastAsia"/>
                <w:spacing w:val="-11"/>
                <w:sz w:val="18"/>
                <w:szCs w:val="18"/>
                <w:lang w:val="en-US" w:eastAsia="zh-CN"/>
              </w:rPr>
              <w:t>取</w:t>
            </w:r>
            <w:r>
              <w:rPr>
                <w:rFonts w:hint="eastAsia"/>
                <w:spacing w:val="-11"/>
                <w:sz w:val="18"/>
                <w:szCs w:val="18"/>
              </w:rPr>
              <w:t>水权。但是，家庭生活和零星散养、圈养畜禽饮用等少量取水的除外。第四十九条:用水应当计量，并按照批准的用水计划用水。用水实行计量收费和超定额案进加价制度。2.《新疆维吾尔自治区</w:t>
            </w:r>
            <w:r>
              <w:rPr>
                <w:rFonts w:hint="eastAsia"/>
                <w:spacing w:val="-11"/>
                <w:sz w:val="18"/>
                <w:szCs w:val="18"/>
                <w:lang w:val="en-US" w:eastAsia="zh-CN"/>
              </w:rPr>
              <w:t>取</w:t>
            </w:r>
            <w:r>
              <w:rPr>
                <w:rFonts w:hint="eastAsia"/>
                <w:spacing w:val="-11"/>
                <w:sz w:val="18"/>
                <w:szCs w:val="18"/>
              </w:rPr>
              <w:t>水许可管理管理办法》第二十一条:</w:t>
            </w:r>
            <w:r>
              <w:rPr>
                <w:rFonts w:hint="eastAsia"/>
                <w:spacing w:val="-11"/>
                <w:sz w:val="18"/>
                <w:szCs w:val="18"/>
                <w:lang w:val="en-US" w:eastAsia="zh-CN"/>
              </w:rPr>
              <w:t>取</w:t>
            </w:r>
            <w:r>
              <w:rPr>
                <w:rFonts w:hint="eastAsia"/>
                <w:spacing w:val="-11"/>
                <w:sz w:val="18"/>
                <w:szCs w:val="18"/>
              </w:rPr>
              <w:t>水单位和个人应当安装符合国家标准的</w:t>
            </w:r>
            <w:r>
              <w:rPr>
                <w:rFonts w:hint="eastAsia"/>
                <w:spacing w:val="-11"/>
                <w:sz w:val="18"/>
                <w:szCs w:val="18"/>
                <w:lang w:val="en-US" w:eastAsia="zh-CN"/>
              </w:rPr>
              <w:t>取</w:t>
            </w:r>
            <w:r>
              <w:rPr>
                <w:rFonts w:hint="eastAsia"/>
                <w:spacing w:val="-11"/>
                <w:sz w:val="18"/>
                <w:szCs w:val="18"/>
              </w:rPr>
              <w:t>、退水计量设施，并保证计量设施正常使用。新建</w:t>
            </w:r>
            <w:r>
              <w:rPr>
                <w:rFonts w:hint="eastAsia"/>
                <w:spacing w:val="-11"/>
                <w:sz w:val="18"/>
                <w:szCs w:val="18"/>
                <w:lang w:val="en-US" w:eastAsia="zh-CN"/>
              </w:rPr>
              <w:t>取</w:t>
            </w:r>
            <w:r>
              <w:rPr>
                <w:rFonts w:hint="eastAsia"/>
                <w:spacing w:val="-11"/>
                <w:sz w:val="18"/>
                <w:szCs w:val="18"/>
              </w:rPr>
              <w:t>水工程计量设施应当与</w:t>
            </w:r>
            <w:r>
              <w:rPr>
                <w:rFonts w:hint="eastAsia"/>
                <w:spacing w:val="-11"/>
                <w:sz w:val="18"/>
                <w:szCs w:val="18"/>
                <w:lang w:val="en-US" w:eastAsia="zh-CN"/>
              </w:rPr>
              <w:t>取</w:t>
            </w:r>
            <w:r>
              <w:rPr>
                <w:rFonts w:hint="eastAsia"/>
                <w:spacing w:val="-11"/>
                <w:sz w:val="18"/>
                <w:szCs w:val="18"/>
              </w:rPr>
              <w:t>水工程同时设计、同时安装、同时投入使用。</w:t>
            </w:r>
          </w:p>
        </w:tc>
      </w:tr>
      <w:tr w14:paraId="53C90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355" w:type="dxa"/>
            <w:vAlign w:val="top"/>
          </w:tcPr>
          <w:p w14:paraId="5B8E6203">
            <w:pPr>
              <w:pStyle w:val="4"/>
              <w:spacing w:before="52" w:line="241" w:lineRule="auto"/>
              <w:ind w:left="124"/>
              <w:jc w:val="left"/>
            </w:pPr>
          </w:p>
          <w:p w14:paraId="1C728864">
            <w:pPr>
              <w:pStyle w:val="4"/>
              <w:spacing w:before="52" w:line="241" w:lineRule="auto"/>
              <w:ind w:left="124"/>
              <w:jc w:val="left"/>
            </w:pPr>
          </w:p>
          <w:p w14:paraId="1379695F">
            <w:pPr>
              <w:pStyle w:val="4"/>
              <w:spacing w:before="52" w:line="241" w:lineRule="auto"/>
              <w:ind w:left="124"/>
              <w:jc w:val="left"/>
            </w:pPr>
          </w:p>
          <w:p w14:paraId="0A512373">
            <w:pPr>
              <w:pStyle w:val="4"/>
              <w:spacing w:before="52" w:line="241" w:lineRule="auto"/>
              <w:ind w:left="124"/>
              <w:jc w:val="left"/>
            </w:pPr>
            <w:bookmarkStart w:id="0" w:name="_GoBack"/>
            <w:bookmarkEnd w:id="0"/>
            <w:r>
              <w:t>4</w:t>
            </w:r>
          </w:p>
        </w:tc>
        <w:tc>
          <w:tcPr>
            <w:tcW w:w="1009" w:type="dxa"/>
            <w:vAlign w:val="center"/>
          </w:tcPr>
          <w:p w14:paraId="7E460A77">
            <w:pPr>
              <w:pStyle w:val="4"/>
              <w:spacing w:before="52" w:line="219" w:lineRule="auto"/>
              <w:ind w:left="9"/>
              <w:jc w:val="center"/>
              <w:rPr>
                <w:sz w:val="18"/>
                <w:szCs w:val="18"/>
              </w:rPr>
            </w:pPr>
            <w:r>
              <w:rPr>
                <w:spacing w:val="-1"/>
                <w:sz w:val="18"/>
                <w:szCs w:val="18"/>
              </w:rPr>
              <w:t>对水土保持的</w:t>
            </w:r>
          </w:p>
          <w:p w14:paraId="3DB0CF57">
            <w:pPr>
              <w:pStyle w:val="4"/>
              <w:spacing w:line="219" w:lineRule="auto"/>
              <w:ind w:left="180"/>
              <w:jc w:val="center"/>
              <w:rPr>
                <w:sz w:val="18"/>
                <w:szCs w:val="18"/>
              </w:rPr>
            </w:pPr>
            <w:r>
              <w:rPr>
                <w:spacing w:val="-2"/>
                <w:sz w:val="18"/>
                <w:szCs w:val="18"/>
              </w:rPr>
              <w:t>行政检查</w:t>
            </w:r>
          </w:p>
        </w:tc>
        <w:tc>
          <w:tcPr>
            <w:tcW w:w="1089" w:type="dxa"/>
            <w:vAlign w:val="center"/>
          </w:tcPr>
          <w:p w14:paraId="2CA5DA5F">
            <w:pPr>
              <w:pStyle w:val="4"/>
              <w:spacing w:before="52" w:line="229" w:lineRule="auto"/>
              <w:ind w:left="10" w:right="77"/>
              <w:jc w:val="center"/>
              <w:rPr>
                <w:sz w:val="18"/>
                <w:szCs w:val="18"/>
              </w:rPr>
            </w:pPr>
            <w:r>
              <w:rPr>
                <w:spacing w:val="5"/>
                <w:sz w:val="18"/>
                <w:szCs w:val="18"/>
              </w:rPr>
              <w:t>生产建设项目</w:t>
            </w:r>
            <w:r>
              <w:rPr>
                <w:spacing w:val="-1"/>
                <w:sz w:val="18"/>
                <w:szCs w:val="18"/>
              </w:rPr>
              <w:t>及取土、采石</w:t>
            </w:r>
            <w:r>
              <w:rPr>
                <w:spacing w:val="-3"/>
                <w:sz w:val="18"/>
                <w:szCs w:val="18"/>
              </w:rPr>
              <w:t>企业</w:t>
            </w:r>
          </w:p>
        </w:tc>
        <w:tc>
          <w:tcPr>
            <w:tcW w:w="979" w:type="dxa"/>
            <w:vAlign w:val="center"/>
          </w:tcPr>
          <w:p w14:paraId="22F030CC">
            <w:pPr>
              <w:pStyle w:val="4"/>
              <w:spacing w:before="52" w:line="219" w:lineRule="auto"/>
              <w:jc w:val="center"/>
              <w:rPr>
                <w:sz w:val="18"/>
                <w:szCs w:val="18"/>
              </w:rPr>
            </w:pPr>
            <w:r>
              <w:rPr>
                <w:spacing w:val="4"/>
                <w:sz w:val="18"/>
                <w:szCs w:val="18"/>
              </w:rPr>
              <w:t>水利局</w:t>
            </w:r>
          </w:p>
        </w:tc>
        <w:tc>
          <w:tcPr>
            <w:tcW w:w="859" w:type="dxa"/>
            <w:vAlign w:val="center"/>
          </w:tcPr>
          <w:p w14:paraId="3F9647FC">
            <w:pPr>
              <w:pStyle w:val="4"/>
              <w:spacing w:before="52" w:line="219" w:lineRule="auto"/>
              <w:jc w:val="center"/>
              <w:rPr>
                <w:sz w:val="18"/>
                <w:szCs w:val="18"/>
              </w:rPr>
            </w:pPr>
            <w:r>
              <w:rPr>
                <w:rFonts w:hint="eastAsia"/>
                <w:spacing w:val="-2"/>
                <w:sz w:val="18"/>
                <w:szCs w:val="18"/>
                <w:lang w:val="en-US" w:eastAsia="zh-CN"/>
              </w:rPr>
              <w:t>市</w:t>
            </w:r>
            <w:r>
              <w:rPr>
                <w:spacing w:val="-2"/>
                <w:sz w:val="18"/>
                <w:szCs w:val="18"/>
              </w:rPr>
              <w:t>发改委</w:t>
            </w:r>
          </w:p>
        </w:tc>
        <w:tc>
          <w:tcPr>
            <w:tcW w:w="759" w:type="dxa"/>
            <w:vAlign w:val="center"/>
          </w:tcPr>
          <w:p w14:paraId="682E8BF0">
            <w:pPr>
              <w:jc w:val="center"/>
              <w:rPr>
                <w:rFonts w:ascii="Arial"/>
                <w:sz w:val="22"/>
                <w:szCs w:val="22"/>
              </w:rPr>
            </w:pPr>
          </w:p>
        </w:tc>
        <w:tc>
          <w:tcPr>
            <w:tcW w:w="1199" w:type="dxa"/>
            <w:vAlign w:val="center"/>
          </w:tcPr>
          <w:p w14:paraId="060581D0">
            <w:pPr>
              <w:pStyle w:val="4"/>
              <w:spacing w:before="52" w:line="207" w:lineRule="auto"/>
              <w:jc w:val="center"/>
              <w:rPr>
                <w:sz w:val="18"/>
                <w:szCs w:val="18"/>
              </w:rPr>
            </w:pPr>
            <w:r>
              <w:rPr>
                <w:spacing w:val="9"/>
                <w:sz w:val="18"/>
                <w:szCs w:val="18"/>
              </w:rPr>
              <w:t>生产建设项目、</w:t>
            </w:r>
          </w:p>
          <w:p w14:paraId="524BA6FF">
            <w:pPr>
              <w:pStyle w:val="4"/>
              <w:spacing w:line="208" w:lineRule="auto"/>
              <w:ind w:left="4"/>
              <w:jc w:val="center"/>
              <w:rPr>
                <w:sz w:val="18"/>
                <w:szCs w:val="18"/>
              </w:rPr>
            </w:pPr>
            <w:r>
              <w:rPr>
                <w:spacing w:val="-1"/>
                <w:sz w:val="18"/>
                <w:szCs w:val="18"/>
              </w:rPr>
              <w:t>取土、采石企业</w:t>
            </w:r>
          </w:p>
          <w:p w14:paraId="31BFF0FB">
            <w:pPr>
              <w:pStyle w:val="4"/>
              <w:spacing w:line="213" w:lineRule="auto"/>
              <w:ind w:left="4"/>
              <w:jc w:val="center"/>
              <w:rPr>
                <w:sz w:val="18"/>
                <w:szCs w:val="18"/>
              </w:rPr>
            </w:pPr>
            <w:r>
              <w:rPr>
                <w:spacing w:val="9"/>
                <w:sz w:val="18"/>
                <w:szCs w:val="18"/>
              </w:rPr>
              <w:t>水土保持设施、</w:t>
            </w:r>
            <w:r>
              <w:rPr>
                <w:sz w:val="18"/>
                <w:szCs w:val="18"/>
              </w:rPr>
              <w:t xml:space="preserve"> </w:t>
            </w:r>
            <w:r>
              <w:rPr>
                <w:spacing w:val="-3"/>
                <w:sz w:val="18"/>
                <w:szCs w:val="18"/>
              </w:rPr>
              <w:t>措施监督检查</w:t>
            </w:r>
          </w:p>
        </w:tc>
        <w:tc>
          <w:tcPr>
            <w:tcW w:w="659" w:type="dxa"/>
            <w:vAlign w:val="center"/>
          </w:tcPr>
          <w:p w14:paraId="26848642">
            <w:pPr>
              <w:pStyle w:val="4"/>
              <w:spacing w:before="52" w:line="219" w:lineRule="auto"/>
              <w:jc w:val="center"/>
              <w:rPr>
                <w:sz w:val="18"/>
                <w:szCs w:val="18"/>
              </w:rPr>
            </w:pPr>
            <w:r>
              <w:rPr>
                <w:spacing w:val="-2"/>
                <w:sz w:val="18"/>
                <w:szCs w:val="18"/>
              </w:rPr>
              <w:t>4月-11月</w:t>
            </w:r>
          </w:p>
        </w:tc>
        <w:tc>
          <w:tcPr>
            <w:tcW w:w="649" w:type="dxa"/>
            <w:vAlign w:val="center"/>
          </w:tcPr>
          <w:p w14:paraId="5E404395">
            <w:pPr>
              <w:pStyle w:val="4"/>
              <w:spacing w:before="52" w:line="219" w:lineRule="auto"/>
              <w:ind w:left="36"/>
              <w:jc w:val="center"/>
              <w:rPr>
                <w:sz w:val="18"/>
                <w:szCs w:val="18"/>
              </w:rPr>
            </w:pPr>
            <w:r>
              <w:rPr>
                <w:spacing w:val="-2"/>
                <w:sz w:val="18"/>
                <w:szCs w:val="18"/>
              </w:rPr>
              <w:t>每月1次</w:t>
            </w:r>
          </w:p>
        </w:tc>
        <w:tc>
          <w:tcPr>
            <w:tcW w:w="779" w:type="dxa"/>
            <w:vAlign w:val="center"/>
          </w:tcPr>
          <w:p w14:paraId="7CAE56FB">
            <w:pPr>
              <w:spacing w:line="243" w:lineRule="auto"/>
              <w:jc w:val="center"/>
              <w:rPr>
                <w:rFonts w:hint="eastAsia" w:ascii="宋体" w:hAnsi="宋体" w:eastAsia="宋体" w:cs="宋体"/>
                <w:snapToGrid w:val="0"/>
                <w:color w:val="000000"/>
                <w:kern w:val="0"/>
                <w:sz w:val="15"/>
                <w:szCs w:val="15"/>
                <w:lang w:val="en-US" w:eastAsia="en-US" w:bidi="ar-SA"/>
              </w:rPr>
            </w:pPr>
            <w:r>
              <w:rPr>
                <w:rFonts w:hint="eastAsia" w:ascii="宋体" w:hAnsi="宋体" w:eastAsia="宋体" w:cs="宋体"/>
                <w:snapToGrid w:val="0"/>
                <w:color w:val="000000"/>
                <w:kern w:val="0"/>
                <w:sz w:val="15"/>
                <w:szCs w:val="15"/>
                <w:lang w:val="en-US" w:eastAsia="en-US" w:bidi="ar-SA"/>
              </w:rPr>
              <w:t>现场检查</w:t>
            </w:r>
          </w:p>
          <w:p w14:paraId="0A99596E">
            <w:pPr>
              <w:spacing w:line="243" w:lineRule="auto"/>
              <w:jc w:val="center"/>
              <w:rPr>
                <w:rFonts w:hint="eastAsia" w:ascii="宋体" w:hAnsi="宋体" w:eastAsia="宋体" w:cs="宋体"/>
                <w:snapToGrid w:val="0"/>
                <w:color w:val="000000"/>
                <w:kern w:val="0"/>
                <w:sz w:val="15"/>
                <w:szCs w:val="15"/>
                <w:lang w:val="en-US" w:eastAsia="en-US" w:bidi="ar-SA"/>
              </w:rPr>
            </w:pPr>
            <w:r>
              <w:rPr>
                <w:rFonts w:hint="eastAsia" w:ascii="宋体" w:hAnsi="宋体" w:eastAsia="宋体" w:cs="宋体"/>
                <w:snapToGrid w:val="0"/>
                <w:color w:val="000000"/>
                <w:kern w:val="0"/>
                <w:sz w:val="15"/>
                <w:szCs w:val="15"/>
                <w:lang w:val="en-US" w:eastAsia="en-US" w:bidi="ar-SA"/>
              </w:rPr>
              <w:t>、非现场</w:t>
            </w:r>
          </w:p>
          <w:p w14:paraId="6EE7D9DD">
            <w:pPr>
              <w:spacing w:line="243" w:lineRule="auto"/>
              <w:jc w:val="center"/>
              <w:rPr>
                <w:rFonts w:hint="eastAsia" w:ascii="宋体" w:hAnsi="宋体" w:eastAsia="宋体" w:cs="宋体"/>
                <w:snapToGrid w:val="0"/>
                <w:color w:val="000000"/>
                <w:kern w:val="0"/>
                <w:sz w:val="15"/>
                <w:szCs w:val="15"/>
                <w:lang w:val="en-US" w:eastAsia="en-US" w:bidi="ar-SA"/>
              </w:rPr>
            </w:pPr>
            <w:r>
              <w:rPr>
                <w:rFonts w:hint="eastAsia" w:ascii="宋体" w:hAnsi="宋体" w:eastAsia="宋体" w:cs="宋体"/>
                <w:snapToGrid w:val="0"/>
                <w:color w:val="000000"/>
                <w:kern w:val="0"/>
                <w:sz w:val="15"/>
                <w:szCs w:val="15"/>
                <w:lang w:val="en-US" w:eastAsia="en-US" w:bidi="ar-SA"/>
              </w:rPr>
              <w:t>检查相结 含</w:t>
            </w:r>
          </w:p>
        </w:tc>
        <w:tc>
          <w:tcPr>
            <w:tcW w:w="5266" w:type="dxa"/>
            <w:vAlign w:val="top"/>
          </w:tcPr>
          <w:p w14:paraId="5607BE8E">
            <w:pPr>
              <w:spacing w:line="243" w:lineRule="auto"/>
              <w:jc w:val="left"/>
              <w:rPr>
                <w:rFonts w:hint="eastAsia" w:ascii="宋体" w:hAnsi="宋体" w:eastAsia="宋体" w:cs="宋体"/>
                <w:snapToGrid w:val="0"/>
                <w:color w:val="000000"/>
                <w:spacing w:val="-11"/>
                <w:kern w:val="0"/>
                <w:sz w:val="18"/>
                <w:szCs w:val="18"/>
                <w:lang w:val="en-US" w:eastAsia="zh-CN" w:bidi="ar-SA"/>
              </w:rPr>
            </w:pPr>
            <w:r>
              <w:rPr>
                <w:rFonts w:hint="eastAsia" w:ascii="宋体" w:hAnsi="宋体" w:eastAsia="宋体" w:cs="宋体"/>
                <w:snapToGrid w:val="0"/>
                <w:color w:val="000000"/>
                <w:spacing w:val="-11"/>
                <w:kern w:val="0"/>
                <w:sz w:val="18"/>
                <w:szCs w:val="18"/>
                <w:lang w:val="en-US" w:eastAsia="en-US" w:bidi="ar-SA"/>
              </w:rPr>
              <w:t>《中华人民共和国水土保持法》第五条:国务院水行政主管部门在国家确定的重要江河、湖泊设立的流域管理机构(以下简称流域管理机构)，在所管辖范围内依法承担水土保持监督管理职责。县级以上地方人民政府水行政主管部门主管本行政区域的水土保持工作。第二十九条: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r>
              <w:rPr>
                <w:rFonts w:hint="eastAsia" w:ascii="宋体" w:hAnsi="宋体" w:eastAsia="宋体" w:cs="宋体"/>
                <w:snapToGrid w:val="0"/>
                <w:color w:val="000000"/>
                <w:spacing w:val="-11"/>
                <w:kern w:val="0"/>
                <w:sz w:val="18"/>
                <w:szCs w:val="18"/>
                <w:lang w:val="en-US" w:eastAsia="zh-CN" w:bidi="ar-SA"/>
              </w:rPr>
              <w:t>。</w:t>
            </w:r>
          </w:p>
        </w:tc>
      </w:tr>
    </w:tbl>
    <w:p w14:paraId="4F0EE1E8"/>
    <w:sectPr>
      <w:pgSz w:w="16838" w:h="11906" w:orient="landscape"/>
      <w:pgMar w:top="1180" w:right="1440" w:bottom="168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0950B"/>
    <w:multiLevelType w:val="singleLevel"/>
    <w:tmpl w:val="2B6095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D7C4F"/>
    <w:rsid w:val="069D7C4F"/>
    <w:rsid w:val="1B232D94"/>
    <w:rsid w:val="46A460D2"/>
    <w:rsid w:val="52575E63"/>
    <w:rsid w:val="73C53042"/>
    <w:rsid w:val="76C7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6"/>
      <w:szCs w:val="1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1410</Words>
  <Characters>1439</Characters>
  <Lines>0</Lines>
  <Paragraphs>0</Paragraphs>
  <TotalTime>10</TotalTime>
  <ScaleCrop>false</ScaleCrop>
  <LinksUpToDate>false</LinksUpToDate>
  <CharactersWithSpaces>1473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2025-07-17T04:20:00Z</dcterms:created>
  <dc:creator>hug</dc:creator>
  <cp:lastModifiedBy>砺兵秣马</cp:lastModifiedBy>
  <dcterms:modified xsi:type="dcterms:W3CDTF">2025-07-17T05:02:05Z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84656A73A8D84EE8A3DC94169E50A7A9_13</vt:lpwstr>
  </property>
  <property fmtid="{D5CDD505-2E9C-101B-9397-08002B2CF9AE}" pid="4" name="KSOTemplateDocerSaveRecord">
    <vt:lpwstr>eyJoZGlkIjoiMDAwNTMyNjZlOTNkMmNhMTRlM2Y1NDU5NGMyNzZkZGYiLCJ1c2VySWQiOiI5MDg1NDE0MDgifQ==</vt:lpwstr>
  </property>
</Properties>
</file>