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93BDAF">
      <w:pPr>
        <w:adjustRightInd w:val="0"/>
        <w:snapToGrid w:val="0"/>
        <w:jc w:val="center"/>
        <w:rPr>
          <w:rFonts w:ascii="方正小标宋_GBK" w:hAnsi="黑体" w:eastAsia="方正小标宋_GBK"/>
          <w:color w:val="auto"/>
          <w:sz w:val="38"/>
          <w:szCs w:val="38"/>
        </w:rPr>
      </w:pPr>
      <w:r>
        <w:rPr>
          <w:rFonts w:hint="eastAsia" w:ascii="方正小标宋_GBK" w:hAnsi="黑体" w:eastAsia="方正小标宋_GBK"/>
          <w:color w:val="auto"/>
          <w:sz w:val="38"/>
          <w:szCs w:val="38"/>
          <w:lang w:val="en-US" w:eastAsia="zh-CN"/>
        </w:rPr>
        <w:t>伊犁哈萨克自治州</w:t>
      </w:r>
      <w:r>
        <w:rPr>
          <w:rFonts w:hint="eastAsia" w:ascii="方正小标宋_GBK" w:hAnsi="黑体" w:eastAsia="方正小标宋_GBK"/>
          <w:color w:val="auto"/>
          <w:sz w:val="38"/>
          <w:szCs w:val="38"/>
        </w:rPr>
        <w:t>生态环境局</w:t>
      </w:r>
    </w:p>
    <w:p w14:paraId="3FD06FAF">
      <w:pPr>
        <w:adjustRightInd w:val="0"/>
        <w:snapToGrid w:val="0"/>
        <w:jc w:val="center"/>
        <w:rPr>
          <w:rFonts w:hint="eastAsia" w:ascii="方正小标宋_GBK" w:hAnsi="黑体" w:eastAsia="方正小标宋_GBK"/>
          <w:color w:val="auto"/>
          <w:sz w:val="38"/>
          <w:szCs w:val="38"/>
        </w:rPr>
      </w:pPr>
      <w:r>
        <w:rPr>
          <w:rFonts w:hint="eastAsia" w:ascii="方正小标宋_GBK" w:hAnsi="黑体" w:eastAsia="方正小标宋_GBK"/>
          <w:color w:val="auto"/>
          <w:sz w:val="38"/>
          <w:szCs w:val="38"/>
          <w:lang w:val="en-US" w:eastAsia="zh-CN"/>
        </w:rPr>
        <w:t>不予</w:t>
      </w:r>
      <w:r>
        <w:rPr>
          <w:rFonts w:hint="eastAsia" w:ascii="方正小标宋_GBK" w:hAnsi="黑体" w:eastAsia="方正小标宋_GBK"/>
          <w:color w:val="auto"/>
          <w:sz w:val="38"/>
          <w:szCs w:val="38"/>
        </w:rPr>
        <w:t>行政处罚</w:t>
      </w:r>
      <w:r>
        <w:rPr>
          <w:rFonts w:hint="eastAsia" w:ascii="方正小标宋_GBK" w:hAnsi="黑体" w:eastAsia="方正小标宋_GBK"/>
          <w:color w:val="auto"/>
          <w:sz w:val="38"/>
          <w:szCs w:val="38"/>
          <w:lang w:val="en-US" w:eastAsia="zh-CN"/>
        </w:rPr>
        <w:t>决定</w:t>
      </w:r>
      <w:r>
        <w:rPr>
          <w:rFonts w:hint="eastAsia" w:ascii="方正小标宋_GBK" w:hAnsi="黑体" w:eastAsia="方正小标宋_GBK"/>
          <w:color w:val="auto"/>
          <w:sz w:val="38"/>
          <w:szCs w:val="38"/>
        </w:rPr>
        <w:t>书</w:t>
      </w:r>
    </w:p>
    <w:p w14:paraId="39BA9E16">
      <w:pPr>
        <w:adjustRightInd w:val="0"/>
        <w:snapToGrid w:val="0"/>
        <w:spacing w:before="249" w:beforeLines="80"/>
        <w:jc w:val="center"/>
        <w:rPr>
          <w:rFonts w:hint="eastAsia" w:ascii="楷体_GB2312" w:hAnsi="宋体" w:eastAsia="楷体_GB2312"/>
          <w:sz w:val="32"/>
          <w:szCs w:val="32"/>
          <w:lang w:val="en-US" w:eastAsia="zh-CN"/>
        </w:rPr>
      </w:pPr>
      <w:r>
        <w:rPr>
          <w:rFonts w:hint="eastAsia" w:ascii="楷体_GB2312" w:hAnsi="宋体" w:eastAsia="楷体_GB2312"/>
          <w:sz w:val="32"/>
          <w:szCs w:val="32"/>
          <w:lang w:val="en-US" w:eastAsia="zh-CN"/>
        </w:rPr>
        <w:t>伊州环伊市不罚〔2025〕4号</w:t>
      </w:r>
    </w:p>
    <w:p w14:paraId="32D947F3">
      <w:pPr>
        <w:adjustRightInd w:val="0"/>
        <w:snapToGrid w:val="0"/>
        <w:spacing w:line="408" w:lineRule="auto"/>
        <w:jc w:val="left"/>
        <w:rPr>
          <w:rFonts w:ascii="黑体" w:hAnsi="宋体" w:eastAsia="黑体"/>
          <w:sz w:val="32"/>
          <w:szCs w:val="32"/>
        </w:rPr>
      </w:pPr>
    </w:p>
    <w:p w14:paraId="66FDD02B">
      <w:pPr>
        <w:keepNext w:val="0"/>
        <w:keepLines w:val="0"/>
        <w:widowControl/>
        <w:suppressLineNumbers w:val="0"/>
        <w:jc w:val="left"/>
        <w:rPr>
          <w:rFonts w:hint="eastAsia" w:ascii="仿宋_GB2312" w:hAnsi="宋体" w:eastAsia="仿宋_GB2312"/>
          <w:sz w:val="30"/>
          <w:szCs w:val="30"/>
          <w:u w:val="single"/>
        </w:rPr>
      </w:pPr>
      <w:r>
        <w:rPr>
          <w:rFonts w:hint="eastAsia" w:ascii="仿宋_GB2312" w:hAnsi="宋体" w:eastAsia="仿宋_GB2312"/>
          <w:sz w:val="30"/>
          <w:szCs w:val="30"/>
        </w:rPr>
        <w:t>当事人名称/姓名：</w:t>
      </w:r>
      <w:r>
        <w:rPr>
          <w:rFonts w:hint="eastAsia" w:ascii="仿宋_GB2312" w:hAnsi="仿宋_GB2312" w:eastAsia="仿宋_GB2312" w:cs="仿宋_GB2312"/>
          <w:color w:val="auto"/>
          <w:sz w:val="30"/>
          <w:szCs w:val="30"/>
          <w:u w:val="single"/>
          <w:lang w:val="en-US" w:eastAsia="zh-CN"/>
        </w:rPr>
        <w:t>伊犁</w:t>
      </w:r>
      <w:bookmarkStart w:id="0" w:name="_GoBack"/>
      <w:bookmarkEnd w:id="0"/>
      <w:r>
        <w:rPr>
          <w:rFonts w:hint="eastAsia" w:ascii="仿宋_GB2312" w:hAnsi="仿宋_GB2312" w:eastAsia="仿宋_GB2312" w:cs="仿宋_GB2312"/>
          <w:color w:val="auto"/>
          <w:sz w:val="30"/>
          <w:szCs w:val="30"/>
          <w:u w:val="single"/>
          <w:lang w:val="en-US" w:eastAsia="zh-CN"/>
        </w:rPr>
        <w:t xml:space="preserve">祥腾汽车维修服务有限公司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p>
    <w:p w14:paraId="5FE99B7E">
      <w:pPr>
        <w:keepNext w:val="0"/>
        <w:keepLines w:val="0"/>
        <w:widowControl/>
        <w:suppressLineNumbers w:val="0"/>
        <w:jc w:val="left"/>
        <w:rPr>
          <w:rFonts w:hint="eastAsia" w:ascii="仿宋_GB2312" w:hAnsi="宋体" w:eastAsia="仿宋_GB2312"/>
          <w:sz w:val="30"/>
          <w:szCs w:val="30"/>
        </w:rPr>
      </w:pPr>
      <w:r>
        <w:rPr>
          <w:rFonts w:hint="eastAsia" w:ascii="仿宋_GB2312" w:hAnsi="宋体" w:eastAsia="仿宋_GB2312"/>
          <w:sz w:val="30"/>
          <w:szCs w:val="30"/>
        </w:rPr>
        <w:t>法定代表人：</w:t>
      </w:r>
      <w:r>
        <w:rPr>
          <w:rFonts w:hint="eastAsia" w:ascii="仿宋_GB2312" w:hAnsi="仿宋_GB2312" w:eastAsia="仿宋_GB2312" w:cs="仿宋_GB2312"/>
          <w:color w:val="auto"/>
          <w:sz w:val="30"/>
          <w:szCs w:val="30"/>
          <w:u w:val="single"/>
          <w:lang w:val="en-US" w:eastAsia="zh-CN"/>
        </w:rPr>
        <w:t xml:space="preserve">黎明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u w:val="single"/>
        </w:rPr>
        <w:t xml:space="preserve">    </w:t>
      </w:r>
      <w:r>
        <w:rPr>
          <w:rFonts w:hint="eastAsia" w:ascii="仿宋_GB2312" w:hAnsi="宋体" w:eastAsia="仿宋_GB2312"/>
          <w:sz w:val="30"/>
          <w:szCs w:val="30"/>
        </w:rPr>
        <w:t xml:space="preserve"> </w:t>
      </w:r>
    </w:p>
    <w:p w14:paraId="437EE558">
      <w:pPr>
        <w:keepNext w:val="0"/>
        <w:keepLines w:val="0"/>
        <w:widowControl/>
        <w:suppressLineNumbers w:val="0"/>
        <w:jc w:val="left"/>
        <w:rPr>
          <w:rFonts w:hint="eastAsia" w:ascii="仿宋_GB2312" w:hAnsi="宋体" w:eastAsia="仿宋_GB2312"/>
          <w:sz w:val="30"/>
          <w:szCs w:val="30"/>
          <w:u w:val="single"/>
        </w:rPr>
      </w:pPr>
      <w:r>
        <w:rPr>
          <w:rFonts w:hint="eastAsia" w:ascii="仿宋_GB2312" w:hAnsi="宋体" w:eastAsia="仿宋_GB2312"/>
          <w:sz w:val="30"/>
          <w:szCs w:val="30"/>
        </w:rPr>
        <w:t>统一社会信用代码：</w:t>
      </w:r>
      <w:r>
        <w:rPr>
          <w:rFonts w:hint="eastAsia" w:ascii="仿宋_GB2312" w:hAnsi="仿宋_GB2312" w:eastAsia="仿宋_GB2312" w:cs="仿宋_GB2312"/>
          <w:color w:val="auto"/>
          <w:sz w:val="30"/>
          <w:szCs w:val="30"/>
          <w:u w:val="single"/>
          <w:lang w:val="en-US" w:eastAsia="zh-CN"/>
        </w:rPr>
        <w:t xml:space="preserve">91654002MA78N83X3E                          </w:t>
      </w:r>
    </w:p>
    <w:p w14:paraId="39A4BA2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宋体" w:eastAsia="仿宋_GB2312"/>
          <w:sz w:val="30"/>
          <w:szCs w:val="30"/>
          <w:u w:val="single"/>
        </w:rPr>
      </w:pPr>
      <w:r>
        <w:rPr>
          <w:rFonts w:hint="eastAsia" w:ascii="仿宋_GB2312" w:hAnsi="宋体" w:eastAsia="仿宋_GB2312"/>
          <w:sz w:val="30"/>
          <w:szCs w:val="30"/>
        </w:rPr>
        <w:t>地址/住址：</w:t>
      </w:r>
      <w:r>
        <w:rPr>
          <w:rFonts w:hint="eastAsia" w:ascii="仿宋_GB2312" w:hAnsi="仿宋_GB2312" w:eastAsia="仿宋_GB2312" w:cs="仿宋_GB2312"/>
          <w:color w:val="auto"/>
          <w:sz w:val="30"/>
          <w:szCs w:val="30"/>
          <w:u w:val="single"/>
          <w:lang w:val="en-US" w:eastAsia="zh-CN"/>
        </w:rPr>
        <w:t xml:space="preserve">伊宁市巴彦岱镇巴彦岱村3-1-228号   </w:t>
      </w:r>
      <w:r>
        <w:rPr>
          <w:rFonts w:hint="eastAsia" w:ascii="仿宋_GB2312" w:hAnsi="宋体" w:eastAsia="仿宋_GB2312"/>
          <w:sz w:val="30"/>
          <w:szCs w:val="30"/>
          <w:u w:val="single"/>
        </w:rPr>
        <w:t xml:space="preserve">                                                                        </w:t>
      </w:r>
    </w:p>
    <w:p w14:paraId="2434F5D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cs="Times New Roman"/>
          <w:sz w:val="30"/>
          <w:szCs w:val="30"/>
          <w:u w:val="single"/>
          <w:lang w:val="en-US" w:eastAsia="zh-CN"/>
        </w:rPr>
        <w:t>接到新疆维吾尔自治区第三生态环境保护督察组第十七批信访转办件问题反馈，</w:t>
      </w: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2025</w:t>
      </w:r>
      <w:r>
        <w:rPr>
          <w:rFonts w:hint="eastAsia" w:ascii="仿宋_GB2312" w:hAnsi="宋体" w:eastAsia="仿宋_GB2312"/>
          <w:sz w:val="30"/>
          <w:szCs w:val="30"/>
        </w:rPr>
        <w:t>年</w:t>
      </w:r>
      <w:r>
        <w:rPr>
          <w:rFonts w:hint="eastAsia" w:ascii="仿宋_GB2312" w:hAnsi="宋体" w:eastAsia="仿宋_GB2312"/>
          <w:sz w:val="30"/>
          <w:szCs w:val="30"/>
          <w:u w:val="single"/>
          <w:lang w:val="en-US" w:eastAsia="zh-CN"/>
        </w:rPr>
        <w:t xml:space="preserve"> 8</w:t>
      </w:r>
      <w:r>
        <w:rPr>
          <w:rFonts w:hint="eastAsia" w:ascii="仿宋_GB2312" w:hAnsi="宋体" w:eastAsia="仿宋_GB2312"/>
          <w:sz w:val="30"/>
          <w:szCs w:val="30"/>
        </w:rPr>
        <w:t>月</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22</w:t>
      </w:r>
      <w:r>
        <w:rPr>
          <w:rFonts w:hint="eastAsia" w:ascii="仿宋_GB2312" w:hAnsi="宋体" w:eastAsia="仿宋_GB2312"/>
          <w:sz w:val="30"/>
          <w:szCs w:val="30"/>
        </w:rPr>
        <w:t>日对你（单位）进行了调查，发现你（单位）实施了以下生态环境违法行为：</w:t>
      </w:r>
    </w:p>
    <w:p w14:paraId="1FDD566F">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宋体" w:eastAsia="仿宋_GB2312"/>
          <w:sz w:val="30"/>
          <w:szCs w:val="30"/>
          <w:u w:val="none"/>
        </w:rPr>
      </w:pPr>
      <w:r>
        <w:rPr>
          <w:rFonts w:hint="eastAsia" w:ascii="仿宋_GB2312" w:hAnsi="仿宋_GB2312" w:eastAsia="仿宋_GB2312" w:cs="仿宋_GB2312"/>
          <w:color w:val="auto"/>
          <w:sz w:val="30"/>
          <w:szCs w:val="30"/>
          <w:u w:val="single"/>
          <w:lang w:val="en-US" w:eastAsia="zh-CN"/>
        </w:rPr>
        <w:t xml:space="preserve">你公司2025年7月9日在与伊犁益环环保科技有限公司转运的废机油壶0.018吨、废机油滤0.031吨，共计0.049吨危险废物过程中，未按照国家有关规定填写、运行危险废物电子或者纸质转移联单。 </w:t>
      </w:r>
      <w:r>
        <w:rPr>
          <w:rFonts w:hint="eastAsia" w:ascii="仿宋_GB2312" w:hAnsi="宋体" w:eastAsia="仿宋_GB2312"/>
          <w:sz w:val="30"/>
          <w:szCs w:val="30"/>
          <w:u w:val="none"/>
        </w:rPr>
        <w:t xml:space="preserve">       </w:t>
      </w:r>
    </w:p>
    <w:p w14:paraId="41D05FB8">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以上事实，有以下主要证据证明：</w:t>
      </w:r>
    </w:p>
    <w:p w14:paraId="500165A7">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1.伊犁祥腾汽车维修服务有限公司现场检查（勘察）笔录（2025年8月22日）、</w:t>
      </w:r>
    </w:p>
    <w:p w14:paraId="2AC59A9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2.伊犁祥腾汽车维修服务有限公司法定代表人黎明调查询问笔录（2025年8月26日），用于证实伊犁祥腾汽车维修服务有限公司环境违法事实；</w:t>
      </w:r>
    </w:p>
    <w:p w14:paraId="6C45D4FE">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3.现场照片（2025年8月22日）用于证实伊犁祥腾汽车维修服务有限公司现场检查情况及违法行为现场；</w:t>
      </w:r>
    </w:p>
    <w:p w14:paraId="7D90A094">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4.伊犁祥腾汽车维修服务有限公司2025年8月26日提供的营业执照复印件、法定代表人身份证复印件用于证实行政相对人的合法性。</w:t>
      </w:r>
    </w:p>
    <w:p w14:paraId="102438D4">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5伊犁祥腾汽车维修服务有限公司2025年8月26日出具的授权委托书、受委托人郑浩泽身份证复印件用于证实现场负责人身份合法性；</w:t>
      </w:r>
    </w:p>
    <w:p w14:paraId="03D196A3">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6.伊犁祥腾汽车维修服务有限公司2025年8月26日提供的伊犁益环环保科技有限公司危险废物入库台账（2025年8月8日、12日、15日和23日）、伊犁益环环保科技有限公司危险废物转移的情况说明（2025年8月25日）、危险废物委托收集处理协议书、危险废物入库记录表、危险废物出库环节记录表、废油矿物危险废物转移联单3张、危险废物管理计划、伊犁祥腾汽车维修服务有限公司现场负责人郑浩泽提供的情况说明，用以证明伊犁祥腾汽车维修服务有限公司汽车维修过程中危险废物产生情况及转移情况。</w:t>
      </w:r>
    </w:p>
    <w:p w14:paraId="4A6AAE62">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7.伊犁祥腾汽车维修服务有限公司于2025年8月26日提供的、废矿物油回收协议（2025年5月2日，合同编号：YH2025）、危险废物委托收集贮存协议（2025年6月1日，合同编号：YH2025-23），用以证明伊犁祥腾汽车维修服务有限公司在2025年期间危险废物由具有危险废物收集资质的伊犁益环环保科技有限公司收集。</w:t>
      </w:r>
    </w:p>
    <w:p w14:paraId="7AD801A6">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8.伊犁祥腾汽车维修服务有限公司于2025年8月28日提供的整改报告用于证实该公司整改情况。</w:t>
      </w:r>
    </w:p>
    <w:p w14:paraId="50D33071">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宋体" w:eastAsia="仿宋_GB2312"/>
          <w:sz w:val="30"/>
          <w:szCs w:val="30"/>
        </w:rPr>
        <w:t>你（单位）的上述行为</w:t>
      </w:r>
      <w:r>
        <w:rPr>
          <w:rFonts w:hint="eastAsia" w:ascii="仿宋_GB2312" w:hAnsi="仿宋_GB2312" w:eastAsia="仿宋_GB2312" w:cs="仿宋_GB2312"/>
          <w:color w:val="auto"/>
          <w:sz w:val="30"/>
          <w:szCs w:val="30"/>
          <w:u w:val="none"/>
          <w:lang w:val="en-US" w:eastAsia="zh-CN"/>
        </w:rPr>
        <w:t>违反了</w:t>
      </w:r>
      <w:r>
        <w:rPr>
          <w:rFonts w:hint="eastAsia" w:ascii="仿宋_GB2312" w:hAnsi="仿宋_GB2312" w:eastAsia="仿宋_GB2312" w:cs="仿宋_GB2312"/>
          <w:color w:val="auto"/>
          <w:sz w:val="30"/>
          <w:szCs w:val="30"/>
          <w:u w:val="single"/>
          <w:lang w:val="en-US" w:eastAsia="zh-CN"/>
        </w:rPr>
        <w:t>《中华人民共和国固体废物污染环境防治法》第八十二条第一款,“转移危险废物的，应当按照国家有关规定填写、运行危险废物电子或者纸质转移联单。”的规定。</w:t>
      </w:r>
    </w:p>
    <w:p w14:paraId="1AD9B395">
      <w:pPr>
        <w:keepNext w:val="0"/>
        <w:keepLines w:val="0"/>
        <w:pageBreakBefore w:val="0"/>
        <w:widowControl w:val="0"/>
        <w:kinsoku/>
        <w:wordWrap/>
        <w:overflowPunct/>
        <w:topLinePunct w:val="0"/>
        <w:autoSpaceDE/>
        <w:autoSpaceDN/>
        <w:bidi w:val="0"/>
        <w:adjustRightInd w:val="0"/>
        <w:snapToGrid w:val="0"/>
        <w:spacing w:line="52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宋体" w:eastAsia="仿宋_GB2312"/>
          <w:sz w:val="30"/>
          <w:szCs w:val="30"/>
        </w:rPr>
        <w:t>我局于</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2025</w:t>
      </w:r>
      <w:r>
        <w:rPr>
          <w:rFonts w:hint="eastAsia" w:ascii="仿宋_GB2312" w:hAnsi="宋体" w:eastAsia="仿宋_GB2312"/>
          <w:sz w:val="30"/>
          <w:szCs w:val="30"/>
          <w:u w:val="single"/>
        </w:rPr>
        <w:t xml:space="preserve"> </w:t>
      </w:r>
      <w:r>
        <w:rPr>
          <w:rFonts w:hint="eastAsia" w:ascii="仿宋_GB2312" w:hAnsi="宋体" w:eastAsia="仿宋_GB2312"/>
          <w:sz w:val="30"/>
          <w:szCs w:val="30"/>
        </w:rPr>
        <w:t>年</w:t>
      </w:r>
      <w:r>
        <w:rPr>
          <w:rFonts w:hint="eastAsia" w:ascii="仿宋_GB2312" w:hAnsi="宋体" w:eastAsia="仿宋_GB2312"/>
          <w:sz w:val="30"/>
          <w:szCs w:val="30"/>
          <w:highlight w:val="none"/>
          <w:u w:val="single"/>
          <w:lang w:val="en-US" w:eastAsia="zh-CN"/>
        </w:rPr>
        <w:t xml:space="preserve"> 9 </w:t>
      </w:r>
      <w:r>
        <w:rPr>
          <w:rFonts w:hint="eastAsia" w:ascii="仿宋_GB2312" w:hAnsi="宋体" w:eastAsia="仿宋_GB2312"/>
          <w:sz w:val="30"/>
          <w:szCs w:val="30"/>
        </w:rPr>
        <w:t>月</w:t>
      </w:r>
      <w:r>
        <w:rPr>
          <w:rFonts w:hint="eastAsia" w:ascii="仿宋_GB2312" w:hAnsi="宋体" w:eastAsia="仿宋_GB2312"/>
          <w:sz w:val="30"/>
          <w:szCs w:val="30"/>
          <w:lang w:val="en-US" w:eastAsia="zh-CN"/>
        </w:rPr>
        <w:t>1</w:t>
      </w:r>
      <w:r>
        <w:rPr>
          <w:rFonts w:hint="eastAsia" w:ascii="仿宋_GB2312" w:hAnsi="宋体" w:eastAsia="仿宋_GB2312"/>
          <w:sz w:val="30"/>
          <w:szCs w:val="30"/>
          <w:u w:val="single"/>
          <w:lang w:val="en-US" w:eastAsia="zh-CN"/>
        </w:rPr>
        <w:t xml:space="preserve"> </w:t>
      </w:r>
      <w:r>
        <w:rPr>
          <w:rFonts w:hint="eastAsia" w:ascii="仿宋_GB2312" w:hAnsi="宋体" w:eastAsia="仿宋_GB2312"/>
          <w:sz w:val="30"/>
          <w:szCs w:val="30"/>
        </w:rPr>
        <w:t>日以</w:t>
      </w:r>
      <w:r>
        <w:rPr>
          <w:rFonts w:hint="eastAsia" w:ascii="仿宋_GB2312" w:hAnsi="宋体" w:eastAsia="仿宋_GB2312"/>
          <w:sz w:val="30"/>
          <w:szCs w:val="30"/>
          <w:u w:val="single"/>
        </w:rPr>
        <w:t xml:space="preserve"> 《</w:t>
      </w:r>
      <w:r>
        <w:rPr>
          <w:rFonts w:hint="eastAsia" w:ascii="仿宋_GB2312" w:hAnsi="宋体" w:eastAsia="仿宋_GB2312"/>
          <w:sz w:val="30"/>
          <w:szCs w:val="30"/>
          <w:u w:val="single"/>
          <w:lang w:val="en-US" w:eastAsia="zh-CN"/>
        </w:rPr>
        <w:t>不予</w:t>
      </w:r>
      <w:r>
        <w:rPr>
          <w:rFonts w:hint="eastAsia" w:ascii="仿宋_GB2312" w:hAnsi="宋体" w:eastAsia="仿宋_GB2312"/>
          <w:sz w:val="30"/>
          <w:szCs w:val="30"/>
          <w:u w:val="single"/>
        </w:rPr>
        <w:t>行政处罚事先告知书》（</w:t>
      </w:r>
      <w:r>
        <w:rPr>
          <w:rFonts w:hint="eastAsia" w:ascii="仿宋_GB2312" w:hAnsi="宋体" w:eastAsia="仿宋_GB2312"/>
          <w:sz w:val="30"/>
          <w:szCs w:val="30"/>
          <w:u w:val="single"/>
          <w:lang w:val="en-US" w:eastAsia="zh-CN"/>
        </w:rPr>
        <w:t>伊州</w:t>
      </w:r>
      <w:r>
        <w:rPr>
          <w:rFonts w:hint="eastAsia" w:ascii="仿宋_GB2312" w:hAnsi="宋体" w:eastAsia="仿宋_GB2312"/>
          <w:sz w:val="30"/>
          <w:szCs w:val="30"/>
          <w:u w:val="single"/>
        </w:rPr>
        <w:t>环</w:t>
      </w:r>
      <w:r>
        <w:rPr>
          <w:rFonts w:hint="eastAsia" w:ascii="仿宋_GB2312" w:hAnsi="宋体" w:eastAsia="仿宋_GB2312"/>
          <w:sz w:val="30"/>
          <w:szCs w:val="30"/>
          <w:u w:val="single"/>
          <w:lang w:val="en-US" w:eastAsia="zh-CN"/>
        </w:rPr>
        <w:t>伊市不</w:t>
      </w:r>
      <w:r>
        <w:rPr>
          <w:rFonts w:hint="eastAsia" w:ascii="仿宋_GB2312" w:hAnsi="宋体" w:eastAsia="仿宋_GB2312"/>
          <w:sz w:val="30"/>
          <w:szCs w:val="30"/>
          <w:u w:val="single"/>
        </w:rPr>
        <w:t>罚告〔</w:t>
      </w:r>
      <w:r>
        <w:rPr>
          <w:rFonts w:hint="eastAsia" w:ascii="仿宋_GB2312" w:hAnsi="宋体" w:eastAsia="仿宋_GB2312"/>
          <w:sz w:val="30"/>
          <w:szCs w:val="30"/>
          <w:u w:val="single"/>
          <w:lang w:val="en-US" w:eastAsia="zh-CN"/>
        </w:rPr>
        <w:t>2025</w:t>
      </w:r>
      <w:r>
        <w:rPr>
          <w:rFonts w:hint="eastAsia" w:ascii="仿宋_GB2312" w:hAnsi="宋体" w:eastAsia="仿宋_GB2312"/>
          <w:sz w:val="30"/>
          <w:szCs w:val="30"/>
          <w:u w:val="single"/>
        </w:rPr>
        <w:t>〕</w:t>
      </w:r>
      <w:r>
        <w:rPr>
          <w:rFonts w:hint="eastAsia" w:ascii="仿宋_GB2312" w:hAnsi="宋体" w:eastAsia="仿宋_GB2312"/>
          <w:sz w:val="30"/>
          <w:szCs w:val="30"/>
          <w:u w:val="single"/>
          <w:lang w:val="en-US" w:eastAsia="zh-CN"/>
        </w:rPr>
        <w:t>4</w:t>
      </w:r>
      <w:r>
        <w:rPr>
          <w:rFonts w:hint="eastAsia" w:ascii="仿宋_GB2312" w:hAnsi="宋体" w:eastAsia="仿宋_GB2312"/>
          <w:sz w:val="30"/>
          <w:szCs w:val="30"/>
          <w:u w:val="single"/>
        </w:rPr>
        <w:t>号）</w:t>
      </w:r>
      <w:r>
        <w:rPr>
          <w:rFonts w:hint="eastAsia" w:ascii="仿宋_GB2312" w:hAnsi="宋体" w:eastAsia="仿宋_GB2312"/>
          <w:sz w:val="30"/>
          <w:szCs w:val="30"/>
          <w:u w:val="single"/>
          <w:lang w:val="en-US" w:eastAsia="zh-CN"/>
        </w:rPr>
        <w:t>告知你单位陈述申辩权</w:t>
      </w:r>
      <w:r>
        <w:rPr>
          <w:rFonts w:hint="eastAsia" w:ascii="仿宋_GB2312" w:hAnsi="宋体" w:eastAsia="仿宋_GB2312"/>
          <w:sz w:val="30"/>
          <w:szCs w:val="30"/>
        </w:rPr>
        <w:t>。</w:t>
      </w:r>
      <w:r>
        <w:rPr>
          <w:rFonts w:hint="eastAsia" w:ascii="仿宋_GB2312" w:hAnsi="宋体" w:eastAsia="仿宋_GB2312"/>
          <w:sz w:val="30"/>
          <w:szCs w:val="30"/>
          <w:u w:val="single"/>
          <w:lang w:val="en-US" w:eastAsia="zh-CN"/>
        </w:rPr>
        <w:t>你单位在法定时间内未提出陈述及申辩。</w:t>
      </w:r>
    </w:p>
    <w:p w14:paraId="1EE5FA6D">
      <w:pPr>
        <w:keepNext w:val="0"/>
        <w:keepLines w:val="0"/>
        <w:pageBreakBefore w:val="0"/>
        <w:widowControl w:val="0"/>
        <w:kinsoku/>
        <w:wordWrap/>
        <w:overflowPunct/>
        <w:topLinePunct w:val="0"/>
        <w:autoSpaceDE/>
        <w:autoSpaceDN/>
        <w:bidi w:val="0"/>
        <w:adjustRightInd w:val="0"/>
        <w:snapToGrid w:val="0"/>
        <w:spacing w:line="500" w:lineRule="exact"/>
        <w:ind w:firstLine="600" w:firstLineChars="200"/>
        <w:textAlignment w:val="auto"/>
        <w:rPr>
          <w:rFonts w:hint="eastAsia" w:ascii="仿宋_GB2312" w:hAnsi="仿宋_GB2312" w:eastAsia="仿宋_GB2312" w:cs="仿宋_GB2312"/>
          <w:color w:val="auto"/>
          <w:sz w:val="30"/>
          <w:szCs w:val="30"/>
          <w:u w:val="single"/>
          <w:lang w:val="en-US" w:eastAsia="zh-CN"/>
        </w:rPr>
      </w:pPr>
      <w:r>
        <w:rPr>
          <w:rFonts w:hint="eastAsia" w:ascii="仿宋_GB2312" w:hAnsi="仿宋_GB2312" w:eastAsia="仿宋_GB2312" w:cs="仿宋_GB2312"/>
          <w:color w:val="auto"/>
          <w:sz w:val="30"/>
          <w:szCs w:val="30"/>
          <w:u w:val="single"/>
          <w:lang w:val="en-US" w:eastAsia="zh-CN"/>
        </w:rPr>
        <w:t>依据《中华人民共和国固体废物污染环境防治法》第一百一十二条第一款第五项和第二款“违反本法规定，有下列行为之一，由生态环境主管部门责令改正，处以罚款，没收违法所得；情节严重的，报经有批准权的人民政府批准，可以责令停业或者关闭：（五）未按照国家有关规定填写、运行危险废物转移联单或者未经批准擅自转移危险废物的；…和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ascii="仿宋_GB2312" w:hAnsi="仿宋_GB2312" w:eastAsia="仿宋_GB2312" w:cs="仿宋_GB2312"/>
          <w:sz w:val="30"/>
          <w:szCs w:val="30"/>
          <w:highlight w:val="none"/>
          <w:lang w:val="en-US" w:eastAsia="zh-CN"/>
        </w:rPr>
        <w:t>参照</w:t>
      </w:r>
      <w:r>
        <w:rPr>
          <w:rFonts w:hint="eastAsia" w:ascii="仿宋_GB2312" w:hAnsi="仿宋_GB2312" w:eastAsia="仿宋_GB2312" w:cs="仿宋_GB2312"/>
          <w:color w:val="auto"/>
          <w:sz w:val="30"/>
          <w:szCs w:val="30"/>
          <w:u w:val="single"/>
          <w:lang w:val="en-US" w:eastAsia="zh-CN"/>
        </w:rPr>
        <w:t>《新疆维吾尔自治区 新疆生产建设兵团生态环境部门规范适用行政处罚裁量权实施办法》，经新疆生态环境执法一体化平台“自由裁量”计算器裁量：个性裁量基准：个性裁量基准： 联单填报情况：未填报；危废数量：不足1吨 ，危废种类：2种 ;修正裁量基准：改正态度：立即改正,补救措施：积极采取补救措施，消除环境影响,经济承受度(企业类型）：微型企业,地区差异：二类地区裁量标准。裁量认定：情节较重，裁量金额：￥353100元整。</w:t>
      </w:r>
    </w:p>
    <w:p w14:paraId="4A25DA7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firstLine="600" w:firstLineChars="200"/>
        <w:textAlignment w:val="auto"/>
        <w:rPr>
          <w:rFonts w:hint="eastAsia" w:ascii="仿宋_GB2312" w:hAnsi="宋体" w:eastAsia="仿宋_GB2312"/>
          <w:sz w:val="30"/>
          <w:szCs w:val="30"/>
          <w:u w:val="single"/>
          <w:lang w:eastAsia="zh-CN"/>
        </w:rPr>
      </w:pPr>
      <w:r>
        <w:rPr>
          <w:rFonts w:hint="eastAsia" w:ascii="仿宋_GB2312" w:hAnsi="宋体" w:eastAsia="仿宋_GB2312" w:cs="Times New Roman"/>
          <w:sz w:val="30"/>
          <w:szCs w:val="30"/>
          <w:u w:val="single"/>
          <w:lang w:val="en-US" w:eastAsia="zh-CN"/>
        </w:rPr>
        <w:t>依据《中华人民共和国行政处罚法》第三十三条第一款“违法行为轻微并及时改正，没有造成危害后果的，不予行政处罚。初次违法且危害后果轻微并及时改正的，可以不予行政处罚。”、第二款“当事人有证据足以证明没有主观过错的，不予行政处罚。法律、行政法规另有规定的，从其规定。”和《生态环境行政处罚办法》第四十二条：“违法行为轻微并及时改正，没有造成生态环境危害后果的，不予行政处罚。初次违法且生态环境危害后果轻微并及时改正的，可以不予行政处罚。”的规定。经我局集体会议审议，认为你公司为首次违法，</w:t>
      </w:r>
      <w:r>
        <w:rPr>
          <w:rFonts w:hint="eastAsia" w:ascii="仿宋_GB2312" w:hAnsi="仿宋_GB2312" w:eastAsia="仿宋_GB2312" w:cs="仿宋_GB2312"/>
          <w:color w:val="auto"/>
          <w:sz w:val="30"/>
          <w:szCs w:val="30"/>
          <w:u w:val="single"/>
          <w:lang w:val="en-US" w:eastAsia="zh-CN"/>
        </w:rPr>
        <w:t>在执法人员现场检查发现违法行为次日起3个工作日内按照规范要求填报危险废物电子或者纸质转移联单，且营业期间已与具有危险废物收集资质单位签订《危险废物委托收集协议书》并交由该公司处置，未造成危险废物流失和环境污染。</w:t>
      </w:r>
      <w:r>
        <w:rPr>
          <w:rFonts w:hint="eastAsia" w:ascii="仿宋_GB2312" w:hAnsi="宋体" w:eastAsia="仿宋_GB2312" w:cs="Times New Roman"/>
          <w:sz w:val="30"/>
          <w:szCs w:val="30"/>
          <w:u w:val="single"/>
          <w:lang w:val="en-US" w:eastAsia="zh-CN"/>
        </w:rPr>
        <w:t>符合《中华人民共和国行政处罚法》第三十三条和《生态环境行政处罚办法》第四十二条规定的不予行政处罚的情形，</w:t>
      </w:r>
      <w:r>
        <w:rPr>
          <w:rFonts w:hint="eastAsia" w:ascii="仿宋_GB2312" w:hAnsi="宋体" w:eastAsia="仿宋_GB2312"/>
          <w:sz w:val="30"/>
          <w:szCs w:val="30"/>
          <w:u w:val="single"/>
        </w:rPr>
        <w:t>我局拟对你（单位）</w:t>
      </w:r>
      <w:r>
        <w:rPr>
          <w:rFonts w:hint="eastAsia" w:ascii="仿宋_GB2312" w:hAnsi="宋体" w:eastAsia="仿宋_GB2312"/>
          <w:sz w:val="30"/>
          <w:szCs w:val="30"/>
          <w:u w:val="single"/>
          <w:lang w:val="en-US" w:eastAsia="zh-CN"/>
        </w:rPr>
        <w:t>不予</w:t>
      </w:r>
      <w:r>
        <w:rPr>
          <w:rFonts w:hint="eastAsia" w:ascii="仿宋_GB2312" w:hAnsi="宋体" w:eastAsia="仿宋_GB2312"/>
          <w:sz w:val="30"/>
          <w:szCs w:val="30"/>
          <w:u w:val="single"/>
        </w:rPr>
        <w:t>行政处罚</w:t>
      </w:r>
      <w:r>
        <w:rPr>
          <w:rFonts w:hint="eastAsia" w:ascii="仿宋_GB2312" w:hAnsi="宋体" w:eastAsia="仿宋_GB2312"/>
          <w:sz w:val="30"/>
          <w:szCs w:val="30"/>
          <w:u w:val="none"/>
          <w:lang w:eastAsia="zh-CN"/>
        </w:rPr>
        <w:t>。</w:t>
      </w:r>
    </w:p>
    <w:p w14:paraId="6FE47E44">
      <w:pPr>
        <w:keepNext w:val="0"/>
        <w:keepLines w:val="0"/>
        <w:pageBreakBefore w:val="0"/>
        <w:widowControl w:val="0"/>
        <w:kinsoku/>
        <w:wordWrap/>
        <w:overflowPunct/>
        <w:topLinePunct w:val="0"/>
        <w:autoSpaceDE/>
        <w:autoSpaceDN/>
        <w:bidi w:val="0"/>
        <w:adjustRightInd w:val="0"/>
        <w:snapToGrid w:val="0"/>
        <w:spacing w:line="560" w:lineRule="exact"/>
        <w:ind w:firstLine="600" w:firstLineChars="200"/>
        <w:textAlignment w:val="auto"/>
        <w:rPr>
          <w:rFonts w:hint="eastAsia" w:ascii="仿宋_GB2312" w:hAnsi="宋体" w:eastAsia="仿宋_GB2312"/>
          <w:sz w:val="30"/>
          <w:szCs w:val="30"/>
        </w:rPr>
      </w:pPr>
      <w:r>
        <w:rPr>
          <w:rFonts w:hint="eastAsia" w:ascii="仿宋_GB2312" w:hAnsi="宋体" w:eastAsia="仿宋_GB2312"/>
          <w:sz w:val="30"/>
          <w:szCs w:val="30"/>
        </w:rPr>
        <w:t>依据《中华人民共和国行政处罚法》第四十四条、第四十五条和《生态环境行政处罚办法》第四十四条的规定，你（单位）如对该处罚意见有异议，可在接到本告知书后五个工作日内向我局提出陈述和申辩；逾期未提出陈述和申辩，视为你（单位）放弃陈述和申辩的权利。</w:t>
      </w:r>
    </w:p>
    <w:p w14:paraId="251876D8">
      <w:pPr>
        <w:adjustRightInd w:val="0"/>
        <w:snapToGrid w:val="0"/>
        <w:spacing w:line="360" w:lineRule="auto"/>
        <w:rPr>
          <w:rFonts w:hint="eastAsia" w:ascii="仿宋_GB2312" w:hAnsi="宋体" w:eastAsia="仿宋_GB2312"/>
          <w:sz w:val="30"/>
          <w:szCs w:val="30"/>
        </w:rPr>
      </w:pPr>
    </w:p>
    <w:p w14:paraId="689AB838">
      <w:pPr>
        <w:keepNext w:val="0"/>
        <w:keepLines w:val="0"/>
        <w:pageBreakBefore w:val="0"/>
        <w:widowControl w:val="0"/>
        <w:kinsoku/>
        <w:wordWrap/>
        <w:overflowPunct w:val="0"/>
        <w:topLinePunct/>
        <w:autoSpaceDE/>
        <w:autoSpaceDN/>
        <w:bidi w:val="0"/>
        <w:adjustRightInd w:val="0"/>
        <w:snapToGrid w:val="0"/>
        <w:spacing w:line="600" w:lineRule="exact"/>
        <w:ind w:firstLine="600" w:firstLineChars="200"/>
        <w:textAlignment w:val="auto"/>
        <w:rPr>
          <w:rFonts w:hint="eastAsia" w:ascii="仿宋_GB2312" w:hAnsi="仿宋_GB2312" w:eastAsia="仿宋_GB2312" w:cs="仿宋_GB2312"/>
          <w:sz w:val="30"/>
          <w:szCs w:val="30"/>
          <w:u w:val="none"/>
        </w:rPr>
      </w:pPr>
      <w:r>
        <w:rPr>
          <w:rFonts w:hint="eastAsia" w:ascii="仿宋_GB2312" w:hAnsi="仿宋_GB2312" w:eastAsia="仿宋_GB2312" w:cs="仿宋_GB2312"/>
          <w:sz w:val="30"/>
          <w:szCs w:val="30"/>
        </w:rPr>
        <w:t>联系人：</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 xml:space="preserve">周芸            </w:t>
      </w:r>
      <w:r>
        <w:rPr>
          <w:rFonts w:hint="eastAsia" w:ascii="仿宋_GB2312" w:hAnsi="仿宋_GB2312" w:eastAsia="仿宋_GB2312" w:cs="仿宋_GB2312"/>
          <w:sz w:val="30"/>
          <w:szCs w:val="30"/>
        </w:rPr>
        <w:t>电    话：</w:t>
      </w:r>
      <w:r>
        <w:rPr>
          <w:rFonts w:hint="eastAsia" w:ascii="仿宋_GB2312" w:hAnsi="仿宋_GB2312" w:eastAsia="仿宋_GB2312" w:cs="仿宋_GB2312"/>
          <w:sz w:val="30"/>
          <w:szCs w:val="30"/>
          <w:u w:val="single"/>
          <w:lang w:val="en-US" w:eastAsia="zh-CN"/>
        </w:rPr>
        <w:t>0999-8120361</w:t>
      </w:r>
      <w:r>
        <w:rPr>
          <w:rFonts w:hint="eastAsia" w:ascii="仿宋_GB2312" w:hAnsi="仿宋_GB2312" w:eastAsia="仿宋_GB2312" w:cs="仿宋_GB2312"/>
          <w:sz w:val="30"/>
          <w:szCs w:val="30"/>
          <w:u w:val="single"/>
        </w:rPr>
        <w:t xml:space="preserve">    </w:t>
      </w:r>
    </w:p>
    <w:p w14:paraId="0CA12E45">
      <w:pPr>
        <w:adjustRightInd w:val="0"/>
        <w:snapToGrid w:val="0"/>
        <w:spacing w:line="360" w:lineRule="auto"/>
        <w:ind w:firstLine="600" w:firstLineChars="200"/>
        <w:rPr>
          <w:rFonts w:hint="eastAsia" w:ascii="仿宋_GB2312" w:hAnsi="宋体" w:eastAsia="仿宋_GB2312"/>
          <w:sz w:val="30"/>
          <w:szCs w:val="30"/>
          <w:u w:val="single"/>
        </w:rPr>
      </w:pPr>
      <w:r>
        <w:rPr>
          <w:rFonts w:hint="eastAsia" w:ascii="仿宋_GB2312" w:hAnsi="仿宋_GB2312" w:eastAsia="仿宋_GB2312" w:cs="仿宋_GB2312"/>
          <w:sz w:val="30"/>
          <w:szCs w:val="30"/>
        </w:rPr>
        <w:t>地  址</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u w:val="single"/>
          <w:lang w:val="en-US" w:eastAsia="zh-CN"/>
        </w:rPr>
        <w:t>新疆伊宁市海棠路1号</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邮政编码：</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u w:val="single"/>
          <w:lang w:val="en-US" w:eastAsia="zh-CN"/>
        </w:rPr>
        <w:t>835000</w:t>
      </w:r>
      <w:r>
        <w:rPr>
          <w:rFonts w:hint="eastAsia" w:ascii="仿宋_GB2312" w:hAnsi="仿宋_GB2312" w:eastAsia="仿宋_GB2312" w:cs="仿宋_GB2312"/>
          <w:sz w:val="30"/>
          <w:szCs w:val="30"/>
          <w:u w:val="single"/>
        </w:rPr>
        <w:t xml:space="preserve">     </w:t>
      </w:r>
      <w:r>
        <w:rPr>
          <w:rFonts w:hint="eastAsia" w:ascii="仿宋_GB2312" w:hAnsi="宋体" w:eastAsia="仿宋_GB2312"/>
          <w:sz w:val="30"/>
          <w:szCs w:val="30"/>
          <w:u w:val="single"/>
        </w:rPr>
        <w:t xml:space="preserve">    </w:t>
      </w:r>
    </w:p>
    <w:p w14:paraId="0BEE04BA">
      <w:pPr>
        <w:adjustRightInd w:val="0"/>
        <w:snapToGrid w:val="0"/>
        <w:spacing w:line="360" w:lineRule="auto"/>
        <w:ind w:left="6000" w:hanging="6000" w:hangingChars="2000"/>
        <w:rPr>
          <w:rFonts w:hint="eastAsia" w:ascii="仿宋_GB2312" w:hAnsi="宋体" w:eastAsia="仿宋_GB2312"/>
          <w:sz w:val="30"/>
          <w:szCs w:val="30"/>
        </w:rPr>
      </w:pPr>
      <w:r>
        <w:rPr>
          <w:rFonts w:hint="eastAsia" w:ascii="仿宋_GB2312" w:hAnsi="宋体" w:eastAsia="仿宋_GB2312"/>
          <w:sz w:val="30"/>
          <w:szCs w:val="30"/>
        </w:rPr>
        <w:t xml:space="preserve">                                                        </w:t>
      </w:r>
    </w:p>
    <w:p w14:paraId="57ED546A">
      <w:pPr>
        <w:adjustRightInd w:val="0"/>
        <w:snapToGrid w:val="0"/>
        <w:spacing w:line="360" w:lineRule="auto"/>
        <w:ind w:firstLine="1500" w:firstLineChars="500"/>
        <w:jc w:val="right"/>
        <w:rPr>
          <w:rFonts w:hint="eastAsia" w:ascii="仿宋_GB2312" w:hAnsi="宋体" w:eastAsia="仿宋_GB2312"/>
          <w:sz w:val="30"/>
          <w:szCs w:val="30"/>
        </w:rPr>
      </w:pPr>
      <w:r>
        <w:rPr>
          <w:rFonts w:hint="eastAsia" w:ascii="仿宋_GB2312" w:hAnsi="宋体" w:eastAsia="仿宋_GB2312"/>
          <w:sz w:val="30"/>
          <w:szCs w:val="30"/>
          <w:lang w:val="en-US" w:eastAsia="zh-CN"/>
        </w:rPr>
        <w:t>伊犁哈萨克自治州</w:t>
      </w:r>
      <w:r>
        <w:rPr>
          <w:rFonts w:hint="eastAsia" w:ascii="仿宋_GB2312" w:hAnsi="宋体" w:eastAsia="仿宋_GB2312"/>
          <w:sz w:val="30"/>
          <w:szCs w:val="30"/>
        </w:rPr>
        <w:t>生态环境局（印章）</w:t>
      </w:r>
    </w:p>
    <w:p w14:paraId="768F58F3">
      <w:pPr>
        <w:adjustRightInd w:val="0"/>
        <w:snapToGrid w:val="0"/>
        <w:spacing w:line="360" w:lineRule="auto"/>
        <w:ind w:right="210" w:rightChars="100" w:firstLine="4650" w:firstLineChars="1550"/>
        <w:jc w:val="both"/>
      </w:pPr>
      <w:r>
        <w:rPr>
          <w:rFonts w:hint="eastAsia" w:ascii="仿宋_GB2312" w:hAnsi="宋体" w:eastAsia="仿宋_GB2312"/>
          <w:sz w:val="30"/>
          <w:szCs w:val="30"/>
          <w:lang w:val="en-US" w:eastAsia="zh-CN"/>
        </w:rPr>
        <w:t>2025</w:t>
      </w:r>
      <w:r>
        <w:rPr>
          <w:rFonts w:hint="eastAsia" w:ascii="仿宋_GB2312" w:hAnsi="宋体" w:eastAsia="仿宋_GB2312"/>
          <w:sz w:val="30"/>
          <w:szCs w:val="30"/>
        </w:rPr>
        <w:t>年</w:t>
      </w:r>
      <w:r>
        <w:rPr>
          <w:rFonts w:hint="eastAsia" w:ascii="仿宋_GB2312" w:hAnsi="宋体" w:eastAsia="仿宋_GB2312"/>
          <w:sz w:val="30"/>
          <w:szCs w:val="30"/>
          <w:lang w:val="en-US" w:eastAsia="zh-CN"/>
        </w:rPr>
        <w:t>9</w:t>
      </w:r>
      <w:r>
        <w:rPr>
          <w:rFonts w:hint="eastAsia" w:ascii="仿宋_GB2312" w:hAnsi="宋体" w:eastAsia="仿宋_GB2312"/>
          <w:sz w:val="30"/>
          <w:szCs w:val="30"/>
        </w:rPr>
        <w:t>月</w:t>
      </w:r>
      <w:r>
        <w:rPr>
          <w:rFonts w:hint="eastAsia" w:ascii="仿宋_GB2312" w:hAnsi="宋体" w:eastAsia="仿宋_GB2312"/>
          <w:sz w:val="30"/>
          <w:szCs w:val="30"/>
          <w:lang w:val="en-US" w:eastAsia="zh-CN"/>
        </w:rPr>
        <w:t>29</w:t>
      </w:r>
      <w:r>
        <w:rPr>
          <w:rFonts w:hint="eastAsia" w:ascii="仿宋_GB2312" w:hAnsi="宋体" w:eastAsia="仿宋_GB2312"/>
          <w:sz w:val="30"/>
          <w:szCs w:val="30"/>
        </w:rPr>
        <w:t>日</w:t>
      </w:r>
    </w:p>
    <w:sectPr>
      <w:footerReference r:id="rId3" w:type="default"/>
      <w:pgSz w:w="11906" w:h="16838"/>
      <w:pgMar w:top="2154"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3A41E">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6D2BD">
                          <w:pPr>
                            <w:pStyle w:val="4"/>
                            <w:rPr>
                              <w:rFonts w:hint="eastAsia" w:eastAsia="宋体"/>
                              <w:lang w:eastAsia="zh-CN"/>
                            </w:rPr>
                          </w:pPr>
                          <w:r>
                            <w:rPr>
                              <w:rFonts w:hint="eastAsia" w:ascii="仿宋_GB2312" w:hAnsi="仿宋_GB2312" w:eastAsia="仿宋_GB2312" w:cs="仿宋_GB2312"/>
                              <w:lang w:eastAsia="zh-CN"/>
                            </w:rPr>
                            <w:t xml:space="preserve">第 </w:t>
                          </w: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PAGE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1</w:t>
                          </w:r>
                          <w:r>
                            <w:rPr>
                              <w:rFonts w:hint="eastAsia" w:ascii="仿宋_GB2312" w:hAnsi="仿宋_GB2312" w:eastAsia="仿宋_GB2312" w:cs="仿宋_GB2312"/>
                              <w:lang w:eastAsia="zh-CN"/>
                            </w:rPr>
                            <w:fldChar w:fldCharType="end"/>
                          </w:r>
                          <w:r>
                            <w:rPr>
                              <w:rFonts w:hint="eastAsia" w:ascii="仿宋_GB2312" w:hAnsi="仿宋_GB2312" w:eastAsia="仿宋_GB2312" w:cs="仿宋_GB2312"/>
                              <w:lang w:eastAsia="zh-CN"/>
                            </w:rPr>
                            <w:t xml:space="preserve"> 页 共 </w:t>
                          </w: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NUMPAGES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4</w:t>
                          </w:r>
                          <w:r>
                            <w:rPr>
                              <w:rFonts w:hint="eastAsia" w:ascii="仿宋_GB2312" w:hAnsi="仿宋_GB2312" w:eastAsia="仿宋_GB2312" w:cs="仿宋_GB2312"/>
                              <w:lang w:eastAsia="zh-CN"/>
                            </w:rPr>
                            <w:fldChar w:fldCharType="end"/>
                          </w:r>
                          <w:r>
                            <w:rPr>
                              <w:rFonts w:hint="eastAsia" w:ascii="仿宋_GB2312" w:hAnsi="仿宋_GB2312" w:eastAsia="仿宋_GB2312" w:cs="仿宋_GB2312"/>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66D2BD">
                    <w:pPr>
                      <w:pStyle w:val="4"/>
                      <w:rPr>
                        <w:rFonts w:hint="eastAsia" w:eastAsia="宋体"/>
                        <w:lang w:eastAsia="zh-CN"/>
                      </w:rPr>
                    </w:pPr>
                    <w:r>
                      <w:rPr>
                        <w:rFonts w:hint="eastAsia" w:ascii="仿宋_GB2312" w:hAnsi="仿宋_GB2312" w:eastAsia="仿宋_GB2312" w:cs="仿宋_GB2312"/>
                        <w:lang w:eastAsia="zh-CN"/>
                      </w:rPr>
                      <w:t xml:space="preserve">第 </w:t>
                    </w: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PAGE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1</w:t>
                    </w:r>
                    <w:r>
                      <w:rPr>
                        <w:rFonts w:hint="eastAsia" w:ascii="仿宋_GB2312" w:hAnsi="仿宋_GB2312" w:eastAsia="仿宋_GB2312" w:cs="仿宋_GB2312"/>
                        <w:lang w:eastAsia="zh-CN"/>
                      </w:rPr>
                      <w:fldChar w:fldCharType="end"/>
                    </w:r>
                    <w:r>
                      <w:rPr>
                        <w:rFonts w:hint="eastAsia" w:ascii="仿宋_GB2312" w:hAnsi="仿宋_GB2312" w:eastAsia="仿宋_GB2312" w:cs="仿宋_GB2312"/>
                        <w:lang w:eastAsia="zh-CN"/>
                      </w:rPr>
                      <w:t xml:space="preserve"> 页 共 </w:t>
                    </w:r>
                    <w:r>
                      <w:rPr>
                        <w:rFonts w:hint="eastAsia" w:ascii="仿宋_GB2312" w:hAnsi="仿宋_GB2312" w:eastAsia="仿宋_GB2312" w:cs="仿宋_GB2312"/>
                        <w:lang w:eastAsia="zh-CN"/>
                      </w:rPr>
                      <w:fldChar w:fldCharType="begin"/>
                    </w:r>
                    <w:r>
                      <w:rPr>
                        <w:rFonts w:hint="eastAsia" w:ascii="仿宋_GB2312" w:hAnsi="仿宋_GB2312" w:eastAsia="仿宋_GB2312" w:cs="仿宋_GB2312"/>
                        <w:lang w:eastAsia="zh-CN"/>
                      </w:rPr>
                      <w:instrText xml:space="preserve"> NUMPAGES  \* MERGEFORMAT </w:instrText>
                    </w:r>
                    <w:r>
                      <w:rPr>
                        <w:rFonts w:hint="eastAsia" w:ascii="仿宋_GB2312" w:hAnsi="仿宋_GB2312" w:eastAsia="仿宋_GB2312" w:cs="仿宋_GB2312"/>
                        <w:lang w:eastAsia="zh-CN"/>
                      </w:rPr>
                      <w:fldChar w:fldCharType="separate"/>
                    </w:r>
                    <w:r>
                      <w:rPr>
                        <w:rFonts w:hint="eastAsia" w:ascii="仿宋_GB2312" w:hAnsi="仿宋_GB2312" w:eastAsia="仿宋_GB2312" w:cs="仿宋_GB2312"/>
                        <w:lang w:eastAsia="zh-CN"/>
                      </w:rPr>
                      <w:t>4</w:t>
                    </w:r>
                    <w:r>
                      <w:rPr>
                        <w:rFonts w:hint="eastAsia" w:ascii="仿宋_GB2312" w:hAnsi="仿宋_GB2312" w:eastAsia="仿宋_GB2312" w:cs="仿宋_GB2312"/>
                        <w:lang w:eastAsia="zh-CN"/>
                      </w:rPr>
                      <w:fldChar w:fldCharType="end"/>
                    </w:r>
                    <w:r>
                      <w:rPr>
                        <w:rFonts w:hint="eastAsia" w:ascii="仿宋_GB2312" w:hAnsi="仿宋_GB2312" w:eastAsia="仿宋_GB2312" w:cs="仿宋_GB2312"/>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E9480C"/>
    <w:rsid w:val="01B16182"/>
    <w:rsid w:val="066E0546"/>
    <w:rsid w:val="07DE2F0D"/>
    <w:rsid w:val="096E0AFB"/>
    <w:rsid w:val="0AF842FC"/>
    <w:rsid w:val="11BB3A30"/>
    <w:rsid w:val="168411F6"/>
    <w:rsid w:val="1AE9480C"/>
    <w:rsid w:val="21B06B1E"/>
    <w:rsid w:val="28803D80"/>
    <w:rsid w:val="2E9D5DAB"/>
    <w:rsid w:val="2F102CC1"/>
    <w:rsid w:val="326E243B"/>
    <w:rsid w:val="3DE64DD3"/>
    <w:rsid w:val="45905860"/>
    <w:rsid w:val="50DE0042"/>
    <w:rsid w:val="58025F20"/>
    <w:rsid w:val="5A612D9D"/>
    <w:rsid w:val="5C5E408C"/>
    <w:rsid w:val="63117778"/>
    <w:rsid w:val="676C3020"/>
    <w:rsid w:val="67854E62"/>
    <w:rsid w:val="691D6AEF"/>
    <w:rsid w:val="6BC178D8"/>
    <w:rsid w:val="6E2D0C95"/>
    <w:rsid w:val="700E5704"/>
    <w:rsid w:val="79BB0770"/>
    <w:rsid w:val="79C03C81"/>
    <w:rsid w:val="7D8E6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table of authorities"/>
    <w:next w:val="1"/>
    <w:qFormat/>
    <w:uiPriority w:val="0"/>
    <w:pPr>
      <w:widowControl w:val="0"/>
      <w:spacing w:line="240" w:lineRule="auto"/>
      <w:ind w:left="0" w:leftChars="0" w:firstLine="0" w:firstLineChars="0"/>
      <w:jc w:val="left"/>
    </w:pPr>
    <w:rPr>
      <w:rFonts w:ascii="仿宋" w:hAnsi="仿宋" w:eastAsia="仿宋" w:cs="仿宋"/>
      <w:kern w:val="2"/>
      <w:sz w:val="18"/>
      <w:szCs w:val="18"/>
      <w:lang w:val="en-US" w:eastAsia="zh-CN"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2141</Words>
  <Characters>2288</Characters>
  <Lines>0</Lines>
  <Paragraphs>0</Paragraphs>
  <TotalTime>30</TotalTime>
  <ScaleCrop>false</ScaleCrop>
  <LinksUpToDate>false</LinksUpToDate>
  <CharactersWithSpaces>2555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2024-08-20T10:59:00Z</dcterms:created>
  <dc:creator>LENOVO</dc:creator>
  <cp:lastModifiedBy>CC柚</cp:lastModifiedBy>
  <cp:lastPrinted>2026-01-07T08:48:58Z</cp:lastPrinted>
  <dcterms:modified xsi:type="dcterms:W3CDTF">2026-01-07T08:53:55Z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eyJoZGlkIjoiNDBmOTcwYjZiZTk1NDhjZGVhOGUyYjQ0NGJkOThmYTMiLCJ1c2VySWQiOiI0NjE2NTI5MDgifQ==</vt:lpwstr>
  </property>
  <property fmtid="{D5CDD505-2E9C-101B-9397-08002B2CF9AE}" pid="4" name="ICV">
    <vt:lpwstr>364177ABA63A47D28EA43E2A1079C0DF_13</vt:lpwstr>
  </property>
</Properties>
</file>