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center"/>
        <w:rPr>
          <w:rFonts w:hint="eastAsia" w:ascii="黑体" w:hAnsi="黑体" w:eastAsia="黑体" w:cs="黑体"/>
          <w:i w:val="0"/>
          <w:caps w:val="0"/>
          <w:color w:val="333333"/>
          <w:spacing w:val="0"/>
          <w:kern w:val="0"/>
          <w:sz w:val="44"/>
          <w:szCs w:val="44"/>
          <w:shd w:val="clear" w:fill="FFFFFF"/>
          <w:lang w:val="en-US" w:eastAsia="zh-CN" w:bidi="ar"/>
        </w:rPr>
      </w:pPr>
      <w:r>
        <w:rPr>
          <w:rFonts w:hint="eastAsia" w:ascii="仿宋" w:hAnsi="仿宋" w:eastAsia="仿宋" w:cs="仿宋"/>
          <w:sz w:val="32"/>
          <w:szCs w:val="32"/>
          <w:lang w:val="en-US" w:eastAsia="zh-CN"/>
        </w:rPr>
        <w:t xml:space="preserve">   </w:t>
      </w:r>
      <w:r>
        <w:rPr>
          <w:rFonts w:hint="eastAsia" w:ascii="黑体" w:hAnsi="黑体" w:eastAsia="黑体" w:cs="黑体"/>
          <w:i w:val="0"/>
          <w:caps w:val="0"/>
          <w:color w:val="333333"/>
          <w:spacing w:val="0"/>
          <w:kern w:val="0"/>
          <w:sz w:val="44"/>
          <w:szCs w:val="44"/>
          <w:shd w:val="clear" w:fill="FFFFFF"/>
          <w:lang w:val="en-US" w:eastAsia="zh-CN" w:bidi="ar"/>
        </w:rPr>
        <w:t>关于开展2024年产（商）品质量监督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center"/>
        <w:rPr>
          <w:rFonts w:hint="eastAsia" w:ascii="黑体" w:hAnsi="黑体" w:eastAsia="黑体" w:cs="黑体"/>
          <w:i w:val="0"/>
          <w:caps w:val="0"/>
          <w:color w:val="333333"/>
          <w:spacing w:val="0"/>
          <w:sz w:val="44"/>
          <w:szCs w:val="44"/>
        </w:rPr>
      </w:pPr>
      <w:r>
        <w:rPr>
          <w:rFonts w:hint="eastAsia" w:ascii="黑体" w:hAnsi="黑体" w:eastAsia="黑体" w:cs="黑体"/>
          <w:i w:val="0"/>
          <w:caps w:val="0"/>
          <w:color w:val="333333"/>
          <w:spacing w:val="0"/>
          <w:kern w:val="0"/>
          <w:sz w:val="44"/>
          <w:szCs w:val="44"/>
          <w:shd w:val="clear" w:fill="FFFFFF"/>
          <w:lang w:val="en-US" w:eastAsia="zh-CN" w:bidi="ar"/>
        </w:rPr>
        <w:t>抽查的通知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jc w:val="both"/>
        <w:rPr>
          <w:rFonts w:hint="eastAsia" w:ascii="仿宋_GB2312" w:hAnsi="仿宋_GB2312" w:eastAsia="仿宋_GB2312" w:cs="仿宋_GB2312"/>
          <w:i w:val="0"/>
          <w:caps w:val="0"/>
          <w:color w:val="333333"/>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lang w:eastAsia="zh-CN"/>
        </w:rPr>
        <w:t>全市</w:t>
      </w:r>
      <w:r>
        <w:rPr>
          <w:rFonts w:hint="eastAsia" w:ascii="仿宋_GB2312" w:hAnsi="仿宋_GB2312" w:eastAsia="仿宋_GB2312" w:cs="仿宋_GB2312"/>
          <w:i w:val="0"/>
          <w:caps w:val="0"/>
          <w:color w:val="333333"/>
          <w:spacing w:val="0"/>
          <w:sz w:val="32"/>
          <w:szCs w:val="32"/>
          <w:shd w:val="clear" w:fill="FFFFFF"/>
        </w:rPr>
        <w:t>各</w:t>
      </w:r>
      <w:r>
        <w:rPr>
          <w:rFonts w:hint="eastAsia" w:ascii="仿宋_GB2312" w:hAnsi="仿宋_GB2312" w:eastAsia="仿宋_GB2312" w:cs="仿宋_GB2312"/>
          <w:i w:val="0"/>
          <w:caps w:val="0"/>
          <w:color w:val="333333"/>
          <w:spacing w:val="0"/>
          <w:sz w:val="32"/>
          <w:szCs w:val="32"/>
          <w:shd w:val="clear" w:fill="FFFFFF"/>
          <w:lang w:eastAsia="zh-CN"/>
        </w:rPr>
        <w:t>有关</w:t>
      </w:r>
      <w:r>
        <w:rPr>
          <w:rFonts w:hint="eastAsia" w:ascii="仿宋_GB2312" w:hAnsi="仿宋_GB2312" w:eastAsia="仿宋_GB2312" w:cs="仿宋_GB2312"/>
          <w:i w:val="0"/>
          <w:caps w:val="0"/>
          <w:color w:val="333333"/>
          <w:spacing w:val="0"/>
          <w:sz w:val="32"/>
          <w:szCs w:val="32"/>
          <w:shd w:val="clear" w:fill="FFFFFF"/>
        </w:rPr>
        <w:t>单位、检验机构：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依据《中华人民共和国产品质量法》《产品质量监督条例》《产品质量监督抽查管理暂行办法》及</w:t>
      </w:r>
      <w:r>
        <w:rPr>
          <w:rFonts w:hint="eastAsia" w:ascii="仿宋_GB2312" w:hAnsi="仿宋_GB2312" w:eastAsia="仿宋_GB2312" w:cs="仿宋_GB2312"/>
          <w:i w:val="0"/>
          <w:caps w:val="0"/>
          <w:color w:val="333333"/>
          <w:spacing w:val="0"/>
          <w:sz w:val="32"/>
          <w:szCs w:val="32"/>
          <w:shd w:val="clear" w:fill="FFFFFF"/>
          <w:vertAlign w:val="baseline"/>
          <w:lang w:eastAsia="zh-CN"/>
        </w:rPr>
        <w:t>自治区</w:t>
      </w:r>
      <w:r>
        <w:rPr>
          <w:rFonts w:hint="eastAsia" w:ascii="仿宋_GB2312" w:hAnsi="仿宋_GB2312" w:eastAsia="仿宋_GB2312" w:cs="仿宋_GB2312"/>
          <w:i w:val="0"/>
          <w:caps w:val="0"/>
          <w:color w:val="333333"/>
          <w:spacing w:val="0"/>
          <w:sz w:val="32"/>
          <w:szCs w:val="32"/>
          <w:shd w:val="clear" w:fill="FFFFFF"/>
          <w:vertAlign w:val="baseline"/>
        </w:rPr>
        <w:t>产品质量监督工作的有关规定，结合</w:t>
      </w:r>
      <w:r>
        <w:rPr>
          <w:rFonts w:hint="eastAsia" w:ascii="仿宋_GB2312" w:hAnsi="仿宋_GB2312" w:eastAsia="仿宋_GB2312" w:cs="仿宋_GB2312"/>
          <w:i w:val="0"/>
          <w:caps w:val="0"/>
          <w:color w:val="333333"/>
          <w:spacing w:val="0"/>
          <w:sz w:val="32"/>
          <w:szCs w:val="32"/>
          <w:shd w:val="clear" w:fill="FFFFFF"/>
          <w:vertAlign w:val="baseline"/>
          <w:lang w:eastAsia="zh-CN"/>
        </w:rPr>
        <w:t>伊宁市</w:t>
      </w:r>
      <w:r>
        <w:rPr>
          <w:rFonts w:hint="eastAsia" w:ascii="仿宋_GB2312" w:hAnsi="仿宋_GB2312" w:eastAsia="仿宋_GB2312" w:cs="仿宋_GB2312"/>
          <w:i w:val="0"/>
          <w:caps w:val="0"/>
          <w:color w:val="333333"/>
          <w:spacing w:val="0"/>
          <w:sz w:val="32"/>
          <w:szCs w:val="32"/>
          <w:shd w:val="clear" w:fill="FFFFFF"/>
          <w:vertAlign w:val="baseline"/>
        </w:rPr>
        <w:t>实际，现就202</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4</w:t>
      </w:r>
      <w:r>
        <w:rPr>
          <w:rFonts w:hint="eastAsia" w:ascii="仿宋_GB2312" w:hAnsi="仿宋_GB2312" w:eastAsia="仿宋_GB2312" w:cs="仿宋_GB2312"/>
          <w:i w:val="0"/>
          <w:caps w:val="0"/>
          <w:color w:val="333333"/>
          <w:spacing w:val="0"/>
          <w:sz w:val="32"/>
          <w:szCs w:val="32"/>
          <w:shd w:val="clear" w:fill="FFFFFF"/>
          <w:vertAlign w:val="baseline"/>
        </w:rPr>
        <w:t>年产（商）品质量监督抽查有关事项通知如下：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rPr>
          <w:rFonts w:hint="eastAsia" w:ascii="黑体" w:hAnsi="黑体" w:eastAsia="黑体" w:cs="黑体"/>
          <w:b/>
          <w:bCs/>
          <w:sz w:val="32"/>
          <w:szCs w:val="32"/>
        </w:rPr>
      </w:pPr>
      <w:r>
        <w:rPr>
          <w:rFonts w:hint="eastAsia" w:ascii="黑体" w:hAnsi="黑体" w:eastAsia="黑体" w:cs="黑体"/>
          <w:b/>
          <w:bCs/>
          <w:i w:val="0"/>
          <w:caps w:val="0"/>
          <w:color w:val="333333"/>
          <w:spacing w:val="0"/>
          <w:sz w:val="32"/>
          <w:szCs w:val="32"/>
          <w:shd w:val="clear" w:fill="FFFFFF"/>
        </w:rPr>
        <w:t>一、计划实施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333333"/>
          <w:spacing w:val="0"/>
          <w:sz w:val="32"/>
          <w:szCs w:val="32"/>
          <w:shd w:val="clear" w:fill="FFFFFF"/>
        </w:rPr>
        <w:t>（一）任务委托。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本次监督抽查计划共安排生产及流通领域产（商）品共</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41</w:t>
      </w:r>
      <w:r>
        <w:rPr>
          <w:rFonts w:hint="eastAsia" w:ascii="仿宋_GB2312" w:hAnsi="仿宋_GB2312" w:eastAsia="仿宋_GB2312" w:cs="仿宋_GB2312"/>
          <w:i w:val="0"/>
          <w:caps w:val="0"/>
          <w:color w:val="333333"/>
          <w:spacing w:val="0"/>
          <w:sz w:val="32"/>
          <w:szCs w:val="32"/>
          <w:shd w:val="clear" w:fill="FFFFFF"/>
          <w:vertAlign w:val="baseline"/>
        </w:rPr>
        <w:t>批次。委托抽样及检验工作的检验机构（详见附件），受委托承担抽样、检验工作的检验机构（以下简称承检机构），未经我局同意，不得分包抽样、检验任务。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333333"/>
          <w:spacing w:val="0"/>
          <w:sz w:val="32"/>
          <w:szCs w:val="32"/>
          <w:shd w:val="clear" w:fill="FFFFFF"/>
        </w:rPr>
        <w:t>（二）抽查有效性。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抽样时应当有2名及以上抽样人员参加，抽样人员应当熟悉相关法律、法规、规章、制度和标准等规定，并向被抽样</w:t>
      </w:r>
      <w:r>
        <w:rPr>
          <w:rFonts w:hint="eastAsia" w:ascii="仿宋_GB2312" w:hAnsi="仿宋_GB2312" w:eastAsia="仿宋_GB2312" w:cs="仿宋_GB2312"/>
          <w:i w:val="0"/>
          <w:caps w:val="0"/>
          <w:color w:val="333333"/>
          <w:spacing w:val="0"/>
          <w:sz w:val="32"/>
          <w:szCs w:val="32"/>
          <w:shd w:val="clear" w:fill="FFFFFF"/>
          <w:vertAlign w:val="baseline"/>
          <w:lang w:eastAsia="zh-CN"/>
        </w:rPr>
        <w:t>生产及</w:t>
      </w:r>
      <w:r>
        <w:rPr>
          <w:rFonts w:hint="eastAsia" w:ascii="仿宋_GB2312" w:hAnsi="仿宋_GB2312" w:eastAsia="仿宋_GB2312" w:cs="仿宋_GB2312"/>
          <w:i w:val="0"/>
          <w:caps w:val="0"/>
          <w:color w:val="333333"/>
          <w:spacing w:val="0"/>
          <w:sz w:val="32"/>
          <w:szCs w:val="32"/>
          <w:shd w:val="clear" w:fill="FFFFFF"/>
          <w:vertAlign w:val="baseline"/>
        </w:rPr>
        <w:t>销售者出示监督抽查通知书、任务文件复印件、抽样人员身份证明，告知被抽样销售者抽查产品范围、抽样方法等内容。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流通领域现场抽样时，应当有</w:t>
      </w:r>
      <w:r>
        <w:rPr>
          <w:rFonts w:hint="eastAsia" w:ascii="仿宋_GB2312" w:hAnsi="仿宋_GB2312" w:eastAsia="仿宋_GB2312" w:cs="仿宋_GB2312"/>
          <w:i w:val="0"/>
          <w:caps w:val="0"/>
          <w:color w:val="333333"/>
          <w:spacing w:val="0"/>
          <w:sz w:val="32"/>
          <w:szCs w:val="32"/>
          <w:shd w:val="clear" w:fill="FFFFFF"/>
          <w:vertAlign w:val="baseline"/>
          <w:lang w:eastAsia="zh-CN"/>
        </w:rPr>
        <w:t>伊宁市市场监督管理局</w:t>
      </w:r>
      <w:r>
        <w:rPr>
          <w:rFonts w:hint="eastAsia" w:ascii="仿宋_GB2312" w:hAnsi="仿宋_GB2312" w:eastAsia="仿宋_GB2312" w:cs="仿宋_GB2312"/>
          <w:i w:val="0"/>
          <w:caps w:val="0"/>
          <w:color w:val="333333"/>
          <w:spacing w:val="0"/>
          <w:sz w:val="32"/>
          <w:szCs w:val="32"/>
          <w:shd w:val="clear" w:fill="FFFFFF"/>
          <w:vertAlign w:val="baseline"/>
        </w:rPr>
        <w:t>行政执法人员参与。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333333"/>
          <w:spacing w:val="0"/>
          <w:sz w:val="32"/>
          <w:szCs w:val="32"/>
          <w:shd w:val="clear" w:fill="FFFFFF"/>
        </w:rPr>
        <w:t>（三）实施要求。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承检机构严格依据《</w:t>
      </w:r>
      <w:r>
        <w:rPr>
          <w:rFonts w:hint="eastAsia" w:ascii="仿宋_GB2312" w:hAnsi="仿宋_GB2312" w:eastAsia="仿宋_GB2312" w:cs="仿宋_GB2312"/>
          <w:i w:val="0"/>
          <w:caps w:val="0"/>
          <w:color w:val="333333"/>
          <w:spacing w:val="0"/>
          <w:sz w:val="32"/>
          <w:szCs w:val="32"/>
          <w:shd w:val="clear" w:fill="FFFFFF"/>
          <w:vertAlign w:val="baseline"/>
          <w:lang w:eastAsia="zh-CN"/>
        </w:rPr>
        <w:t>新疆维吾尔自治区</w:t>
      </w:r>
      <w:r>
        <w:rPr>
          <w:rFonts w:hint="eastAsia" w:ascii="仿宋_GB2312" w:hAnsi="仿宋_GB2312" w:eastAsia="仿宋_GB2312" w:cs="仿宋_GB2312"/>
          <w:i w:val="0"/>
          <w:caps w:val="0"/>
          <w:color w:val="333333"/>
          <w:spacing w:val="0"/>
          <w:sz w:val="32"/>
          <w:szCs w:val="32"/>
          <w:shd w:val="clear" w:fill="FFFFFF"/>
          <w:vertAlign w:val="baseline"/>
        </w:rPr>
        <w:t>产品质量监督抽查工作实施办法（试行）》及相关产品质量抽检方案完成抽样、检验、文件寄送等工作。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333333"/>
          <w:spacing w:val="0"/>
          <w:sz w:val="32"/>
          <w:szCs w:val="32"/>
          <w:shd w:val="clear" w:fill="FFFFFF"/>
          <w:vertAlign w:val="baseline"/>
        </w:rPr>
        <w:t>有下列情形之一的，不得抽样：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1.不属于被抽查产品类别、不用于销售或者只用于出口并且出口合同对产品质量另有约定的。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2.产品或者其包装上标注“试制”“处理”“样品”等字样的。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3.产品的数量或者状态不符合抽样要求的。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4.其他不得抽样的情形。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承检机构违反上述要求的，所抽样品无效；被抽样销售者有权拒绝违反上述要求的抽样行为。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对拒绝依法进行产品质量监督抽查的被抽样销售者，我局将依据《中华人民共和国产品质量法》《产品质量监督抽查管理暂行办法》相关规定处理并逐级上报情况。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333333"/>
          <w:spacing w:val="0"/>
          <w:sz w:val="32"/>
          <w:szCs w:val="32"/>
          <w:shd w:val="clear" w:fill="FFFFFF"/>
        </w:rPr>
        <w:t>二、经费拨付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监督抽查所需样品的抽取、购买、运输、检验以及处置等工作费用，由</w:t>
      </w:r>
      <w:r>
        <w:rPr>
          <w:rFonts w:hint="eastAsia" w:ascii="仿宋_GB2312" w:hAnsi="仿宋_GB2312" w:eastAsia="仿宋_GB2312" w:cs="仿宋_GB2312"/>
          <w:i w:val="0"/>
          <w:caps w:val="0"/>
          <w:color w:val="333333"/>
          <w:spacing w:val="0"/>
          <w:sz w:val="32"/>
          <w:szCs w:val="32"/>
          <w:shd w:val="clear" w:fill="FFFFFF"/>
          <w:vertAlign w:val="baseline"/>
          <w:lang w:eastAsia="zh-CN"/>
        </w:rPr>
        <w:t>伊宁市</w:t>
      </w:r>
      <w:r>
        <w:rPr>
          <w:rFonts w:hint="eastAsia" w:ascii="仿宋_GB2312" w:hAnsi="仿宋_GB2312" w:eastAsia="仿宋_GB2312" w:cs="仿宋_GB2312"/>
          <w:i w:val="0"/>
          <w:caps w:val="0"/>
          <w:color w:val="333333"/>
          <w:spacing w:val="0"/>
          <w:sz w:val="32"/>
          <w:szCs w:val="32"/>
          <w:shd w:val="clear" w:fill="FFFFFF"/>
          <w:vertAlign w:val="baseline"/>
        </w:rPr>
        <w:t>监督检查经费予以保障。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（一）买样费拨付。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检验样品应当以购买方式获得。不以破坏性试验方式进行检验，并且不会对样品质量造成实质性影响以及被抽样生产销售者自愿无偿提供样品的除外。备用样品由被抽样销售者先行无偿提供，需启用备用样品进行复检的，另行付费。购买价格以被抽样者标价为准，没有标价的，以同类产品市场价格或者被抽样者近期销售价格为准。被抽样销售者应当提供销售发票或者收据等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样品购买费用先由承检机构进行支付，</w:t>
      </w:r>
      <w:r>
        <w:rPr>
          <w:rFonts w:hint="eastAsia" w:ascii="仿宋_GB2312" w:hAnsi="仿宋_GB2312" w:eastAsia="仿宋_GB2312" w:cs="仿宋_GB2312"/>
          <w:i w:val="0"/>
          <w:caps w:val="0"/>
          <w:color w:val="333333"/>
          <w:spacing w:val="0"/>
          <w:sz w:val="32"/>
          <w:szCs w:val="32"/>
          <w:shd w:val="clear" w:fill="FFFFFF"/>
          <w:vertAlign w:val="baseline"/>
          <w:lang w:eastAsia="zh-CN"/>
        </w:rPr>
        <w:t>伊宁市市场监督管理局</w:t>
      </w:r>
      <w:r>
        <w:rPr>
          <w:rFonts w:hint="eastAsia" w:ascii="仿宋_GB2312" w:hAnsi="仿宋_GB2312" w:eastAsia="仿宋_GB2312" w:cs="仿宋_GB2312"/>
          <w:i w:val="0"/>
          <w:caps w:val="0"/>
          <w:color w:val="333333"/>
          <w:spacing w:val="0"/>
          <w:sz w:val="32"/>
          <w:szCs w:val="32"/>
          <w:shd w:val="clear" w:fill="FFFFFF"/>
          <w:vertAlign w:val="baseline"/>
        </w:rPr>
        <w:t>将在检验工作完成后统一拨付样品购买费用。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（二）检验费拨付。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监督抽查</w:t>
      </w:r>
      <w:r>
        <w:rPr>
          <w:rFonts w:hint="eastAsia" w:ascii="仿宋_GB2312" w:hAnsi="仿宋_GB2312" w:eastAsia="仿宋_GB2312" w:cs="仿宋_GB2312"/>
          <w:i w:val="0"/>
          <w:caps w:val="0"/>
          <w:color w:val="333333"/>
          <w:spacing w:val="0"/>
          <w:sz w:val="32"/>
          <w:szCs w:val="32"/>
          <w:shd w:val="clear" w:fill="FFFFFF"/>
          <w:vertAlign w:val="baseline"/>
          <w:lang w:eastAsia="zh-CN"/>
        </w:rPr>
        <w:t>，</w:t>
      </w:r>
      <w:r>
        <w:rPr>
          <w:rFonts w:hint="eastAsia" w:ascii="仿宋_GB2312" w:hAnsi="仿宋_GB2312" w:eastAsia="仿宋_GB2312" w:cs="仿宋_GB2312"/>
          <w:i w:val="0"/>
          <w:caps w:val="0"/>
          <w:color w:val="333333"/>
          <w:spacing w:val="0"/>
          <w:sz w:val="32"/>
          <w:szCs w:val="32"/>
          <w:shd w:val="clear" w:fill="FFFFFF"/>
          <w:vertAlign w:val="baseline"/>
        </w:rPr>
        <w:t>各单位一律不得向被抽查者收取检验费用，</w:t>
      </w:r>
      <w:r>
        <w:rPr>
          <w:rFonts w:hint="eastAsia" w:ascii="仿宋_GB2312" w:hAnsi="仿宋_GB2312" w:eastAsia="仿宋_GB2312" w:cs="仿宋_GB2312"/>
          <w:i w:val="0"/>
          <w:caps w:val="0"/>
          <w:color w:val="333333"/>
          <w:spacing w:val="0"/>
          <w:sz w:val="32"/>
          <w:szCs w:val="32"/>
          <w:shd w:val="clear" w:fill="FFFFFF"/>
          <w:vertAlign w:val="baseline"/>
          <w:lang w:eastAsia="zh-CN"/>
        </w:rPr>
        <w:t>伊宁市市监局</w:t>
      </w:r>
      <w:r>
        <w:rPr>
          <w:rFonts w:hint="eastAsia" w:ascii="仿宋_GB2312" w:hAnsi="仿宋_GB2312" w:eastAsia="仿宋_GB2312" w:cs="仿宋_GB2312"/>
          <w:i w:val="0"/>
          <w:caps w:val="0"/>
          <w:color w:val="333333"/>
          <w:spacing w:val="0"/>
          <w:sz w:val="32"/>
          <w:szCs w:val="32"/>
          <w:shd w:val="clear" w:fill="FFFFFF"/>
          <w:vertAlign w:val="baseline"/>
        </w:rPr>
        <w:t>将在检验工作完成后，根据任务完成情况，统一拨付检验费用。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rPr>
          <w:rFonts w:hint="eastAsia" w:ascii="黑体" w:hAnsi="黑体" w:eastAsia="黑体" w:cs="黑体"/>
          <w:b/>
          <w:bCs/>
          <w:sz w:val="32"/>
          <w:szCs w:val="32"/>
        </w:rPr>
      </w:pPr>
      <w:r>
        <w:rPr>
          <w:rFonts w:hint="eastAsia" w:ascii="黑体" w:hAnsi="黑体" w:eastAsia="黑体" w:cs="黑体"/>
          <w:b/>
          <w:bCs/>
          <w:i w:val="0"/>
          <w:caps w:val="0"/>
          <w:color w:val="333333"/>
          <w:spacing w:val="0"/>
          <w:sz w:val="32"/>
          <w:szCs w:val="32"/>
          <w:shd w:val="clear" w:fill="FFFFFF"/>
        </w:rPr>
        <w:t>三、工作要求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（一）强化监管执法。各所要配合好抽样工作，严厉查办销售假冒伪劣和不合格产（商）品违法案件；对经抽检并依法认定为不合格的产（商）品，依法予以立案处罚。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（二）规范抽检程序。承检机构要加强对监督抽查工作的管理，严格依据《产品质量监督抽查管理暂行办法》要求，密切配合，共同完成监督抽查任务。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1.规范管理抽样过程，抽样人员对抽样的整个过程应当采用拍照或录像等方式进行现场取证，并与检验报告一起存档备查。同时，鼓励采用更先进的信息化技术记录抽样过程和保存证据。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2.承检机构应高度重视检验工作，确保检验结果真实、准确，工作过程中发现的问题应及时上报</w:t>
      </w:r>
      <w:r>
        <w:rPr>
          <w:rFonts w:hint="eastAsia" w:ascii="仿宋_GB2312" w:hAnsi="仿宋_GB2312" w:eastAsia="仿宋_GB2312" w:cs="仿宋_GB2312"/>
          <w:i w:val="0"/>
          <w:caps w:val="0"/>
          <w:color w:val="333333"/>
          <w:spacing w:val="0"/>
          <w:sz w:val="32"/>
          <w:szCs w:val="32"/>
          <w:shd w:val="clear" w:fill="FFFFFF"/>
          <w:vertAlign w:val="baseline"/>
          <w:lang w:eastAsia="zh-CN"/>
        </w:rPr>
        <w:t>伊宁市市场监督管理局</w:t>
      </w:r>
      <w:r>
        <w:rPr>
          <w:rFonts w:hint="eastAsia" w:ascii="仿宋_GB2312" w:hAnsi="仿宋_GB2312" w:eastAsia="仿宋_GB2312" w:cs="仿宋_GB2312"/>
          <w:i w:val="0"/>
          <w:caps w:val="0"/>
          <w:color w:val="333333"/>
          <w:spacing w:val="0"/>
          <w:sz w:val="32"/>
          <w:szCs w:val="32"/>
          <w:shd w:val="clear" w:fill="FFFFFF"/>
          <w:vertAlign w:val="baseline"/>
        </w:rPr>
        <w:t>。提升工作效率，做到“即抽即检”</w:t>
      </w:r>
      <w:r>
        <w:rPr>
          <w:rFonts w:hint="eastAsia" w:ascii="仿宋_GB2312" w:hAnsi="仿宋_GB2312" w:eastAsia="仿宋_GB2312" w:cs="仿宋_GB2312"/>
          <w:i w:val="0"/>
          <w:caps w:val="0"/>
          <w:color w:val="333333"/>
          <w:spacing w:val="0"/>
          <w:sz w:val="32"/>
          <w:szCs w:val="32"/>
          <w:shd w:val="clear" w:fill="FFFFFF"/>
          <w:vertAlign w:val="baseline"/>
          <w:lang w:eastAsia="zh-CN"/>
        </w:rPr>
        <w:t>、</w:t>
      </w:r>
      <w:r>
        <w:rPr>
          <w:rFonts w:hint="eastAsia" w:ascii="仿宋_GB2312" w:hAnsi="仿宋_GB2312" w:eastAsia="仿宋_GB2312" w:cs="仿宋_GB2312"/>
          <w:i w:val="0"/>
          <w:caps w:val="0"/>
          <w:color w:val="333333"/>
          <w:spacing w:val="0"/>
          <w:sz w:val="32"/>
          <w:szCs w:val="32"/>
          <w:shd w:val="clear" w:fill="FFFFFF"/>
          <w:vertAlign w:val="baseline"/>
        </w:rPr>
        <w:t>“即检即报告”</w:t>
      </w:r>
      <w:r>
        <w:rPr>
          <w:rFonts w:hint="eastAsia" w:ascii="仿宋_GB2312" w:hAnsi="仿宋_GB2312" w:eastAsia="仿宋_GB2312" w:cs="仿宋_GB2312"/>
          <w:i w:val="0"/>
          <w:caps w:val="0"/>
          <w:color w:val="333333"/>
          <w:spacing w:val="0"/>
          <w:sz w:val="32"/>
          <w:szCs w:val="32"/>
          <w:shd w:val="clear" w:fill="FFFFFF"/>
          <w:vertAlign w:val="baseline"/>
          <w:lang w:eastAsia="zh-CN"/>
        </w:rPr>
        <w:t>、</w:t>
      </w:r>
      <w:r>
        <w:rPr>
          <w:rFonts w:hint="eastAsia" w:ascii="仿宋_GB2312" w:hAnsi="仿宋_GB2312" w:eastAsia="仿宋_GB2312" w:cs="仿宋_GB2312"/>
          <w:i w:val="0"/>
          <w:caps w:val="0"/>
          <w:color w:val="333333"/>
          <w:spacing w:val="0"/>
          <w:sz w:val="32"/>
          <w:szCs w:val="32"/>
          <w:shd w:val="clear" w:fill="FFFFFF"/>
          <w:vertAlign w:val="baseline"/>
        </w:rPr>
        <w:t>“即报告即寄送”，抽样后第一时间开展检验，检验完成后第一时间出具检验报告，检验报告出具后第一时间寄送抽查结果，为查处质量违法行为争取时间。监督抽查承检机构的监督检验结果材料报送时间根据</w:t>
      </w:r>
      <w:r>
        <w:rPr>
          <w:rFonts w:hint="eastAsia" w:ascii="仿宋_GB2312" w:hAnsi="仿宋_GB2312" w:eastAsia="仿宋_GB2312" w:cs="仿宋_GB2312"/>
          <w:i w:val="0"/>
          <w:caps w:val="0"/>
          <w:color w:val="333333"/>
          <w:spacing w:val="0"/>
          <w:sz w:val="32"/>
          <w:szCs w:val="32"/>
          <w:shd w:val="clear" w:fill="FFFFFF"/>
          <w:vertAlign w:val="baseline"/>
          <w:lang w:eastAsia="zh-CN"/>
        </w:rPr>
        <w:t>自治区</w:t>
      </w:r>
      <w:r>
        <w:rPr>
          <w:rFonts w:hint="eastAsia" w:ascii="仿宋_GB2312" w:hAnsi="仿宋_GB2312" w:eastAsia="仿宋_GB2312" w:cs="仿宋_GB2312"/>
          <w:i w:val="0"/>
          <w:caps w:val="0"/>
          <w:color w:val="333333"/>
          <w:spacing w:val="0"/>
          <w:sz w:val="32"/>
          <w:szCs w:val="32"/>
          <w:shd w:val="clear" w:fill="FFFFFF"/>
          <w:vertAlign w:val="baseline"/>
        </w:rPr>
        <w:t>产品质量监督抽查管理系统任务下达要求进行，并将检验结果数据录入</w:t>
      </w:r>
      <w:r>
        <w:rPr>
          <w:rFonts w:hint="eastAsia" w:ascii="仿宋_GB2312" w:hAnsi="仿宋_GB2312" w:eastAsia="仿宋_GB2312" w:cs="仿宋_GB2312"/>
          <w:i w:val="0"/>
          <w:caps w:val="0"/>
          <w:color w:val="333333"/>
          <w:spacing w:val="0"/>
          <w:sz w:val="32"/>
          <w:szCs w:val="32"/>
          <w:shd w:val="clear" w:fill="FFFFFF"/>
          <w:vertAlign w:val="baseline"/>
          <w:lang w:eastAsia="zh-CN"/>
        </w:rPr>
        <w:t>自治区</w:t>
      </w:r>
      <w:r>
        <w:rPr>
          <w:rFonts w:hint="eastAsia" w:ascii="仿宋_GB2312" w:hAnsi="仿宋_GB2312" w:eastAsia="仿宋_GB2312" w:cs="仿宋_GB2312"/>
          <w:i w:val="0"/>
          <w:caps w:val="0"/>
          <w:color w:val="333333"/>
          <w:spacing w:val="0"/>
          <w:sz w:val="32"/>
          <w:szCs w:val="32"/>
          <w:shd w:val="clear" w:fill="FFFFFF"/>
          <w:vertAlign w:val="baseline"/>
        </w:rPr>
        <w:t>产品质量监督抽查管理系统”，同时将监督抽查检测报告、抽样汇总表、监督抽查总结等材料按要求一并报送至我局。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3.承检机构在执行计划前应当确认相关产品评价规则的有效性，对使用过程中发现的问题要及时上报我局。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320" w:firstLineChars="1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（三）严格组织纪律。遵守廉政建设和行风建设的各项规定，做好抽检任务的保密工作，不得向被抽样销售者通风报信，一旦发现严肃处理</w:t>
      </w:r>
      <w:r>
        <w:rPr>
          <w:rFonts w:hint="eastAsia" w:ascii="仿宋_GB2312" w:hAnsi="仿宋_GB2312" w:eastAsia="仿宋_GB2312" w:cs="仿宋_GB2312"/>
          <w:i w:val="0"/>
          <w:caps w:val="0"/>
          <w:color w:val="333333"/>
          <w:spacing w:val="0"/>
          <w:sz w:val="32"/>
          <w:szCs w:val="32"/>
          <w:shd w:val="clear" w:fill="FFFFFF"/>
          <w:vertAlign w:val="baseline"/>
          <w:lang w:eastAsia="zh-CN"/>
        </w:rPr>
        <w:t>；</w:t>
      </w:r>
      <w:r>
        <w:rPr>
          <w:rFonts w:hint="eastAsia" w:ascii="仿宋_GB2312" w:hAnsi="仿宋_GB2312" w:eastAsia="仿宋_GB2312" w:cs="仿宋_GB2312"/>
          <w:i w:val="0"/>
          <w:caps w:val="0"/>
          <w:color w:val="333333"/>
          <w:spacing w:val="0"/>
          <w:sz w:val="32"/>
          <w:szCs w:val="32"/>
          <w:shd w:val="clear" w:fill="FFFFFF"/>
          <w:vertAlign w:val="baseline"/>
        </w:rPr>
        <w:t>做好监督抽查结果信息的管理，不得擅自发布、泄露监督抽查结果及相关信息。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default" w:ascii="仿宋_GB2312" w:hAnsi="仿宋_GB2312" w:eastAsia="仿宋_GB2312" w:cs="仿宋_GB2312"/>
          <w:sz w:val="32"/>
          <w:szCs w:val="32"/>
          <w:lang w:val="en-US"/>
        </w:rPr>
      </w:pPr>
      <w:r>
        <w:rPr>
          <w:rFonts w:hint="eastAsia" w:ascii="仿宋_GB2312" w:hAnsi="仿宋_GB2312" w:eastAsia="仿宋_GB2312" w:cs="仿宋_GB2312"/>
          <w:i w:val="0"/>
          <w:caps w:val="0"/>
          <w:color w:val="333333"/>
          <w:spacing w:val="0"/>
          <w:sz w:val="32"/>
          <w:szCs w:val="32"/>
          <w:shd w:val="clear" w:fill="FFFFFF"/>
          <w:vertAlign w:val="baseline"/>
        </w:rPr>
        <w:t>联系人：</w:t>
      </w:r>
      <w:r>
        <w:rPr>
          <w:rFonts w:hint="eastAsia" w:ascii="仿宋_GB2312" w:hAnsi="仿宋_GB2312" w:eastAsia="仿宋_GB2312" w:cs="仿宋_GB2312"/>
          <w:i w:val="0"/>
          <w:caps w:val="0"/>
          <w:color w:val="333333"/>
          <w:spacing w:val="0"/>
          <w:sz w:val="32"/>
          <w:szCs w:val="32"/>
          <w:shd w:val="clear" w:fill="FFFFFF"/>
          <w:vertAlign w:val="baseline"/>
          <w:lang w:eastAsia="zh-CN"/>
        </w:rPr>
        <w:t>苏显慧</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 xml:space="preserve">          </w:t>
      </w:r>
      <w:r>
        <w:rPr>
          <w:rFonts w:hint="eastAsia" w:ascii="仿宋_GB2312" w:hAnsi="仿宋_GB2312" w:eastAsia="仿宋_GB2312" w:cs="仿宋_GB2312"/>
          <w:i w:val="0"/>
          <w:caps w:val="0"/>
          <w:color w:val="333333"/>
          <w:spacing w:val="0"/>
          <w:sz w:val="32"/>
          <w:szCs w:val="32"/>
          <w:shd w:val="clear" w:fill="FFFFFF"/>
          <w:vertAlign w:val="baseline"/>
        </w:rPr>
        <w:t>电话：</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13709994880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rPr>
          <w:rFonts w:hint="eastAsia" w:ascii="仿宋_GB2312" w:hAnsi="仿宋_GB2312" w:eastAsia="仿宋_GB2312" w:cs="仿宋_GB2312"/>
          <w:i w:val="0"/>
          <w:caps w:val="0"/>
          <w:color w:val="333333"/>
          <w:spacing w:val="0"/>
          <w:sz w:val="32"/>
          <w:szCs w:val="32"/>
          <w:shd w:val="clear" w:fill="FFFFFF"/>
          <w:vertAlign w:val="baseline"/>
        </w:rPr>
      </w:pPr>
      <w:r>
        <w:rPr>
          <w:rFonts w:hint="eastAsia" w:ascii="仿宋_GB2312" w:hAnsi="仿宋_GB2312" w:eastAsia="仿宋_GB2312" w:cs="仿宋_GB2312"/>
          <w:i w:val="0"/>
          <w:caps w:val="0"/>
          <w:color w:val="333333"/>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附件：</w:t>
      </w:r>
      <w:r>
        <w:rPr>
          <w:rFonts w:hint="eastAsia" w:ascii="仿宋_GB2312" w:hAnsi="仿宋_GB2312" w:eastAsia="仿宋_GB2312" w:cs="仿宋_GB2312"/>
          <w:i w:val="0"/>
          <w:caps w:val="0"/>
          <w:color w:val="333333"/>
          <w:spacing w:val="0"/>
          <w:sz w:val="32"/>
          <w:szCs w:val="32"/>
          <w:shd w:val="clear" w:fill="FFFFFF"/>
          <w:vertAlign w:val="baseline"/>
          <w:lang w:eastAsia="zh-CN"/>
        </w:rPr>
        <w:t>伊宁市</w:t>
      </w:r>
      <w:r>
        <w:rPr>
          <w:rFonts w:hint="eastAsia" w:ascii="仿宋_GB2312" w:hAnsi="仿宋_GB2312" w:eastAsia="仿宋_GB2312" w:cs="仿宋_GB2312"/>
          <w:i w:val="0"/>
          <w:caps w:val="0"/>
          <w:color w:val="333333"/>
          <w:spacing w:val="0"/>
          <w:sz w:val="32"/>
          <w:szCs w:val="32"/>
          <w:shd w:val="clear" w:fill="FFFFFF"/>
          <w:vertAlign w:val="baseline"/>
        </w:rPr>
        <w:t>202</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4</w:t>
      </w:r>
      <w:r>
        <w:rPr>
          <w:rFonts w:hint="eastAsia" w:ascii="仿宋_GB2312" w:hAnsi="仿宋_GB2312" w:eastAsia="仿宋_GB2312" w:cs="仿宋_GB2312"/>
          <w:i w:val="0"/>
          <w:caps w:val="0"/>
          <w:color w:val="333333"/>
          <w:spacing w:val="0"/>
          <w:sz w:val="32"/>
          <w:szCs w:val="32"/>
          <w:shd w:val="clear" w:fill="FFFFFF"/>
          <w:vertAlign w:val="baseline"/>
        </w:rPr>
        <w:t>年产（商）品质量监督抽计划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rPr>
          <w:rFonts w:hint="eastAsia" w:ascii="仿宋_GB2312" w:hAnsi="仿宋_GB2312" w:eastAsia="仿宋_GB2312" w:cs="仿宋_GB2312"/>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rPr>
          <w:rFonts w:hint="eastAsia" w:ascii="仿宋_GB2312" w:hAnsi="仿宋_GB2312" w:eastAsia="仿宋_GB2312" w:cs="仿宋_GB2312"/>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rPr>
          <w:rFonts w:hint="eastAsia" w:ascii="仿宋_GB2312" w:hAnsi="仿宋_GB2312" w:eastAsia="仿宋_GB2312" w:cs="仿宋_GB2312"/>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rPr>
          <w:rFonts w:hint="eastAsia" w:ascii="仿宋_GB2312" w:hAnsi="仿宋_GB2312" w:eastAsia="仿宋_GB2312" w:cs="仿宋_GB2312"/>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rPr>
          <w:rFonts w:hint="eastAsia" w:ascii="仿宋_GB2312" w:hAnsi="仿宋_GB2312" w:eastAsia="仿宋_GB2312" w:cs="仿宋_GB2312"/>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rPr>
          <w:rFonts w:hint="eastAsia" w:ascii="仿宋_GB2312" w:hAnsi="仿宋_GB2312" w:eastAsia="仿宋_GB2312" w:cs="仿宋_GB2312"/>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rPr>
          <w:rFonts w:hint="eastAsia" w:ascii="仿宋_GB2312" w:hAnsi="仿宋_GB2312" w:eastAsia="仿宋_GB2312" w:cs="仿宋_GB2312"/>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rPr>
          <w:rFonts w:hint="eastAsia" w:ascii="仿宋_GB2312" w:hAnsi="仿宋_GB2312" w:eastAsia="仿宋_GB2312" w:cs="仿宋_GB2312"/>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rPr>
          <w:rFonts w:hint="eastAsia" w:ascii="仿宋_GB2312" w:hAnsi="仿宋_GB2312" w:eastAsia="仿宋_GB2312" w:cs="仿宋_GB2312"/>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rPr>
          <w:rFonts w:hint="eastAsia" w:ascii="仿宋_GB2312" w:hAnsi="仿宋_GB2312" w:eastAsia="仿宋_GB2312" w:cs="仿宋_GB2312"/>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rPr>
          <w:rFonts w:hint="eastAsia" w:ascii="仿宋_GB2312" w:hAnsi="仿宋_GB2312" w:eastAsia="仿宋_GB2312" w:cs="仿宋_GB2312"/>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4480" w:firstLineChars="14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vertAlign w:val="baseline"/>
          <w:lang w:eastAsia="zh-CN"/>
        </w:rPr>
        <w:t>伊宁市</w:t>
      </w:r>
      <w:r>
        <w:rPr>
          <w:rFonts w:hint="eastAsia" w:ascii="仿宋_GB2312" w:hAnsi="仿宋_GB2312" w:eastAsia="仿宋_GB2312" w:cs="仿宋_GB2312"/>
          <w:i w:val="0"/>
          <w:caps w:val="0"/>
          <w:color w:val="333333"/>
          <w:spacing w:val="0"/>
          <w:sz w:val="32"/>
          <w:szCs w:val="32"/>
          <w:shd w:val="clear" w:fill="FFFFFF"/>
          <w:vertAlign w:val="baseline"/>
        </w:rPr>
        <w:t>市场监督管理局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5120" w:firstLineChars="1600"/>
        <w:jc w:val="both"/>
        <w:textAlignment w:val="baseline"/>
        <w:rPr>
          <w:rFonts w:hint="eastAsia" w:ascii="仿宋_GB2312" w:hAnsi="仿宋_GB2312" w:eastAsia="仿宋_GB2312" w:cs="仿宋_GB2312"/>
          <w:i w:val="0"/>
          <w:caps w:val="0"/>
          <w:color w:val="333333"/>
          <w:spacing w:val="0"/>
          <w:sz w:val="32"/>
          <w:szCs w:val="32"/>
          <w:shd w:val="clear" w:fill="FFFFFF"/>
          <w:vertAlign w:val="baseline"/>
        </w:rPr>
      </w:pPr>
      <w:r>
        <w:rPr>
          <w:rFonts w:hint="eastAsia" w:ascii="仿宋_GB2312" w:hAnsi="仿宋_GB2312" w:eastAsia="仿宋_GB2312" w:cs="仿宋_GB2312"/>
          <w:i w:val="0"/>
          <w:caps w:val="0"/>
          <w:color w:val="333333"/>
          <w:spacing w:val="0"/>
          <w:sz w:val="32"/>
          <w:szCs w:val="32"/>
          <w:shd w:val="clear" w:fill="FFFFFF"/>
          <w:vertAlign w:val="baseline"/>
        </w:rPr>
        <w:t>202</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4</w:t>
      </w:r>
      <w:r>
        <w:rPr>
          <w:rFonts w:hint="eastAsia" w:ascii="仿宋_GB2312" w:hAnsi="仿宋_GB2312" w:eastAsia="仿宋_GB2312" w:cs="仿宋_GB2312"/>
          <w:i w:val="0"/>
          <w:caps w:val="0"/>
          <w:color w:val="333333"/>
          <w:spacing w:val="0"/>
          <w:sz w:val="32"/>
          <w:szCs w:val="32"/>
          <w:shd w:val="clear" w:fill="FFFFFF"/>
          <w:vertAlign w:val="baseline"/>
        </w:rPr>
        <w:t>年</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8</w:t>
      </w:r>
      <w:r>
        <w:rPr>
          <w:rFonts w:hint="eastAsia" w:ascii="仿宋_GB2312" w:hAnsi="仿宋_GB2312" w:eastAsia="仿宋_GB2312" w:cs="仿宋_GB2312"/>
          <w:i w:val="0"/>
          <w:caps w:val="0"/>
          <w:color w:val="333333"/>
          <w:spacing w:val="0"/>
          <w:sz w:val="32"/>
          <w:szCs w:val="32"/>
          <w:shd w:val="clear" w:fill="FFFFFF"/>
          <w:vertAlign w:val="baseline"/>
        </w:rPr>
        <w:t>月</w:t>
      </w:r>
      <w:r>
        <w:rPr>
          <w:rFonts w:hint="eastAsia" w:ascii="仿宋_GB2312" w:hAnsi="仿宋_GB2312" w:eastAsia="仿宋_GB2312" w:cs="仿宋_GB2312"/>
          <w:i w:val="0"/>
          <w:caps w:val="0"/>
          <w:color w:val="333333"/>
          <w:spacing w:val="0"/>
          <w:sz w:val="32"/>
          <w:szCs w:val="32"/>
          <w:shd w:val="clear" w:fill="FFFFFF"/>
          <w:vertAlign w:val="baseline"/>
          <w:lang w:val="en-US" w:eastAsia="zh-CN"/>
        </w:rPr>
        <w:t>7</w:t>
      </w:r>
      <w:r>
        <w:rPr>
          <w:rFonts w:hint="eastAsia" w:ascii="仿宋_GB2312" w:hAnsi="仿宋_GB2312" w:eastAsia="仿宋_GB2312" w:cs="仿宋_GB2312"/>
          <w:i w:val="0"/>
          <w:caps w:val="0"/>
          <w:color w:val="333333"/>
          <w:spacing w:val="0"/>
          <w:sz w:val="32"/>
          <w:szCs w:val="32"/>
          <w:shd w:val="clear" w:fill="FFFFFF"/>
          <w:vertAlign w:val="baseline"/>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4485"/>
        <w:jc w:val="both"/>
        <w:textAlignment w:val="baseline"/>
        <w:rPr>
          <w:rFonts w:hint="eastAsia" w:ascii="仿宋_GB2312" w:hAnsi="仿宋_GB2312" w:eastAsia="仿宋_GB2312" w:cs="仿宋_GB2312"/>
          <w:i w:val="0"/>
          <w:caps w:val="0"/>
          <w:color w:val="333333"/>
          <w:spacing w:val="0"/>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4485"/>
        <w:jc w:val="both"/>
        <w:textAlignment w:val="baseline"/>
        <w:rPr>
          <w:rFonts w:hint="eastAsia" w:ascii="仿宋_GB2312" w:hAnsi="仿宋_GB2312" w:eastAsia="仿宋_GB2312" w:cs="仿宋_GB2312"/>
          <w:i w:val="0"/>
          <w:caps w:val="0"/>
          <w:color w:val="333333"/>
          <w:spacing w:val="0"/>
          <w:sz w:val="32"/>
          <w:szCs w:val="32"/>
          <w:shd w:val="clear" w:fill="FFFFFF"/>
          <w:vertAlign w:val="baseline"/>
        </w:rPr>
      </w:pPr>
    </w:p>
    <w:tbl>
      <w:tblPr>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30"/>
        <w:gridCol w:w="1350"/>
        <w:gridCol w:w="2309"/>
        <w:gridCol w:w="1027"/>
        <w:gridCol w:w="460"/>
        <w:gridCol w:w="750"/>
        <w:gridCol w:w="805"/>
        <w:gridCol w:w="597"/>
        <w:gridCol w:w="693"/>
        <w:gridCol w:w="550"/>
        <w:gridCol w:w="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10" w:hRule="atLeast"/>
        </w:trPr>
        <w:tc>
          <w:tcPr>
            <w:tcW w:w="9600" w:type="dxa"/>
            <w:gridSpan w:val="11"/>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40"/>
                <w:szCs w:val="40"/>
                <w:u w:val="none"/>
              </w:rPr>
            </w:pPr>
            <w:r>
              <w:rPr>
                <w:rFonts w:hint="eastAsia" w:ascii="仿宋_GB2312" w:hAnsi="宋体" w:eastAsia="仿宋_GB2312" w:cs="仿宋_GB2312"/>
                <w:b/>
                <w:i w:val="0"/>
                <w:color w:val="000000"/>
                <w:kern w:val="0"/>
                <w:sz w:val="40"/>
                <w:szCs w:val="40"/>
                <w:u w:val="none"/>
                <w:bdr w:val="none" w:color="auto" w:sz="0" w:space="0"/>
                <w:lang w:val="en-US" w:eastAsia="zh-CN" w:bidi="ar"/>
              </w:rPr>
              <w:t>监督抽查专项检测预算明细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3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产品名称、检验依据</w:t>
            </w: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项目</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单项收费项目（元）</w:t>
            </w:r>
          </w:p>
        </w:tc>
        <w:tc>
          <w:tcPr>
            <w:tcW w:w="4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批次</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单批次检验费（元）</w:t>
            </w:r>
          </w:p>
        </w:tc>
        <w:tc>
          <w:tcPr>
            <w:tcW w:w="8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合计（元）</w:t>
            </w:r>
          </w:p>
        </w:tc>
        <w:tc>
          <w:tcPr>
            <w:tcW w:w="5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样品单价</w:t>
            </w:r>
          </w:p>
        </w:tc>
        <w:tc>
          <w:tcPr>
            <w:tcW w:w="69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购买样品费用</w:t>
            </w:r>
          </w:p>
        </w:tc>
        <w:tc>
          <w:tcPr>
            <w:tcW w:w="5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检验机构</w:t>
            </w:r>
          </w:p>
        </w:tc>
        <w:tc>
          <w:tcPr>
            <w:tcW w:w="72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3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w:t>
            </w:r>
          </w:p>
        </w:tc>
        <w:tc>
          <w:tcPr>
            <w:tcW w:w="1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化肥GB/T 15063-2020等</w:t>
            </w: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总养分（N+P</w:t>
            </w:r>
            <w:r>
              <w:rPr>
                <w:rFonts w:hint="eastAsia" w:ascii="仿宋_GB2312" w:hAnsi="宋体" w:eastAsia="仿宋_GB2312" w:cs="仿宋_GB2312"/>
                <w:i w:val="0"/>
                <w:color w:val="000000"/>
                <w:kern w:val="0"/>
                <w:sz w:val="24"/>
                <w:szCs w:val="24"/>
                <w:u w:val="none"/>
                <w:bdr w:val="none" w:color="auto" w:sz="0" w:space="0"/>
                <w:vertAlign w:val="subscript"/>
                <w:lang w:val="en-US" w:eastAsia="zh-CN" w:bidi="ar"/>
              </w:rPr>
              <w:t>2</w:t>
            </w:r>
            <w:r>
              <w:rPr>
                <w:rFonts w:hint="eastAsia" w:ascii="仿宋_GB2312" w:hAnsi="宋体" w:eastAsia="仿宋_GB2312" w:cs="仿宋_GB2312"/>
                <w:i w:val="0"/>
                <w:color w:val="000000"/>
                <w:kern w:val="0"/>
                <w:sz w:val="24"/>
                <w:szCs w:val="24"/>
                <w:u w:val="none"/>
                <w:bdr w:val="none" w:color="auto" w:sz="0" w:space="0"/>
                <w:lang w:val="en-US" w:eastAsia="zh-CN" w:bidi="ar"/>
              </w:rPr>
              <w:t>O</w:t>
            </w:r>
            <w:r>
              <w:rPr>
                <w:rFonts w:hint="eastAsia" w:ascii="仿宋_GB2312" w:hAnsi="宋体" w:eastAsia="仿宋_GB2312" w:cs="仿宋_GB2312"/>
                <w:i w:val="0"/>
                <w:color w:val="000000"/>
                <w:kern w:val="0"/>
                <w:sz w:val="24"/>
                <w:szCs w:val="24"/>
                <w:u w:val="none"/>
                <w:bdr w:val="none" w:color="auto" w:sz="0" w:space="0"/>
                <w:vertAlign w:val="subscript"/>
                <w:lang w:val="en-US" w:eastAsia="zh-CN" w:bidi="ar"/>
              </w:rPr>
              <w:t>5</w:t>
            </w:r>
            <w:r>
              <w:rPr>
                <w:rFonts w:hint="eastAsia" w:ascii="仿宋_GB2312" w:hAnsi="宋体" w:eastAsia="仿宋_GB2312" w:cs="仿宋_GB2312"/>
                <w:i w:val="0"/>
                <w:color w:val="000000"/>
                <w:kern w:val="0"/>
                <w:sz w:val="24"/>
                <w:szCs w:val="24"/>
                <w:u w:val="none"/>
                <w:bdr w:val="none" w:color="auto" w:sz="0" w:space="0"/>
                <w:lang w:val="en-US" w:eastAsia="zh-CN" w:bidi="ar"/>
              </w:rPr>
              <w:t>+K</w:t>
            </w:r>
            <w:r>
              <w:rPr>
                <w:rFonts w:hint="eastAsia" w:ascii="仿宋_GB2312" w:hAnsi="宋体" w:eastAsia="仿宋_GB2312" w:cs="仿宋_GB2312"/>
                <w:i w:val="0"/>
                <w:color w:val="000000"/>
                <w:kern w:val="0"/>
                <w:sz w:val="24"/>
                <w:szCs w:val="24"/>
                <w:u w:val="none"/>
                <w:bdr w:val="none" w:color="auto" w:sz="0" w:space="0"/>
                <w:vertAlign w:val="subscript"/>
                <w:lang w:val="en-US" w:eastAsia="zh-CN" w:bidi="ar"/>
              </w:rPr>
              <w:t>2</w:t>
            </w:r>
            <w:r>
              <w:rPr>
                <w:rFonts w:hint="eastAsia" w:ascii="仿宋_GB2312" w:hAnsi="宋体" w:eastAsia="仿宋_GB2312" w:cs="仿宋_GB2312"/>
                <w:i w:val="0"/>
                <w:color w:val="000000"/>
                <w:kern w:val="0"/>
                <w:sz w:val="24"/>
                <w:szCs w:val="24"/>
                <w:u w:val="none"/>
                <w:bdr w:val="none" w:color="auto" w:sz="0" w:space="0"/>
                <w:lang w:val="en-US" w:eastAsia="zh-CN" w:bidi="ar"/>
              </w:rPr>
              <w:t>O）</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700</w:t>
            </w:r>
          </w:p>
        </w:tc>
        <w:tc>
          <w:tcPr>
            <w:tcW w:w="4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w:t>
            </w:r>
          </w:p>
        </w:tc>
        <w:tc>
          <w:tcPr>
            <w:tcW w:w="7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2500</w:t>
            </w:r>
          </w:p>
        </w:tc>
        <w:tc>
          <w:tcPr>
            <w:tcW w:w="8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10000</w:t>
            </w:r>
          </w:p>
        </w:tc>
        <w:tc>
          <w:tcPr>
            <w:tcW w:w="59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50</w:t>
            </w:r>
          </w:p>
        </w:tc>
        <w:tc>
          <w:tcPr>
            <w:tcW w:w="6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200</w:t>
            </w:r>
          </w:p>
        </w:tc>
        <w:tc>
          <w:tcPr>
            <w:tcW w:w="5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伊犁哈萨克自治州检验检测认证研究院</w:t>
            </w:r>
          </w:p>
        </w:tc>
        <w:tc>
          <w:tcPr>
            <w:tcW w:w="72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监督抽查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中量元素含量（钙、镁、硫、钠）</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每项240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微量元素(铜铁锰锌硼钼)</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每项200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重金属（汞、砷、铅、镉、铬）</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每项200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水分</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缩二脲</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180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氯离子</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PH值</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90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制样费</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w:t>
            </w:r>
          </w:p>
        </w:tc>
        <w:tc>
          <w:tcPr>
            <w:tcW w:w="1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商品煤DB65/T032-2019</w:t>
            </w: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发热量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220</w:t>
            </w:r>
          </w:p>
        </w:tc>
        <w:tc>
          <w:tcPr>
            <w:tcW w:w="4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w:t>
            </w:r>
          </w:p>
        </w:tc>
        <w:tc>
          <w:tcPr>
            <w:tcW w:w="7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1255</w:t>
            </w:r>
          </w:p>
        </w:tc>
        <w:tc>
          <w:tcPr>
            <w:tcW w:w="8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5020</w:t>
            </w:r>
          </w:p>
        </w:tc>
        <w:tc>
          <w:tcPr>
            <w:tcW w:w="59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50</w:t>
            </w:r>
          </w:p>
        </w:tc>
        <w:tc>
          <w:tcPr>
            <w:tcW w:w="6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200</w:t>
            </w: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灰分</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120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全硫</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挥发分</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水分含量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210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采样\制样</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w:t>
            </w:r>
          </w:p>
        </w:tc>
        <w:tc>
          <w:tcPr>
            <w:tcW w:w="1350"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聚乙烯吹塑农用地面覆盖薄膜DB65 3189-2014</w:t>
            </w: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厚度及偏差</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50</w:t>
            </w:r>
          </w:p>
        </w:tc>
        <w:tc>
          <w:tcPr>
            <w:tcW w:w="4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w:t>
            </w:r>
          </w:p>
        </w:tc>
        <w:tc>
          <w:tcPr>
            <w:tcW w:w="7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1220</w:t>
            </w:r>
          </w:p>
        </w:tc>
        <w:tc>
          <w:tcPr>
            <w:tcW w:w="8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3660</w:t>
            </w:r>
          </w:p>
        </w:tc>
        <w:tc>
          <w:tcPr>
            <w:tcW w:w="59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100</w:t>
            </w:r>
          </w:p>
        </w:tc>
        <w:tc>
          <w:tcPr>
            <w:tcW w:w="6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300</w:t>
            </w: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宽度及极限偏差</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拉伸强度（纵向）</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拉伸强度（横向）</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断裂伸长率（纵向）</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断裂伸长率（横向）</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直角撕裂（纵向）</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直角撕裂（横向）</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总灰分</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120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制样费</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w:t>
            </w:r>
          </w:p>
        </w:tc>
        <w:tc>
          <w:tcPr>
            <w:tcW w:w="1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绝热用模塑聚苯乙烯泡沫塑料 GB/T 10801.1-2002</w:t>
            </w: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绝热用模塑聚苯乙烯泡沫塑料-导热系数</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400</w:t>
            </w:r>
          </w:p>
        </w:tc>
        <w:tc>
          <w:tcPr>
            <w:tcW w:w="4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w:t>
            </w:r>
          </w:p>
        </w:tc>
        <w:tc>
          <w:tcPr>
            <w:tcW w:w="7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5440</w:t>
            </w:r>
          </w:p>
        </w:tc>
        <w:tc>
          <w:tcPr>
            <w:tcW w:w="8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16320</w:t>
            </w:r>
          </w:p>
        </w:tc>
        <w:tc>
          <w:tcPr>
            <w:tcW w:w="59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100</w:t>
            </w:r>
          </w:p>
        </w:tc>
        <w:tc>
          <w:tcPr>
            <w:tcW w:w="6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300</w:t>
            </w: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绝热用模塑聚苯乙烯泡沫塑料-燃烧增长速率</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1568</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绝热用模塑聚苯乙烯泡沫塑料-烟气生成速率</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1120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绝热用模塑聚苯乙烯泡沫塑料-火焰传播</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1008</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绝热用模塑聚苯乙烯泡沫塑料-总放热量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729</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绝热用模塑聚苯乙烯泡沫塑料-可燃性(B2)</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420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绝热用模塑聚苯乙烯泡沫塑料-压缩强度</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绝热用模塑聚苯乙烯泡沫塑料-尺寸变化率</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绝热用模塑聚苯乙烯泡沫塑料-吸水率</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绝热用模塑聚苯乙烯泡沫塑料-制样费</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w:t>
            </w:r>
          </w:p>
        </w:tc>
        <w:tc>
          <w:tcPr>
            <w:tcW w:w="1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给水用聚乙烯PE管材GB/T13663-2018</w:t>
            </w: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纵向尺寸回缩率</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200</w:t>
            </w:r>
          </w:p>
        </w:tc>
        <w:tc>
          <w:tcPr>
            <w:tcW w:w="4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w:t>
            </w:r>
          </w:p>
        </w:tc>
        <w:tc>
          <w:tcPr>
            <w:tcW w:w="7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1731</w:t>
            </w:r>
          </w:p>
        </w:tc>
        <w:tc>
          <w:tcPr>
            <w:tcW w:w="8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6924</w:t>
            </w:r>
          </w:p>
        </w:tc>
        <w:tc>
          <w:tcPr>
            <w:tcW w:w="59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200</w:t>
            </w:r>
          </w:p>
        </w:tc>
        <w:tc>
          <w:tcPr>
            <w:tcW w:w="6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800</w:t>
            </w: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液压实验</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1200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炭黑含量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465</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氧化诱导时间</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468</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制样费</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6</w:t>
            </w:r>
          </w:p>
        </w:tc>
        <w:tc>
          <w:tcPr>
            <w:tcW w:w="1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烧结普通砖、多孔砖GB13544-2011</w:t>
            </w: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强度</w:t>
            </w:r>
          </w:p>
        </w:tc>
        <w:tc>
          <w:tcPr>
            <w:tcW w:w="1027"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435</w:t>
            </w:r>
          </w:p>
        </w:tc>
        <w:tc>
          <w:tcPr>
            <w:tcW w:w="4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w:t>
            </w:r>
          </w:p>
        </w:tc>
        <w:tc>
          <w:tcPr>
            <w:tcW w:w="7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3660</w:t>
            </w:r>
          </w:p>
        </w:tc>
        <w:tc>
          <w:tcPr>
            <w:tcW w:w="805"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14640</w:t>
            </w:r>
          </w:p>
        </w:tc>
        <w:tc>
          <w:tcPr>
            <w:tcW w:w="59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50</w:t>
            </w:r>
          </w:p>
        </w:tc>
        <w:tc>
          <w:tcPr>
            <w:tcW w:w="6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200</w:t>
            </w: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孔型孔洞率及孔洞排列</w:t>
            </w:r>
          </w:p>
        </w:tc>
        <w:tc>
          <w:tcPr>
            <w:tcW w:w="1027"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60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泛霜</w:t>
            </w:r>
          </w:p>
        </w:tc>
        <w:tc>
          <w:tcPr>
            <w:tcW w:w="1027"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175</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石灰爆裂</w:t>
            </w:r>
          </w:p>
        </w:tc>
        <w:tc>
          <w:tcPr>
            <w:tcW w:w="1027"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抗风化性能（冻融）</w:t>
            </w:r>
          </w:p>
        </w:tc>
        <w:tc>
          <w:tcPr>
            <w:tcW w:w="1027"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570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吸水率、饱和系数</w:t>
            </w:r>
          </w:p>
        </w:tc>
        <w:tc>
          <w:tcPr>
            <w:tcW w:w="1027"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密度等级</w:t>
            </w:r>
          </w:p>
        </w:tc>
        <w:tc>
          <w:tcPr>
            <w:tcW w:w="1027"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80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放射性</w:t>
            </w:r>
          </w:p>
        </w:tc>
        <w:tc>
          <w:tcPr>
            <w:tcW w:w="1027"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2200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w:t>
            </w:r>
          </w:p>
        </w:tc>
        <w:tc>
          <w:tcPr>
            <w:tcW w:w="1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天然气GB 18047-2017</w:t>
            </w: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氧气</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200</w:t>
            </w:r>
          </w:p>
        </w:tc>
        <w:tc>
          <w:tcPr>
            <w:tcW w:w="4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w:t>
            </w:r>
          </w:p>
        </w:tc>
        <w:tc>
          <w:tcPr>
            <w:tcW w:w="7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3240</w:t>
            </w:r>
          </w:p>
        </w:tc>
        <w:tc>
          <w:tcPr>
            <w:tcW w:w="8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9720</w:t>
            </w:r>
          </w:p>
        </w:tc>
        <w:tc>
          <w:tcPr>
            <w:tcW w:w="59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200</w:t>
            </w:r>
          </w:p>
        </w:tc>
        <w:tc>
          <w:tcPr>
            <w:tcW w:w="6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600</w:t>
            </w: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氮气</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160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甲烷</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1100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正己烷</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160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二氧化碳</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乙烷</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160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硫化氢</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丙烷</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160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异丁烷</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160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正丁烷</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160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异戊烷</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160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正戊烷</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160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氦气</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180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氢气</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180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8</w:t>
            </w:r>
          </w:p>
        </w:tc>
        <w:tc>
          <w:tcPr>
            <w:tcW w:w="1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板材</w:t>
            </w:r>
            <w:r>
              <w:rPr>
                <w:rFonts w:hint="eastAsia" w:ascii="仿宋_GB2312" w:hAnsi="宋体" w:eastAsia="仿宋_GB2312" w:cs="仿宋_GB2312"/>
                <w:i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color w:val="000000"/>
                <w:kern w:val="0"/>
                <w:sz w:val="24"/>
                <w:szCs w:val="24"/>
                <w:u w:val="none"/>
                <w:bdr w:val="none" w:color="auto" w:sz="0" w:space="0"/>
                <w:lang w:val="en-US" w:eastAsia="zh-CN" w:bidi="ar"/>
              </w:rPr>
              <w:t xml:space="preserve">GB/T 11718—2021 </w:t>
            </w: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中密度纤维板-表面结合强度</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150</w:t>
            </w:r>
          </w:p>
        </w:tc>
        <w:tc>
          <w:tcPr>
            <w:tcW w:w="4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w:t>
            </w:r>
          </w:p>
        </w:tc>
        <w:tc>
          <w:tcPr>
            <w:tcW w:w="7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1450</w:t>
            </w:r>
          </w:p>
        </w:tc>
        <w:tc>
          <w:tcPr>
            <w:tcW w:w="8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4350</w:t>
            </w:r>
          </w:p>
        </w:tc>
        <w:tc>
          <w:tcPr>
            <w:tcW w:w="59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500</w:t>
            </w:r>
          </w:p>
        </w:tc>
        <w:tc>
          <w:tcPr>
            <w:tcW w:w="6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1500</w:t>
            </w: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中密度纤维板-静曲强度</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内结合强度</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中密度纤维板-吸水厚度膨胀率</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中密度纤维板-甲醛释放量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气候舱周期气体释放量测定平衡处理</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9</w:t>
            </w:r>
          </w:p>
        </w:tc>
        <w:tc>
          <w:tcPr>
            <w:tcW w:w="1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车用汽油</w:t>
            </w: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研究法辛烷值(RON)</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1100 </w:t>
            </w:r>
          </w:p>
        </w:tc>
        <w:tc>
          <w:tcPr>
            <w:tcW w:w="4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w:t>
            </w:r>
          </w:p>
        </w:tc>
        <w:tc>
          <w:tcPr>
            <w:tcW w:w="7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6840</w:t>
            </w:r>
          </w:p>
        </w:tc>
        <w:tc>
          <w:tcPr>
            <w:tcW w:w="8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20520</w:t>
            </w:r>
          </w:p>
        </w:tc>
        <w:tc>
          <w:tcPr>
            <w:tcW w:w="59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250</w:t>
            </w:r>
          </w:p>
        </w:tc>
        <w:tc>
          <w:tcPr>
            <w:tcW w:w="6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750</w:t>
            </w:r>
          </w:p>
        </w:tc>
        <w:tc>
          <w:tcPr>
            <w:tcW w:w="550" w:type="dxa"/>
            <w:vMerge w:val="restart"/>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新疆维吾尔自治区产品质量监督检验研究院</w:t>
            </w: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抗爆指数</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1100 </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铅含量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210 </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馏程</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210 </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蒸气压</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300 </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胶质含量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560 </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诱导期</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400 </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硫含量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260 </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硫醇(博士试验)</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140 </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铜片腐蚀</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100 </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水溶性酸或碱</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80 </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机械杂质及水分</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140 </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苯含量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350 </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芳烃含量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350 </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烯烃含量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350 </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氧含量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350 </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甲醇含量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350 </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锰含量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210 </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铁含量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210 </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密度(20C)</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70 </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w:t>
            </w:r>
          </w:p>
        </w:tc>
        <w:tc>
          <w:tcPr>
            <w:tcW w:w="1350" w:type="dxa"/>
            <w:vMerge w:val="restart"/>
            <w:tcBorders>
              <w:top w:val="nil"/>
              <w:left w:val="nil"/>
              <w:bottom w:val="nil"/>
              <w:right w:val="nil"/>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车用柴油</w:t>
            </w: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氧化安定性(以总不溶 物计)</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280 </w:t>
            </w:r>
          </w:p>
        </w:tc>
        <w:tc>
          <w:tcPr>
            <w:tcW w:w="460"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w:t>
            </w:r>
          </w:p>
        </w:tc>
        <w:tc>
          <w:tcPr>
            <w:tcW w:w="7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8053</w:t>
            </w:r>
          </w:p>
        </w:tc>
        <w:tc>
          <w:tcPr>
            <w:tcW w:w="8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24159</w:t>
            </w:r>
          </w:p>
        </w:tc>
        <w:tc>
          <w:tcPr>
            <w:tcW w:w="59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250</w:t>
            </w:r>
          </w:p>
        </w:tc>
        <w:tc>
          <w:tcPr>
            <w:tcW w:w="6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750</w:t>
            </w: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nil"/>
              <w:bottom w:val="nil"/>
              <w:right w:val="nil"/>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2"/>
                <w:szCs w:val="22"/>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硫含量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260 </w:t>
            </w:r>
          </w:p>
        </w:tc>
        <w:tc>
          <w:tcPr>
            <w:tcW w:w="4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nil"/>
              <w:bottom w:val="nil"/>
              <w:right w:val="nil"/>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2"/>
                <w:szCs w:val="22"/>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酸度</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100 </w:t>
            </w:r>
          </w:p>
        </w:tc>
        <w:tc>
          <w:tcPr>
            <w:tcW w:w="4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nil"/>
              <w:bottom w:val="nil"/>
              <w:right w:val="nil"/>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2"/>
                <w:szCs w:val="22"/>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10%蒸余物残炭</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140 </w:t>
            </w:r>
          </w:p>
        </w:tc>
        <w:tc>
          <w:tcPr>
            <w:tcW w:w="4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nil"/>
              <w:bottom w:val="nil"/>
              <w:right w:val="nil"/>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2"/>
                <w:szCs w:val="22"/>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灰分</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140 </w:t>
            </w:r>
          </w:p>
        </w:tc>
        <w:tc>
          <w:tcPr>
            <w:tcW w:w="4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nil"/>
              <w:bottom w:val="nil"/>
              <w:right w:val="nil"/>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2"/>
                <w:szCs w:val="22"/>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铜片腐蚀</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100 </w:t>
            </w:r>
          </w:p>
        </w:tc>
        <w:tc>
          <w:tcPr>
            <w:tcW w:w="4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nil"/>
              <w:bottom w:val="nil"/>
              <w:right w:val="nil"/>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2"/>
                <w:szCs w:val="22"/>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水含量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80 </w:t>
            </w:r>
          </w:p>
        </w:tc>
        <w:tc>
          <w:tcPr>
            <w:tcW w:w="4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nil"/>
              <w:bottom w:val="nil"/>
              <w:right w:val="nil"/>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2"/>
                <w:szCs w:val="22"/>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润滑性</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2375 </w:t>
            </w:r>
          </w:p>
        </w:tc>
        <w:tc>
          <w:tcPr>
            <w:tcW w:w="4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nil"/>
              <w:bottom w:val="nil"/>
              <w:right w:val="nil"/>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2"/>
                <w:szCs w:val="22"/>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多环芳烃含量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1458 </w:t>
            </w:r>
          </w:p>
        </w:tc>
        <w:tc>
          <w:tcPr>
            <w:tcW w:w="4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nil"/>
              <w:bottom w:val="nil"/>
              <w:right w:val="nil"/>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2"/>
                <w:szCs w:val="22"/>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总污染物含量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280 </w:t>
            </w:r>
          </w:p>
        </w:tc>
        <w:tc>
          <w:tcPr>
            <w:tcW w:w="4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nil"/>
              <w:bottom w:val="nil"/>
              <w:right w:val="nil"/>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2"/>
                <w:szCs w:val="22"/>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运动粘度(20C)</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140 </w:t>
            </w:r>
          </w:p>
        </w:tc>
        <w:tc>
          <w:tcPr>
            <w:tcW w:w="4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nil"/>
              <w:bottom w:val="nil"/>
              <w:right w:val="nil"/>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2"/>
                <w:szCs w:val="22"/>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凝点</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100 </w:t>
            </w:r>
          </w:p>
        </w:tc>
        <w:tc>
          <w:tcPr>
            <w:tcW w:w="4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nil"/>
              <w:bottom w:val="nil"/>
              <w:right w:val="nil"/>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2"/>
                <w:szCs w:val="22"/>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冷滤点</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70 </w:t>
            </w:r>
          </w:p>
        </w:tc>
        <w:tc>
          <w:tcPr>
            <w:tcW w:w="4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nil"/>
              <w:bottom w:val="nil"/>
              <w:right w:val="nil"/>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2"/>
                <w:szCs w:val="22"/>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闪点(闭☐)</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110 </w:t>
            </w:r>
          </w:p>
        </w:tc>
        <w:tc>
          <w:tcPr>
            <w:tcW w:w="4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nil"/>
              <w:bottom w:val="nil"/>
              <w:right w:val="nil"/>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2"/>
                <w:szCs w:val="22"/>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十六烷值</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800 </w:t>
            </w:r>
          </w:p>
        </w:tc>
        <w:tc>
          <w:tcPr>
            <w:tcW w:w="4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nil"/>
              <w:bottom w:val="nil"/>
              <w:right w:val="nil"/>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2"/>
                <w:szCs w:val="22"/>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十六烷指数</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800 </w:t>
            </w:r>
          </w:p>
        </w:tc>
        <w:tc>
          <w:tcPr>
            <w:tcW w:w="4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nil"/>
              <w:bottom w:val="nil"/>
              <w:right w:val="nil"/>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2"/>
                <w:szCs w:val="22"/>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馏程</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220 </w:t>
            </w:r>
          </w:p>
        </w:tc>
        <w:tc>
          <w:tcPr>
            <w:tcW w:w="4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nil"/>
              <w:bottom w:val="nil"/>
              <w:right w:val="nil"/>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2"/>
                <w:szCs w:val="22"/>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密度(20C)</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70 </w:t>
            </w:r>
          </w:p>
        </w:tc>
        <w:tc>
          <w:tcPr>
            <w:tcW w:w="4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nil"/>
              <w:bottom w:val="nil"/>
              <w:right w:val="nil"/>
            </w:tcBorders>
            <w:shd w:val="clear"/>
            <w:tcMar>
              <w:top w:w="15" w:type="dxa"/>
              <w:left w:w="15" w:type="dxa"/>
              <w:right w:w="15" w:type="dxa"/>
            </w:tcMar>
            <w:vAlign w:val="bottom"/>
          </w:tcPr>
          <w:p>
            <w:pPr>
              <w:jc w:val="center"/>
              <w:rPr>
                <w:rFonts w:hint="eastAsia" w:ascii="仿宋_GB2312" w:hAnsi="宋体" w:eastAsia="仿宋_GB2312" w:cs="仿宋_GB2312"/>
                <w:i w:val="0"/>
                <w:color w:val="000000"/>
                <w:sz w:val="22"/>
                <w:szCs w:val="22"/>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脂肪酸甲酯含量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530 </w:t>
            </w:r>
          </w:p>
        </w:tc>
        <w:tc>
          <w:tcPr>
            <w:tcW w:w="46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11</w:t>
            </w:r>
          </w:p>
        </w:tc>
        <w:tc>
          <w:tcPr>
            <w:tcW w:w="1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车用尿素</w:t>
            </w: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尿素含量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600</w:t>
            </w:r>
          </w:p>
        </w:tc>
        <w:tc>
          <w:tcPr>
            <w:tcW w:w="4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w:t>
            </w:r>
          </w:p>
        </w:tc>
        <w:tc>
          <w:tcPr>
            <w:tcW w:w="7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4485</w:t>
            </w:r>
          </w:p>
        </w:tc>
        <w:tc>
          <w:tcPr>
            <w:tcW w:w="8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13455</w:t>
            </w:r>
          </w:p>
        </w:tc>
        <w:tc>
          <w:tcPr>
            <w:tcW w:w="59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600</w:t>
            </w:r>
          </w:p>
        </w:tc>
        <w:tc>
          <w:tcPr>
            <w:tcW w:w="6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1800</w:t>
            </w: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密度(20C)</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折光率</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碱度</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缩二脲</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醛类</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不溶物</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磷酸盐</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钙</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铁</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铜</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锌</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铬</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镍</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铝</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镁</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钠</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钾</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12</w:t>
            </w:r>
          </w:p>
        </w:tc>
        <w:tc>
          <w:tcPr>
            <w:tcW w:w="1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防冻液</w:t>
            </w: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外观</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4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w:t>
            </w:r>
          </w:p>
        </w:tc>
        <w:tc>
          <w:tcPr>
            <w:tcW w:w="7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3780</w:t>
            </w:r>
          </w:p>
        </w:tc>
        <w:tc>
          <w:tcPr>
            <w:tcW w:w="8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11340</w:t>
            </w:r>
          </w:p>
        </w:tc>
        <w:tc>
          <w:tcPr>
            <w:tcW w:w="59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750</w:t>
            </w:r>
          </w:p>
        </w:tc>
        <w:tc>
          <w:tcPr>
            <w:tcW w:w="6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2250</w:t>
            </w: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密度</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冰点</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沸点</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灰分</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pH值</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氯含量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气车有机涂料的景</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290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玻璃器皿腐蚀</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1680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泡沫倾向</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13</w:t>
            </w:r>
          </w:p>
        </w:tc>
        <w:tc>
          <w:tcPr>
            <w:tcW w:w="1350"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塑料购物袋</w:t>
            </w: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厚度偏差</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100</w:t>
            </w:r>
          </w:p>
        </w:tc>
        <w:tc>
          <w:tcPr>
            <w:tcW w:w="460"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w:t>
            </w:r>
          </w:p>
        </w:tc>
        <w:tc>
          <w:tcPr>
            <w:tcW w:w="750"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1810</w:t>
            </w:r>
          </w:p>
        </w:tc>
        <w:tc>
          <w:tcPr>
            <w:tcW w:w="805"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5430</w:t>
            </w:r>
          </w:p>
        </w:tc>
        <w:tc>
          <w:tcPr>
            <w:tcW w:w="597"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50</w:t>
            </w:r>
          </w:p>
        </w:tc>
        <w:tc>
          <w:tcPr>
            <w:tcW w:w="693"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150</w:t>
            </w:r>
          </w:p>
        </w:tc>
        <w:tc>
          <w:tcPr>
            <w:tcW w:w="5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伊犁州检验检测认证研究院</w:t>
            </w: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跌落试验</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200</w:t>
            </w:r>
          </w:p>
        </w:tc>
        <w:tc>
          <w:tcPr>
            <w:tcW w:w="46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漏水性</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280</w:t>
            </w:r>
          </w:p>
        </w:tc>
        <w:tc>
          <w:tcPr>
            <w:tcW w:w="46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封合强度</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450</w:t>
            </w:r>
          </w:p>
        </w:tc>
        <w:tc>
          <w:tcPr>
            <w:tcW w:w="46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高锰酸钾消耗量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140</w:t>
            </w:r>
          </w:p>
        </w:tc>
        <w:tc>
          <w:tcPr>
            <w:tcW w:w="46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重金属</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220</w:t>
            </w:r>
          </w:p>
        </w:tc>
        <w:tc>
          <w:tcPr>
            <w:tcW w:w="46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脱色试验</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420</w:t>
            </w:r>
          </w:p>
        </w:tc>
        <w:tc>
          <w:tcPr>
            <w:tcW w:w="46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14</w:t>
            </w:r>
          </w:p>
        </w:tc>
        <w:tc>
          <w:tcPr>
            <w:tcW w:w="1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建筑用金属面绝热夹芯板GB/T 23932-2009</w:t>
            </w: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建筑用金属面绝热夹芯板-粘结强度</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250</w:t>
            </w:r>
          </w:p>
        </w:tc>
        <w:tc>
          <w:tcPr>
            <w:tcW w:w="46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w:t>
            </w:r>
          </w:p>
        </w:tc>
        <w:tc>
          <w:tcPr>
            <w:tcW w:w="7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4764</w:t>
            </w:r>
          </w:p>
        </w:tc>
        <w:tc>
          <w:tcPr>
            <w:tcW w:w="80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9528</w:t>
            </w:r>
          </w:p>
        </w:tc>
        <w:tc>
          <w:tcPr>
            <w:tcW w:w="597"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500</w:t>
            </w:r>
          </w:p>
        </w:tc>
        <w:tc>
          <w:tcPr>
            <w:tcW w:w="69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1000</w:t>
            </w: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restart"/>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建筑用金属面绝热夹芯板-剥离性能</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建筑用金属面绝热夹芯板-抗弯承载力</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225</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建筑用金属面绝热夹芯板-制样</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100</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平板状建筑材料及制品燃烧性能-燃烧增长速率</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1568</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平板状建筑材料及制品燃烧性能-火焰传播</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1008</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平板状建筑材料及制品燃烧性能-总放热量</w:t>
            </w:r>
          </w:p>
        </w:tc>
        <w:tc>
          <w:tcPr>
            <w:tcW w:w="102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784</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3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09"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平板状建筑材料及制品燃烧性能-可燃性(B2)</w:t>
            </w:r>
          </w:p>
        </w:tc>
        <w:tc>
          <w:tcPr>
            <w:tcW w:w="1027"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729</w:t>
            </w:r>
          </w:p>
        </w:tc>
        <w:tc>
          <w:tcPr>
            <w:tcW w:w="46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29" w:type="dxa"/>
            <w:vMerge w:val="continue"/>
            <w:tcBorders>
              <w:top w:val="nil"/>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trPr>
        <w:tc>
          <w:tcPr>
            <w:tcW w:w="5016"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合计</w:t>
            </w:r>
          </w:p>
        </w:tc>
        <w:tc>
          <w:tcPr>
            <w:tcW w:w="4584"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165866</w:t>
            </w:r>
          </w:p>
        </w:tc>
      </w:tr>
    </w:tbl>
    <w:p>
      <w:pPr>
        <w:keepNext w:val="0"/>
        <w:keepLines w:val="0"/>
        <w:pageBreakBefore w:val="0"/>
        <w:widowControl/>
        <w:kinsoku/>
        <w:wordWrap/>
        <w:overflowPunct/>
        <w:topLinePunct w:val="0"/>
        <w:autoSpaceDE/>
        <w:autoSpaceDN/>
        <w:bidi w:val="0"/>
        <w:adjustRightInd w:val="0"/>
        <w:snapToGrid w:val="0"/>
        <w:spacing w:line="520" w:lineRule="exact"/>
        <w:ind w:left="0" w:leftChars="0" w:firstLine="0" w:firstLineChars="0"/>
        <w:rPr>
          <w:rFonts w:hint="eastAsia"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1D13CEF"/>
    <w:rsid w:val="04BF1D51"/>
    <w:rsid w:val="0EFC698C"/>
    <w:rsid w:val="10742B02"/>
    <w:rsid w:val="188F57A5"/>
    <w:rsid w:val="1E6046E9"/>
    <w:rsid w:val="214B5F46"/>
    <w:rsid w:val="27E0012B"/>
    <w:rsid w:val="28900EB5"/>
    <w:rsid w:val="2C0E3238"/>
    <w:rsid w:val="2C10731A"/>
    <w:rsid w:val="2D606B6D"/>
    <w:rsid w:val="31B23717"/>
    <w:rsid w:val="320C4EB3"/>
    <w:rsid w:val="34D9230D"/>
    <w:rsid w:val="399E0FA7"/>
    <w:rsid w:val="39B94923"/>
    <w:rsid w:val="3BFE359B"/>
    <w:rsid w:val="3DAD04F1"/>
    <w:rsid w:val="3EE3768A"/>
    <w:rsid w:val="44CF5C5C"/>
    <w:rsid w:val="46AD3521"/>
    <w:rsid w:val="474F40C2"/>
    <w:rsid w:val="4CA20D67"/>
    <w:rsid w:val="4E89375A"/>
    <w:rsid w:val="51FA7A1E"/>
    <w:rsid w:val="52632422"/>
    <w:rsid w:val="53254F46"/>
    <w:rsid w:val="54977301"/>
    <w:rsid w:val="554A3F8E"/>
    <w:rsid w:val="57CC12EF"/>
    <w:rsid w:val="5BF20C80"/>
    <w:rsid w:val="5D352F28"/>
    <w:rsid w:val="627E570A"/>
    <w:rsid w:val="69056783"/>
    <w:rsid w:val="6A0B693F"/>
    <w:rsid w:val="6C4B2C67"/>
    <w:rsid w:val="6C527E91"/>
    <w:rsid w:val="768F3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5">
    <w:name w:val="font61"/>
    <w:basedOn w:val="4"/>
    <w:qFormat/>
    <w:uiPriority w:val="0"/>
    <w:rPr>
      <w:rFonts w:hint="eastAsia" w:ascii="宋体" w:hAnsi="宋体" w:eastAsia="宋体" w:cs="宋体"/>
      <w:color w:val="000000"/>
      <w:sz w:val="18"/>
      <w:szCs w:val="18"/>
      <w:u w:val="none"/>
    </w:rPr>
  </w:style>
  <w:style w:type="character" w:customStyle="1" w:styleId="6">
    <w:name w:val="font51"/>
    <w:basedOn w:val="4"/>
    <w:qFormat/>
    <w:uiPriority w:val="0"/>
    <w:rPr>
      <w:rFonts w:hint="eastAsia" w:ascii="宋体" w:hAnsi="宋体" w:eastAsia="宋体" w:cs="宋体"/>
      <w:color w:val="000000"/>
      <w:sz w:val="18"/>
      <w:szCs w:val="18"/>
      <w:u w:val="none"/>
      <w:vertAlign w:val="subscript"/>
    </w:rPr>
  </w:style>
  <w:style w:type="character" w:customStyle="1" w:styleId="7">
    <w:name w:val="font122"/>
    <w:basedOn w:val="4"/>
    <w:qFormat/>
    <w:uiPriority w:val="0"/>
    <w:rPr>
      <w:rFonts w:hint="eastAsia" w:ascii="仿宋_GB2312" w:eastAsia="仿宋_GB2312" w:cs="仿宋_GB2312"/>
      <w:color w:val="000000"/>
      <w:sz w:val="24"/>
      <w:szCs w:val="24"/>
      <w:u w:val="none"/>
    </w:rPr>
  </w:style>
  <w:style w:type="character" w:customStyle="1" w:styleId="8">
    <w:name w:val="font101"/>
    <w:basedOn w:val="4"/>
    <w:qFormat/>
    <w:uiPriority w:val="0"/>
    <w:rPr>
      <w:rFonts w:hint="default" w:ascii="Times New Roman" w:hAnsi="Times New Roman" w:cs="Times New Roman"/>
      <w:color w:val="000000"/>
      <w:sz w:val="18"/>
      <w:szCs w:val="18"/>
      <w:u w:val="none"/>
    </w:rPr>
  </w:style>
  <w:style w:type="character" w:customStyle="1" w:styleId="9">
    <w:name w:val="font41"/>
    <w:basedOn w:val="4"/>
    <w:qFormat/>
    <w:uiPriority w:val="0"/>
    <w:rPr>
      <w:rFonts w:hint="eastAsia" w:ascii="宋体" w:hAnsi="宋体" w:eastAsia="宋体" w:cs="宋体"/>
      <w:color w:val="000000"/>
      <w:sz w:val="18"/>
      <w:szCs w:val="18"/>
      <w:u w:val="none"/>
    </w:rPr>
  </w:style>
  <w:style w:type="character" w:customStyle="1" w:styleId="10">
    <w:name w:val="font91"/>
    <w:basedOn w:val="4"/>
    <w:qFormat/>
    <w:uiPriority w:val="0"/>
    <w:rPr>
      <w:rFonts w:hint="default" w:ascii="Times New Roman" w:hAnsi="Times New Roman" w:cs="Times New Roman"/>
      <w:color w:val="000000"/>
      <w:sz w:val="18"/>
      <w:szCs w:val="18"/>
      <w:u w:val="none"/>
    </w:rPr>
  </w:style>
  <w:style w:type="character" w:customStyle="1" w:styleId="11">
    <w:name w:val="font31"/>
    <w:basedOn w:val="4"/>
    <w:qFormat/>
    <w:uiPriority w:val="0"/>
    <w:rPr>
      <w:rFonts w:hint="default" w:ascii="Times New Roman" w:hAnsi="Times New Roman" w:cs="Times New Roman"/>
      <w:color w:val="000000"/>
      <w:sz w:val="18"/>
      <w:szCs w:val="18"/>
      <w:u w:val="none"/>
      <w:vertAlign w:val="subscript"/>
    </w:rPr>
  </w:style>
  <w:style w:type="character" w:customStyle="1" w:styleId="12">
    <w:name w:val="font01"/>
    <w:basedOn w:val="4"/>
    <w:qFormat/>
    <w:uiPriority w:val="0"/>
    <w:rPr>
      <w:rFonts w:hint="eastAsia" w:ascii="仿宋_GB2312" w:eastAsia="仿宋_GB2312" w:cs="仿宋_GB2312"/>
      <w:color w:val="000000"/>
      <w:sz w:val="24"/>
      <w:szCs w:val="24"/>
      <w:u w:val="none"/>
      <w:vertAlign w:val="sub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605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2024-08-28T05:16:40Z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