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rPr>
      </w:pPr>
    </w:p>
    <w:p>
      <w:pPr>
        <w:rPr>
          <w:rFonts w:ascii="Times New Roman"/>
        </w:rPr>
      </w:pPr>
    </w:p>
    <w:p>
      <w:pPr>
        <w:rPr>
          <w:rFonts w:ascii="Times New Roman"/>
        </w:rPr>
      </w:pPr>
    </w:p>
    <w:p>
      <w:pPr>
        <w:rPr>
          <w:rFonts w:ascii="Times New Roman"/>
        </w:rPr>
      </w:pPr>
    </w:p>
    <w:p>
      <w:pPr>
        <w:jc w:val="center"/>
        <w:rPr>
          <w:rFonts w:ascii="Times New Roman"/>
          <w:b/>
          <w:sz w:val="48"/>
          <w:szCs w:val="48"/>
        </w:rPr>
      </w:pPr>
      <w:r>
        <w:rPr>
          <w:rFonts w:ascii="Times New Roman"/>
          <w:b/>
          <w:sz w:val="48"/>
          <w:szCs w:val="48"/>
        </w:rPr>
        <w:t>新疆</w:t>
      </w:r>
      <w:r>
        <w:rPr>
          <w:rFonts w:hint="eastAsia" w:ascii="Times New Roman"/>
          <w:b/>
          <w:sz w:val="48"/>
          <w:szCs w:val="48"/>
        </w:rPr>
        <w:t>维吾尔自治区伊宁市</w:t>
      </w:r>
    </w:p>
    <w:p>
      <w:pPr>
        <w:jc w:val="center"/>
        <w:rPr>
          <w:rFonts w:ascii="Times New Roman"/>
          <w:b/>
          <w:sz w:val="48"/>
          <w:szCs w:val="48"/>
        </w:rPr>
      </w:pPr>
      <w:r>
        <w:rPr>
          <w:rFonts w:ascii="Times New Roman"/>
          <w:b/>
          <w:sz w:val="48"/>
          <w:szCs w:val="48"/>
        </w:rPr>
        <w:t>矿产资源总体规划</w:t>
      </w:r>
    </w:p>
    <w:p>
      <w:pPr>
        <w:jc w:val="center"/>
        <w:rPr>
          <w:rFonts w:ascii="Times New Roman"/>
          <w:b/>
          <w:sz w:val="52"/>
          <w:szCs w:val="52"/>
        </w:rPr>
      </w:pPr>
      <w:r>
        <w:rPr>
          <w:rFonts w:ascii="Times New Roman"/>
          <w:b/>
          <w:sz w:val="48"/>
          <w:szCs w:val="48"/>
        </w:rPr>
        <w:t>（2021</w:t>
      </w:r>
      <w:r>
        <w:rPr>
          <w:rFonts w:hint="eastAsia" w:ascii="Times New Roman"/>
          <w:b/>
          <w:sz w:val="48"/>
          <w:szCs w:val="48"/>
          <w:lang w:eastAsia="zh-CN"/>
        </w:rPr>
        <w:t>—</w:t>
      </w:r>
      <w:r>
        <w:rPr>
          <w:rFonts w:ascii="Times New Roman"/>
          <w:b/>
          <w:sz w:val="48"/>
          <w:szCs w:val="48"/>
        </w:rPr>
        <w:t>2025年）</w:t>
      </w:r>
    </w:p>
    <w:p>
      <w:pPr>
        <w:jc w:val="center"/>
        <w:rPr>
          <w:rFonts w:ascii="Times New Roman"/>
          <w:b/>
          <w:sz w:val="52"/>
          <w:szCs w:val="52"/>
        </w:rPr>
      </w:pPr>
    </w:p>
    <w:p>
      <w:pPr>
        <w:jc w:val="center"/>
        <w:rPr>
          <w:rFonts w:ascii="Times New Roman"/>
          <w:b/>
          <w:bCs/>
          <w:sz w:val="36"/>
          <w:szCs w:val="36"/>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jc w:val="center"/>
        <w:rPr>
          <w:rFonts w:ascii="Times New Roman"/>
          <w:szCs w:val="28"/>
        </w:rPr>
      </w:pPr>
    </w:p>
    <w:p>
      <w:pPr>
        <w:spacing w:line="480" w:lineRule="auto"/>
        <w:jc w:val="center"/>
        <w:rPr>
          <w:rFonts w:ascii="Times New Roman"/>
          <w:b/>
          <w:szCs w:val="28"/>
        </w:rPr>
      </w:pPr>
    </w:p>
    <w:p>
      <w:pPr>
        <w:spacing w:line="480" w:lineRule="auto"/>
        <w:jc w:val="center"/>
        <w:rPr>
          <w:rFonts w:ascii="Times New Roman"/>
          <w:b/>
          <w:sz w:val="18"/>
          <w:szCs w:val="18"/>
        </w:rPr>
      </w:pPr>
    </w:p>
    <w:p>
      <w:pPr>
        <w:spacing w:line="480" w:lineRule="auto"/>
        <w:jc w:val="center"/>
        <w:rPr>
          <w:rFonts w:ascii="Times New Roman"/>
          <w:b/>
          <w:sz w:val="30"/>
          <w:szCs w:val="30"/>
        </w:rPr>
      </w:pPr>
      <w:r>
        <w:rPr>
          <w:rFonts w:hint="eastAsia" w:ascii="Times New Roman"/>
          <w:b/>
          <w:sz w:val="30"/>
          <w:szCs w:val="30"/>
        </w:rPr>
        <w:t>伊宁市人民</w:t>
      </w:r>
      <w:r>
        <w:rPr>
          <w:rFonts w:ascii="Times New Roman"/>
          <w:b/>
          <w:sz w:val="30"/>
          <w:szCs w:val="30"/>
        </w:rPr>
        <w:t>政府</w:t>
      </w:r>
    </w:p>
    <w:p>
      <w:pPr>
        <w:spacing w:line="480" w:lineRule="auto"/>
        <w:jc w:val="center"/>
        <w:rPr>
          <w:rFonts w:ascii="Times New Roman"/>
          <w:b/>
          <w:sz w:val="36"/>
          <w:szCs w:val="36"/>
        </w:rPr>
      </w:pPr>
      <w:r>
        <w:rPr>
          <w:rFonts w:hint="eastAsia" w:ascii="Times New Roman"/>
          <w:b/>
          <w:sz w:val="30"/>
          <w:szCs w:val="30"/>
          <w:lang w:eastAsia="zh-CN"/>
        </w:rPr>
        <w:t>二〇二三年</w:t>
      </w:r>
      <w:r>
        <w:rPr>
          <w:rFonts w:hint="eastAsia" w:ascii="Times New Roman"/>
          <w:b/>
          <w:sz w:val="30"/>
          <w:szCs w:val="30"/>
          <w:lang w:val="en-US" w:eastAsia="zh-CN"/>
        </w:rPr>
        <w:t>四</w:t>
      </w:r>
      <w:r>
        <w:rPr>
          <w:rFonts w:ascii="Times New Roman"/>
          <w:b/>
          <w:sz w:val="30"/>
          <w:szCs w:val="30"/>
        </w:rPr>
        <w:t>月</w:t>
      </w:r>
    </w:p>
    <w:p>
      <w:pPr>
        <w:jc w:val="center"/>
        <w:rPr>
          <w:rFonts w:ascii="Times New Roman"/>
          <w:szCs w:val="28"/>
        </w:rPr>
        <w:sectPr>
          <w:footerReference r:id="rId5" w:type="default"/>
          <w:footerReference r:id="rId6" w:type="even"/>
          <w:endnotePr>
            <w:numFmt w:val="decimal"/>
          </w:endnotePr>
          <w:pgSz w:w="11906" w:h="16838"/>
          <w:pgMar w:top="1418" w:right="1531" w:bottom="1418" w:left="1531" w:header="851" w:footer="851" w:gutter="0"/>
          <w:pgNumType w:start="1"/>
          <w:cols w:space="720" w:num="1"/>
          <w:titlePg/>
          <w:docGrid w:linePitch="312" w:charSpace="0"/>
        </w:sectPr>
      </w:pPr>
    </w:p>
    <w:p>
      <w:pPr>
        <w:pStyle w:val="111"/>
        <w:spacing w:line="460" w:lineRule="exact"/>
        <w:ind w:firstLine="800"/>
        <w:jc w:val="center"/>
        <w:rPr>
          <w:rFonts w:ascii="Times New Roman"/>
          <w:sz w:val="32"/>
        </w:rPr>
      </w:pPr>
      <w:bookmarkStart w:id="0" w:name="_Toc212897723"/>
      <w:bookmarkStart w:id="1" w:name="_Toc212892906"/>
      <w:bookmarkStart w:id="2" w:name="_Toc234992676"/>
      <w:bookmarkStart w:id="3" w:name="_Toc212878247"/>
      <w:bookmarkStart w:id="4" w:name="_Toc212892977"/>
      <w:bookmarkStart w:id="5" w:name="_Toc217191206"/>
      <w:bookmarkStart w:id="6" w:name="_Toc235101158"/>
      <w:bookmarkStart w:id="7" w:name="_Toc217196763"/>
      <w:bookmarkStart w:id="8" w:name="_Toc217195524"/>
      <w:bookmarkStart w:id="9" w:name="_Toc234215251"/>
      <w:bookmarkStart w:id="10" w:name="_Toc234216061"/>
      <w:r>
        <w:rPr>
          <w:rFonts w:ascii="Times New Roman"/>
          <w:sz w:val="32"/>
          <w:lang w:val="zh-CN"/>
        </w:rPr>
        <w:t>目录</w:t>
      </w:r>
    </w:p>
    <w:p>
      <w:pPr>
        <w:pStyle w:val="25"/>
        <w:tabs>
          <w:tab w:val="right" w:leader="dot" w:pos="8835"/>
        </w:tabs>
        <w:spacing w:line="500" w:lineRule="exact"/>
        <w:rPr>
          <w:rFonts w:asciiTheme="minorHAnsi" w:hAnsiTheme="minorHAnsi" w:eastAsiaTheme="minorEastAsia" w:cstheme="minorBidi"/>
          <w:snapToGrid/>
          <w:spacing w:val="0"/>
          <w:kern w:val="2"/>
          <w:sz w:val="21"/>
          <w:szCs w:val="22"/>
        </w:rPr>
      </w:pPr>
      <w:r>
        <w:rPr>
          <w:rFonts w:ascii="Times New Roman"/>
          <w:snapToGrid/>
          <w:spacing w:val="0"/>
          <w:kern w:val="2"/>
          <w:sz w:val="30"/>
          <w:szCs w:val="30"/>
        </w:rPr>
        <w:fldChar w:fldCharType="begin"/>
      </w:r>
      <w:r>
        <w:rPr>
          <w:rFonts w:ascii="Times New Roman"/>
          <w:sz w:val="30"/>
          <w:szCs w:val="30"/>
        </w:rPr>
        <w:instrText xml:space="preserve"> TOC \o "1-3" \h \z \u </w:instrText>
      </w:r>
      <w:r>
        <w:rPr>
          <w:rFonts w:ascii="Times New Roman"/>
          <w:snapToGrid/>
          <w:spacing w:val="0"/>
          <w:kern w:val="2"/>
          <w:sz w:val="30"/>
          <w:szCs w:val="30"/>
        </w:rPr>
        <w:fldChar w:fldCharType="separate"/>
      </w:r>
      <w:r>
        <w:fldChar w:fldCharType="begin"/>
      </w:r>
      <w:r>
        <w:instrText xml:space="preserve"> HYPERLINK \l "_Toc109827037" </w:instrText>
      </w:r>
      <w:r>
        <w:fldChar w:fldCharType="separate"/>
      </w:r>
      <w:r>
        <w:rPr>
          <w:rStyle w:val="44"/>
          <w:rFonts w:hint="eastAsia" w:ascii="黑体" w:hAnsi="黑体" w:eastAsia="黑体"/>
        </w:rPr>
        <w:t>一、现状与形势</w:t>
      </w:r>
      <w:r>
        <w:tab/>
      </w:r>
      <w:r>
        <w:fldChar w:fldCharType="begin"/>
      </w:r>
      <w:r>
        <w:instrText xml:space="preserve"> PAGEREF _Toc109827037 \h </w:instrText>
      </w:r>
      <w:r>
        <w:fldChar w:fldCharType="separate"/>
      </w:r>
      <w:r>
        <w:t>1</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"_Toc109827038" </w:instrText>
      </w:r>
      <w:r>
        <w:fldChar w:fldCharType="separate"/>
      </w:r>
      <w:r>
        <w:rPr>
          <w:rStyle w:val="44"/>
          <w:rFonts w:hint="eastAsia" w:ascii="楷体" w:hAnsi="楷体" w:eastAsia="楷体"/>
        </w:rPr>
        <w:t>（一）矿产资源及勘查、开发现状</w:t>
      </w:r>
      <w:r>
        <w:tab/>
      </w:r>
      <w:r>
        <w:fldChar w:fldCharType="begin"/>
      </w:r>
      <w:r>
        <w:instrText xml:space="preserve"> PAGEREF _Toc109827038 \h </w:instrText>
      </w:r>
      <w:r>
        <w:fldChar w:fldCharType="separate"/>
      </w:r>
      <w:r>
        <w:t>1</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"_Toc109827039" </w:instrText>
      </w:r>
      <w:r>
        <w:fldChar w:fldCharType="separate"/>
      </w:r>
      <w:r>
        <w:rPr>
          <w:rStyle w:val="44"/>
          <w:rFonts w:hint="eastAsia" w:ascii="楷体" w:hAnsi="楷体" w:eastAsia="楷体"/>
        </w:rPr>
        <w:t>（二）上轮规划实施主要成效</w:t>
      </w:r>
      <w:r>
        <w:tab/>
      </w:r>
      <w:r>
        <w:fldChar w:fldCharType="begin"/>
      </w:r>
      <w:r>
        <w:instrText xml:space="preserve"> PAGEREF _Toc109827039 \h </w:instrText>
      </w:r>
      <w:r>
        <w:fldChar w:fldCharType="separate"/>
      </w:r>
      <w:r>
        <w:t>3</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"_Toc109827040" </w:instrText>
      </w:r>
      <w:r>
        <w:fldChar w:fldCharType="separate"/>
      </w:r>
      <w:r>
        <w:rPr>
          <w:rStyle w:val="44"/>
          <w:rFonts w:hint="eastAsia" w:ascii="楷体" w:hAnsi="楷体" w:eastAsia="楷体"/>
        </w:rPr>
        <w:t>（三）存在问题</w:t>
      </w:r>
      <w:r>
        <w:tab/>
      </w:r>
      <w:r>
        <w:fldChar w:fldCharType="begin"/>
      </w:r>
      <w:r>
        <w:instrText xml:space="preserve"> PAGEREF _Toc109827040 \h </w:instrText>
      </w:r>
      <w:r>
        <w:fldChar w:fldCharType="separate"/>
      </w:r>
      <w:r>
        <w:t>5</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"_Toc109827041" </w:instrText>
      </w:r>
      <w:r>
        <w:fldChar w:fldCharType="separate"/>
      </w:r>
      <w:r>
        <w:rPr>
          <w:rStyle w:val="44"/>
          <w:rFonts w:hint="eastAsia" w:ascii="楷体" w:hAnsi="楷体" w:eastAsia="楷体"/>
        </w:rPr>
        <w:t>（四）形势及要求</w:t>
      </w:r>
      <w:r>
        <w:tab/>
      </w:r>
      <w:r>
        <w:fldChar w:fldCharType="begin"/>
      </w:r>
      <w:r>
        <w:instrText xml:space="preserve"> PAGEREF _Toc109827041 \h </w:instrText>
      </w:r>
      <w:r>
        <w:fldChar w:fldCharType="separate"/>
      </w:r>
      <w:r>
        <w:t>6</w:t>
      </w:r>
      <w:r>
        <w:fldChar w:fldCharType="end"/>
      </w:r>
      <w:r>
        <w:fldChar w:fldCharType="end"/>
      </w:r>
    </w:p>
    <w:p>
      <w:pPr>
        <w:pStyle w:val="25"/>
        <w:tabs>
          <w:tab w:val="right" w:leader="dot" w:pos="8835"/>
        </w:tabs>
        <w:spacing w:line="500" w:lineRule="exact"/>
        <w:rPr>
          <w:rFonts w:asciiTheme="minorHAnsi" w:hAnsiTheme="minorHAnsi" w:eastAsiaTheme="minorEastAsia" w:cstheme="minorBidi"/>
          <w:snapToGrid/>
          <w:spacing w:val="0"/>
          <w:kern w:val="2"/>
          <w:sz w:val="21"/>
          <w:szCs w:val="22"/>
        </w:rPr>
      </w:pPr>
      <w:r>
        <w:fldChar w:fldCharType="begin"/>
      </w:r>
      <w:r>
        <w:instrText xml:space="preserve"> HYPERLINK \l "_Toc109827042" </w:instrText>
      </w:r>
      <w:r>
        <w:fldChar w:fldCharType="separate"/>
      </w:r>
      <w:r>
        <w:rPr>
          <w:rStyle w:val="44"/>
          <w:rFonts w:hint="eastAsia" w:ascii="黑体" w:hAnsi="黑体" w:eastAsia="黑体"/>
        </w:rPr>
        <w:t>二、指导思想、基本原则与规划目标</w:t>
      </w:r>
      <w:r>
        <w:tab/>
      </w:r>
      <w:r>
        <w:fldChar w:fldCharType="begin"/>
      </w:r>
      <w:r>
        <w:instrText xml:space="preserve"> PAGEREF _Toc109827042 \h </w:instrText>
      </w:r>
      <w:r>
        <w:fldChar w:fldCharType="separate"/>
      </w:r>
      <w:r>
        <w:t>9</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"_Toc109827043" </w:instrText>
      </w:r>
      <w:r>
        <w:fldChar w:fldCharType="separate"/>
      </w:r>
      <w:r>
        <w:rPr>
          <w:rStyle w:val="44"/>
          <w:rFonts w:hint="eastAsia" w:ascii="楷体" w:hAnsi="楷体" w:eastAsia="楷体"/>
        </w:rPr>
        <w:t>（一）指导思想</w:t>
      </w:r>
      <w:r>
        <w:tab/>
      </w:r>
      <w:r>
        <w:fldChar w:fldCharType="begin"/>
      </w:r>
      <w:r>
        <w:instrText xml:space="preserve"> PAGEREF _Toc109827043 \h </w:instrText>
      </w:r>
      <w:r>
        <w:fldChar w:fldCharType="separate"/>
      </w:r>
      <w:r>
        <w:t>9</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"_Toc109827044" </w:instrText>
      </w:r>
      <w:r>
        <w:fldChar w:fldCharType="separate"/>
      </w:r>
      <w:r>
        <w:rPr>
          <w:rStyle w:val="44"/>
          <w:rFonts w:hint="eastAsia" w:ascii="楷体" w:hAnsi="楷体" w:eastAsia="楷体"/>
        </w:rPr>
        <w:t>（二）基本原则</w:t>
      </w:r>
      <w:r>
        <w:tab/>
      </w:r>
      <w:r>
        <w:fldChar w:fldCharType="begin"/>
      </w:r>
      <w:r>
        <w:instrText xml:space="preserve"> PAGEREF _Toc109827044 \h </w:instrText>
      </w:r>
      <w:r>
        <w:fldChar w:fldCharType="separate"/>
      </w:r>
      <w:r>
        <w:t>9</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"_Toc109827045" </w:instrText>
      </w:r>
      <w:r>
        <w:fldChar w:fldCharType="separate"/>
      </w:r>
      <w:r>
        <w:rPr>
          <w:rStyle w:val="44"/>
          <w:rFonts w:hint="eastAsia" w:ascii="楷体" w:hAnsi="楷体" w:eastAsia="楷体"/>
        </w:rPr>
        <w:t>（三）规划目标</w:t>
      </w:r>
      <w:r>
        <w:tab/>
      </w:r>
      <w:r>
        <w:fldChar w:fldCharType="begin"/>
      </w:r>
      <w:r>
        <w:instrText xml:space="preserve"> PAGEREF _Toc109827045 \h </w:instrText>
      </w:r>
      <w:r>
        <w:fldChar w:fldCharType="separate"/>
      </w:r>
      <w:r>
        <w:t>11</w:t>
      </w:r>
      <w:r>
        <w:fldChar w:fldCharType="end"/>
      </w:r>
      <w:r>
        <w:fldChar w:fldCharType="end"/>
      </w:r>
    </w:p>
    <w:p>
      <w:pPr>
        <w:pStyle w:val="25"/>
        <w:tabs>
          <w:tab w:val="right" w:leader="dot" w:pos="8835"/>
        </w:tabs>
        <w:spacing w:line="500" w:lineRule="exact"/>
        <w:rPr>
          <w:rFonts w:asciiTheme="minorHAnsi" w:hAnsiTheme="minorHAnsi" w:eastAsiaTheme="minorEastAsia" w:cstheme="minorBidi"/>
          <w:snapToGrid/>
          <w:spacing w:val="0"/>
          <w:kern w:val="2"/>
          <w:sz w:val="21"/>
          <w:szCs w:val="22"/>
        </w:rPr>
      </w:pPr>
      <w:r>
        <w:fldChar w:fldCharType="begin"/>
      </w:r>
      <w:r>
        <w:instrText xml:space="preserve"> HYPERLINK \l "_Toc109827046" </w:instrText>
      </w:r>
      <w:r>
        <w:fldChar w:fldCharType="separate"/>
      </w:r>
      <w:r>
        <w:rPr>
          <w:rStyle w:val="44"/>
          <w:rFonts w:hint="eastAsia" w:ascii="黑体" w:hAnsi="黑体" w:eastAsia="黑体"/>
        </w:rPr>
        <w:t>三、矿产勘查开发与保护布局</w:t>
      </w:r>
      <w:r>
        <w:tab/>
      </w:r>
      <w:r>
        <w:fldChar w:fldCharType="begin"/>
      </w:r>
      <w:r>
        <w:instrText xml:space="preserve"> PAGEREF _Toc109827046 \h </w:instrText>
      </w:r>
      <w:r>
        <w:fldChar w:fldCharType="separate"/>
      </w:r>
      <w:r>
        <w:t>15</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"_Toc109827047" </w:instrText>
      </w:r>
      <w:r>
        <w:fldChar w:fldCharType="separate"/>
      </w:r>
      <w:r>
        <w:rPr>
          <w:rStyle w:val="44"/>
          <w:rFonts w:hint="eastAsia" w:ascii="楷体" w:hAnsi="楷体" w:eastAsia="楷体"/>
        </w:rPr>
        <w:t>（一）矿产资源勘查开采调控方向</w:t>
      </w:r>
      <w:r>
        <w:tab/>
      </w:r>
      <w:r>
        <w:fldChar w:fldCharType="begin"/>
      </w:r>
      <w:r>
        <w:instrText xml:space="preserve"> PAGEREF _Toc109827047 \h </w:instrText>
      </w:r>
      <w:r>
        <w:fldChar w:fldCharType="separate"/>
      </w:r>
      <w:r>
        <w:t>15</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"_Toc109827048" </w:instrText>
      </w:r>
      <w:r>
        <w:fldChar w:fldCharType="separate"/>
      </w:r>
      <w:r>
        <w:rPr>
          <w:rStyle w:val="44"/>
          <w:rFonts w:hint="eastAsia" w:ascii="楷体" w:hAnsi="楷体" w:eastAsia="楷体"/>
        </w:rPr>
        <w:t>（二）矿产资源产业重点发展区域</w:t>
      </w:r>
      <w:r>
        <w:tab/>
      </w:r>
      <w:r>
        <w:fldChar w:fldCharType="begin"/>
      </w:r>
      <w:r>
        <w:instrText xml:space="preserve"> PAGEREF _Toc109827048 \h </w:instrText>
      </w:r>
      <w:r>
        <w:fldChar w:fldCharType="separate"/>
      </w:r>
      <w:r>
        <w:t>15</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"_Toc109827049" </w:instrText>
      </w:r>
      <w:r>
        <w:fldChar w:fldCharType="separate"/>
      </w:r>
      <w:r>
        <w:rPr>
          <w:rStyle w:val="44"/>
          <w:rFonts w:hint="eastAsia" w:ascii="楷体" w:hAnsi="楷体" w:eastAsia="楷体"/>
        </w:rPr>
        <w:t>（三）勘查开采与保护布局</w:t>
      </w:r>
      <w:r>
        <w:tab/>
      </w:r>
      <w:r>
        <w:fldChar w:fldCharType="begin"/>
      </w:r>
      <w:r>
        <w:instrText xml:space="preserve"> PAGEREF _Toc109827049 \h </w:instrText>
      </w:r>
      <w:r>
        <w:fldChar w:fldCharType="separate"/>
      </w:r>
      <w:r>
        <w:t>17</w:t>
      </w:r>
      <w:r>
        <w:fldChar w:fldCharType="end"/>
      </w:r>
      <w:r>
        <w:fldChar w:fldCharType="end"/>
      </w:r>
    </w:p>
    <w:p>
      <w:pPr>
        <w:pStyle w:val="25"/>
        <w:tabs>
          <w:tab w:val="right" w:leader="dot" w:pos="8835"/>
        </w:tabs>
        <w:spacing w:line="500" w:lineRule="exact"/>
        <w:rPr>
          <w:rFonts w:asciiTheme="minorHAnsi" w:hAnsiTheme="minorHAnsi" w:eastAsiaTheme="minorEastAsia" w:cstheme="minorBidi"/>
          <w:snapToGrid/>
          <w:spacing w:val="0"/>
          <w:kern w:val="2"/>
          <w:sz w:val="21"/>
          <w:szCs w:val="22"/>
        </w:rPr>
      </w:pPr>
      <w:r>
        <w:fldChar w:fldCharType="begin"/>
      </w:r>
      <w:r>
        <w:instrText xml:space="preserve"> HYPERLINK \l "_Toc109827050" </w:instrText>
      </w:r>
      <w:r>
        <w:fldChar w:fldCharType="separate"/>
      </w:r>
      <w:r>
        <w:rPr>
          <w:rStyle w:val="44"/>
          <w:rFonts w:hint="eastAsia" w:ascii="黑体" w:hAnsi="黑体" w:eastAsia="黑体"/>
        </w:rPr>
        <w:t>四、加强矿产资源勘查开发利用与保护</w:t>
      </w:r>
      <w:r>
        <w:tab/>
      </w:r>
      <w:r>
        <w:fldChar w:fldCharType="begin"/>
      </w:r>
      <w:r>
        <w:instrText xml:space="preserve"> PAGEREF _Toc109827050 \h </w:instrText>
      </w:r>
      <w:r>
        <w:fldChar w:fldCharType="separate"/>
      </w:r>
      <w:r>
        <w:t>22</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"_Toc109827051" </w:instrText>
      </w:r>
      <w:r>
        <w:fldChar w:fldCharType="separate"/>
      </w:r>
      <w:r>
        <w:rPr>
          <w:rStyle w:val="44"/>
          <w:rFonts w:hint="eastAsia" w:ascii="楷体" w:hAnsi="楷体" w:eastAsia="楷体"/>
        </w:rPr>
        <w:t>（一）合理确定开发强度</w:t>
      </w:r>
      <w:r>
        <w:tab/>
      </w:r>
      <w:r>
        <w:fldChar w:fldCharType="begin"/>
      </w:r>
      <w:r>
        <w:instrText xml:space="preserve"> PAGEREF _Toc109827051 \h </w:instrText>
      </w:r>
      <w:r>
        <w:fldChar w:fldCharType="separate"/>
      </w:r>
      <w:r>
        <w:t>22</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"_Toc109827052" </w:instrText>
      </w:r>
      <w:r>
        <w:fldChar w:fldCharType="separate"/>
      </w:r>
      <w:r>
        <w:rPr>
          <w:rStyle w:val="44"/>
          <w:rFonts w:hint="eastAsia" w:ascii="楷体" w:hAnsi="楷体" w:eastAsia="楷体"/>
        </w:rPr>
        <w:t>（二）优化开发利用结构</w:t>
      </w:r>
      <w:r>
        <w:tab/>
      </w:r>
      <w:r>
        <w:fldChar w:fldCharType="begin"/>
      </w:r>
      <w:r>
        <w:instrText xml:space="preserve"> PAGEREF _Toc109827052 \h </w:instrText>
      </w:r>
      <w:r>
        <w:fldChar w:fldCharType="separate"/>
      </w:r>
      <w:r>
        <w:t>22</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"_Toc109827053" </w:instrText>
      </w:r>
      <w:r>
        <w:fldChar w:fldCharType="separate"/>
      </w:r>
      <w:r>
        <w:rPr>
          <w:rStyle w:val="44"/>
          <w:rFonts w:hint="eastAsia" w:ascii="楷体" w:hAnsi="楷体" w:eastAsia="楷体"/>
        </w:rPr>
        <w:t>（三）开发准入退出机制</w:t>
      </w:r>
      <w:r>
        <w:tab/>
      </w:r>
      <w:r>
        <w:fldChar w:fldCharType="begin"/>
      </w:r>
      <w:r>
        <w:instrText xml:space="preserve"> PAGEREF _Toc109827053 \h </w:instrText>
      </w:r>
      <w:r>
        <w:fldChar w:fldCharType="separate"/>
      </w:r>
      <w:r>
        <w:t>22</w:t>
      </w:r>
      <w:r>
        <w:fldChar w:fldCharType="end"/>
      </w:r>
      <w:r>
        <w:fldChar w:fldCharType="end"/>
      </w:r>
    </w:p>
    <w:p>
      <w:pPr>
        <w:pStyle w:val="25"/>
        <w:tabs>
          <w:tab w:val="right" w:leader="dot" w:pos="8835"/>
        </w:tabs>
        <w:spacing w:line="500" w:lineRule="exact"/>
        <w:rPr>
          <w:rFonts w:asciiTheme="minorHAnsi" w:hAnsiTheme="minorHAnsi" w:eastAsiaTheme="minorEastAsia" w:cstheme="minorBidi"/>
          <w:snapToGrid/>
          <w:spacing w:val="0"/>
          <w:kern w:val="2"/>
          <w:sz w:val="21"/>
          <w:szCs w:val="22"/>
        </w:rPr>
      </w:pPr>
      <w:r>
        <w:fldChar w:fldCharType="begin"/>
      </w:r>
      <w:r>
        <w:instrText xml:space="preserve"> HYPERLINK \l "_Toc109827054" </w:instrText>
      </w:r>
      <w:r>
        <w:fldChar w:fldCharType="separate"/>
      </w:r>
      <w:r>
        <w:rPr>
          <w:rStyle w:val="44"/>
          <w:rFonts w:hint="eastAsia" w:ascii="黑体" w:hAnsi="黑体" w:eastAsia="黑体"/>
        </w:rPr>
        <w:t>五、绿色矿山建设和矿区生态保护</w:t>
      </w:r>
      <w:r>
        <w:tab/>
      </w:r>
      <w:r>
        <w:fldChar w:fldCharType="begin"/>
      </w:r>
      <w:r>
        <w:instrText xml:space="preserve"> PAGEREF _Toc109827054 \h </w:instrText>
      </w:r>
      <w:r>
        <w:fldChar w:fldCharType="separate"/>
      </w:r>
      <w:r>
        <w:t>26</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"_Toc109827055" </w:instrText>
      </w:r>
      <w:r>
        <w:fldChar w:fldCharType="separate"/>
      </w:r>
      <w:r>
        <w:rPr>
          <w:rStyle w:val="44"/>
          <w:rFonts w:hint="eastAsia" w:ascii="楷体" w:hAnsi="楷体" w:eastAsia="楷体"/>
        </w:rPr>
        <w:t>（一）绿色勘查</w:t>
      </w:r>
      <w:r>
        <w:tab/>
      </w:r>
      <w:r>
        <w:fldChar w:fldCharType="begin"/>
      </w:r>
      <w:r>
        <w:instrText xml:space="preserve"> PAGEREF _Toc109827055 \h </w:instrText>
      </w:r>
      <w:r>
        <w:fldChar w:fldCharType="separate"/>
      </w:r>
      <w:r>
        <w:t>26</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"_Toc109827056" </w:instrText>
      </w:r>
      <w:r>
        <w:fldChar w:fldCharType="separate"/>
      </w:r>
      <w:r>
        <w:rPr>
          <w:rStyle w:val="44"/>
          <w:rFonts w:hint="eastAsia" w:ascii="楷体" w:hAnsi="楷体" w:eastAsia="楷体"/>
        </w:rPr>
        <w:t>（二）绿色矿山建设</w:t>
      </w:r>
      <w:r>
        <w:tab/>
      </w:r>
      <w:r>
        <w:fldChar w:fldCharType="begin"/>
      </w:r>
      <w:r>
        <w:instrText xml:space="preserve"> PAGEREF _Toc109827056 \h </w:instrText>
      </w:r>
      <w:r>
        <w:fldChar w:fldCharType="separate"/>
      </w:r>
      <w:r>
        <w:t>26</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"_Toc109827057" </w:instrText>
      </w:r>
      <w:r>
        <w:fldChar w:fldCharType="separate"/>
      </w:r>
      <w:r>
        <w:rPr>
          <w:rStyle w:val="44"/>
          <w:rFonts w:hint="eastAsia" w:ascii="楷体" w:hAnsi="楷体" w:eastAsia="楷体"/>
        </w:rPr>
        <w:t>（三）智能矿山建设</w:t>
      </w:r>
      <w:r>
        <w:tab/>
      </w:r>
      <w:r>
        <w:fldChar w:fldCharType="begin"/>
      </w:r>
      <w:r>
        <w:instrText xml:space="preserve"> PAGEREF _Toc109827057 \h </w:instrText>
      </w:r>
      <w:r>
        <w:fldChar w:fldCharType="separate"/>
      </w:r>
      <w:r>
        <w:t>28</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"_Toc109827058" </w:instrText>
      </w:r>
      <w:r>
        <w:fldChar w:fldCharType="separate"/>
      </w:r>
      <w:r>
        <w:rPr>
          <w:rStyle w:val="44"/>
          <w:rFonts w:hint="eastAsia" w:ascii="楷体" w:hAnsi="楷体" w:eastAsia="楷体"/>
        </w:rPr>
        <w:t>（四）矿山生态保护修复</w:t>
      </w:r>
      <w:r>
        <w:tab/>
      </w:r>
      <w:r>
        <w:fldChar w:fldCharType="begin"/>
      </w:r>
      <w:r>
        <w:instrText xml:space="preserve"> PAGEREF _Toc109827058 \h </w:instrText>
      </w:r>
      <w:r>
        <w:fldChar w:fldCharType="separate"/>
      </w:r>
      <w:r>
        <w:t>29</w:t>
      </w:r>
      <w:r>
        <w:fldChar w:fldCharType="end"/>
      </w:r>
      <w:r>
        <w:fldChar w:fldCharType="end"/>
      </w:r>
    </w:p>
    <w:p>
      <w:pPr>
        <w:pStyle w:val="25"/>
        <w:tabs>
          <w:tab w:val="right" w:leader="dot" w:pos="8835"/>
        </w:tabs>
        <w:spacing w:line="500" w:lineRule="exact"/>
        <w:rPr>
          <w:rFonts w:asciiTheme="minorHAnsi" w:hAnsiTheme="minorHAnsi" w:eastAsiaTheme="minorEastAsia" w:cstheme="minorBidi"/>
          <w:snapToGrid/>
          <w:spacing w:val="0"/>
          <w:kern w:val="2"/>
          <w:sz w:val="21"/>
          <w:szCs w:val="22"/>
        </w:rPr>
      </w:pPr>
      <w:r>
        <w:fldChar w:fldCharType="begin"/>
      </w:r>
      <w:r>
        <w:instrText xml:space="preserve"> HYPERLINK \l "_Toc109827059" </w:instrText>
      </w:r>
      <w:r>
        <w:fldChar w:fldCharType="separate"/>
      </w:r>
      <w:r>
        <w:rPr>
          <w:rStyle w:val="44"/>
          <w:rFonts w:hint="eastAsia" w:ascii="黑体" w:hAnsi="黑体" w:eastAsia="黑体"/>
        </w:rPr>
        <w:t>六、矿证管理及开放合作</w:t>
      </w:r>
      <w:r>
        <w:tab/>
      </w:r>
      <w:r>
        <w:fldChar w:fldCharType="begin"/>
      </w:r>
      <w:r>
        <w:instrText xml:space="preserve"> PAGEREF _Toc109827059 \h </w:instrText>
      </w:r>
      <w:r>
        <w:fldChar w:fldCharType="separate"/>
      </w:r>
      <w:r>
        <w:t>32</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"_Toc109827060" </w:instrText>
      </w:r>
      <w:r>
        <w:fldChar w:fldCharType="separate"/>
      </w:r>
      <w:r>
        <w:rPr>
          <w:rStyle w:val="44"/>
          <w:rFonts w:hint="eastAsia" w:ascii="楷体" w:hAnsi="楷体" w:eastAsia="楷体"/>
        </w:rPr>
        <w:t>（一）矿证管理</w:t>
      </w:r>
      <w:r>
        <w:tab/>
      </w:r>
      <w:r>
        <w:fldChar w:fldCharType="begin"/>
      </w:r>
      <w:r>
        <w:instrText xml:space="preserve"> PAGEREF _Toc109827060 \h </w:instrText>
      </w:r>
      <w:r>
        <w:fldChar w:fldCharType="separate"/>
      </w:r>
      <w:r>
        <w:t>32</w:t>
      </w:r>
      <w:r>
        <w:fldChar w:fldCharType="end"/>
      </w:r>
      <w:r>
        <w:fldChar w:fldCharType="end"/>
      </w:r>
    </w:p>
    <w:p>
      <w:pPr>
        <w:pStyle w:val="28"/>
        <w:tabs>
          <w:tab w:val="right" w:leader="dot" w:pos="8835"/>
        </w:tabs>
        <w:spacing w:line="500" w:lineRule="exact"/>
        <w:ind w:left="568"/>
        <w:rPr>
          <w:rFonts w:asciiTheme="minorHAnsi" w:hAnsiTheme="minorHAnsi" w:eastAsiaTheme="minorEastAsia" w:cstheme="minorBidi"/>
          <w:snapToGrid/>
          <w:spacing w:val="0"/>
          <w:kern w:val="2"/>
          <w:sz w:val="21"/>
          <w:szCs w:val="22"/>
        </w:rPr>
      </w:pPr>
      <w:r>
        <w:fldChar w:fldCharType="begin"/>
      </w:r>
      <w:r>
        <w:instrText xml:space="preserve"> HYPERLINK \l "_Toc109827061" </w:instrText>
      </w:r>
      <w:r>
        <w:fldChar w:fldCharType="separate"/>
      </w:r>
      <w:r>
        <w:rPr>
          <w:rStyle w:val="44"/>
          <w:rFonts w:hint="eastAsia" w:ascii="楷体" w:hAnsi="楷体" w:eastAsia="楷体"/>
        </w:rPr>
        <w:t>（二）开放合作</w:t>
      </w:r>
      <w:r>
        <w:tab/>
      </w:r>
      <w:r>
        <w:fldChar w:fldCharType="begin"/>
      </w:r>
      <w:r>
        <w:instrText xml:space="preserve"> PAGEREF _Toc109827061 \h </w:instrText>
      </w:r>
      <w:r>
        <w:fldChar w:fldCharType="separate"/>
      </w:r>
      <w:r>
        <w:t>33</w:t>
      </w:r>
      <w:r>
        <w:fldChar w:fldCharType="end"/>
      </w:r>
      <w:r>
        <w:fldChar w:fldCharType="end"/>
      </w:r>
    </w:p>
    <w:p>
      <w:pPr>
        <w:pStyle w:val="25"/>
        <w:tabs>
          <w:tab w:val="right" w:leader="dot" w:pos="8835"/>
        </w:tabs>
        <w:spacing w:line="500" w:lineRule="exact"/>
        <w:rPr>
          <w:rFonts w:asciiTheme="minorHAnsi" w:hAnsiTheme="minorHAnsi" w:eastAsiaTheme="minorEastAsia" w:cstheme="minorBidi"/>
          <w:snapToGrid/>
          <w:spacing w:val="0"/>
          <w:kern w:val="2"/>
          <w:sz w:val="21"/>
          <w:szCs w:val="22"/>
        </w:rPr>
      </w:pPr>
      <w:r>
        <w:fldChar w:fldCharType="begin"/>
      </w:r>
      <w:r>
        <w:instrText xml:space="preserve"> HYPERLINK \l "_Toc109827062" </w:instrText>
      </w:r>
      <w:r>
        <w:fldChar w:fldCharType="separate"/>
      </w:r>
      <w:r>
        <w:rPr>
          <w:rStyle w:val="44"/>
          <w:rFonts w:hint="eastAsia" w:ascii="黑体" w:hAnsi="黑体" w:eastAsia="黑体"/>
        </w:rPr>
        <w:t>七、重点项目</w:t>
      </w:r>
      <w:r>
        <w:tab/>
      </w:r>
      <w:r>
        <w:fldChar w:fldCharType="begin"/>
      </w:r>
      <w:r>
        <w:instrText xml:space="preserve"> PAGEREF _Toc109827062 \h </w:instrText>
      </w:r>
      <w:r>
        <w:fldChar w:fldCharType="separate"/>
      </w:r>
      <w:r>
        <w:t>34</w:t>
      </w:r>
      <w:r>
        <w:fldChar w:fldCharType="end"/>
      </w:r>
      <w:r>
        <w:fldChar w:fldCharType="end"/>
      </w:r>
    </w:p>
    <w:p>
      <w:pPr>
        <w:pStyle w:val="25"/>
        <w:tabs>
          <w:tab w:val="right" w:leader="dot" w:pos="8835"/>
        </w:tabs>
        <w:spacing w:line="500" w:lineRule="exact"/>
        <w:rPr>
          <w:rFonts w:asciiTheme="minorHAnsi" w:hAnsiTheme="minorHAnsi" w:eastAsiaTheme="minorEastAsia" w:cstheme="minorBidi"/>
          <w:snapToGrid/>
          <w:spacing w:val="0"/>
          <w:kern w:val="2"/>
          <w:sz w:val="21"/>
          <w:szCs w:val="22"/>
        </w:rPr>
      </w:pPr>
      <w:r>
        <w:fldChar w:fldCharType="begin"/>
      </w:r>
      <w:r>
        <w:instrText xml:space="preserve"> HYPERLINK \l "_Toc109827063" </w:instrText>
      </w:r>
      <w:r>
        <w:fldChar w:fldCharType="separate"/>
      </w:r>
      <w:r>
        <w:rPr>
          <w:rStyle w:val="44"/>
          <w:rFonts w:hint="eastAsia" w:ascii="黑体" w:hAnsi="黑体" w:eastAsia="黑体"/>
        </w:rPr>
        <w:t>八、规划保障措施</w:t>
      </w:r>
      <w:r>
        <w:tab/>
      </w:r>
      <w:r>
        <w:fldChar w:fldCharType="begin"/>
      </w:r>
      <w:r>
        <w:instrText xml:space="preserve"> PAGEREF _Toc109827063 \h </w:instrText>
      </w:r>
      <w:r>
        <w:fldChar w:fldCharType="separate"/>
      </w:r>
      <w:r>
        <w:t>36</w:t>
      </w:r>
      <w:r>
        <w:fldChar w:fldCharType="end"/>
      </w:r>
      <w:r>
        <w:fldChar w:fldCharType="end"/>
      </w:r>
    </w:p>
    <w:p>
      <w:pPr>
        <w:jc w:val="center"/>
        <w:rPr>
          <w:rFonts w:ascii="Times New Roman"/>
          <w:b/>
          <w:sz w:val="36"/>
          <w:szCs w:val="30"/>
        </w:rPr>
      </w:pPr>
      <w:r>
        <w:rPr>
          <w:rFonts w:ascii="Times New Roman"/>
          <w:b/>
          <w:bCs/>
          <w:sz w:val="30"/>
          <w:szCs w:val="30"/>
          <w:lang w:val="zh-CN"/>
        </w:rPr>
        <w:fldChar w:fldCharType="end"/>
      </w:r>
      <w:r>
        <w:rPr>
          <w:rFonts w:ascii="Times New Roman"/>
          <w:b/>
          <w:sz w:val="36"/>
          <w:szCs w:val="30"/>
        </w:rPr>
        <w:t>总</w:t>
      </w:r>
      <w:r>
        <w:rPr>
          <w:rFonts w:hint="eastAsia" w:ascii="Times New Roman"/>
          <w:b/>
          <w:sz w:val="36"/>
          <w:szCs w:val="30"/>
        </w:rPr>
        <w:t xml:space="preserve"> </w:t>
      </w:r>
      <w:r>
        <w:rPr>
          <w:rFonts w:ascii="Times New Roman"/>
          <w:b/>
          <w:sz w:val="36"/>
          <w:szCs w:val="30"/>
        </w:rPr>
        <w:t>则</w:t>
      </w:r>
    </w:p>
    <w:p>
      <w:pPr>
        <w:widowControl/>
        <w:adjustRightInd/>
        <w:ind w:firstLine="616" w:firstLineChars="200"/>
        <w:rPr>
          <w:rFonts w:ascii="Times New Roman"/>
          <w:sz w:val="30"/>
          <w:szCs w:val="30"/>
        </w:rPr>
      </w:pPr>
      <w:r>
        <w:rPr>
          <w:rFonts w:ascii="Times New Roman"/>
          <w:sz w:val="30"/>
          <w:szCs w:val="30"/>
        </w:rPr>
        <w:t>矿产资源是国民经济和社会发展的重要物质基础，也是</w:t>
      </w:r>
      <w:r>
        <w:rPr>
          <w:rFonts w:hint="eastAsia" w:ascii="Times New Roman"/>
          <w:sz w:val="30"/>
          <w:szCs w:val="30"/>
        </w:rPr>
        <w:t>伊宁市</w:t>
      </w:r>
      <w:r>
        <w:rPr>
          <w:rFonts w:ascii="Times New Roman"/>
          <w:sz w:val="30"/>
          <w:szCs w:val="30"/>
        </w:rPr>
        <w:t>实现现代工业化建设的重要保障。</w:t>
      </w:r>
      <w:r>
        <w:rPr>
          <w:rFonts w:hint="eastAsia" w:ascii="Times New Roman"/>
          <w:sz w:val="30"/>
          <w:szCs w:val="30"/>
        </w:rPr>
        <w:t>为加强矿产资源勘查开发与保护的宏观调控和规范管理，发挥矿产资源在经济建设中的重要作用，</w:t>
      </w:r>
      <w:r>
        <w:rPr>
          <w:rFonts w:ascii="Times New Roman"/>
          <w:sz w:val="30"/>
          <w:szCs w:val="30"/>
        </w:rPr>
        <w:t>进一步提高矿产资源对经济社会发展的保障能力，加快矿业转型升级和绿色发展，依据《新疆维吾尔自治区矿产资源总体规划（2021</w:t>
      </w:r>
      <w:r>
        <w:rPr>
          <w:rFonts w:hint="eastAsia" w:ascii="Times New Roman"/>
          <w:sz w:val="30"/>
          <w:szCs w:val="30"/>
        </w:rPr>
        <w:t>—</w:t>
      </w:r>
      <w:r>
        <w:rPr>
          <w:rFonts w:ascii="Times New Roman"/>
          <w:sz w:val="30"/>
          <w:szCs w:val="30"/>
        </w:rPr>
        <w:t>2025年）</w:t>
      </w:r>
      <w:r>
        <w:rPr>
          <w:rFonts w:hint="eastAsia" w:ascii="Times New Roman"/>
          <w:sz w:val="30"/>
          <w:szCs w:val="30"/>
          <w:lang w:eastAsia="zh-CN"/>
        </w:rPr>
        <w:t>》《</w:t>
      </w:r>
      <w:r>
        <w:rPr>
          <w:rFonts w:hint="eastAsia" w:ascii="Times New Roman"/>
          <w:sz w:val="30"/>
          <w:szCs w:val="30"/>
        </w:rPr>
        <w:t>新疆维吾尔自治区伊犁哈萨克自治州矿产资源总体规划（2021—2025年）</w:t>
      </w:r>
      <w:r>
        <w:rPr>
          <w:rFonts w:hint="eastAsia" w:ascii="Times New Roman"/>
          <w:sz w:val="30"/>
          <w:szCs w:val="30"/>
          <w:lang w:eastAsia="zh-CN"/>
        </w:rPr>
        <w:t>》《</w:t>
      </w:r>
      <w:r>
        <w:rPr>
          <w:rFonts w:ascii="Times New Roman"/>
          <w:sz w:val="32"/>
        </w:rPr>
        <w:t>伊宁市国民经济和社会发展第十四个五年规划和2035年远景目标纲要</w:t>
      </w:r>
      <w:r>
        <w:rPr>
          <w:rFonts w:hint="eastAsia" w:ascii="Times New Roman"/>
          <w:sz w:val="32"/>
          <w:lang w:eastAsia="zh-CN"/>
        </w:rPr>
        <w:t>》《</w:t>
      </w:r>
      <w:r>
        <w:rPr>
          <w:rFonts w:hint="eastAsia" w:ascii="Times New Roman"/>
          <w:sz w:val="30"/>
          <w:szCs w:val="30"/>
        </w:rPr>
        <w:t>伊宁市</w:t>
      </w:r>
      <w:r>
        <w:rPr>
          <w:rFonts w:ascii="Times New Roman"/>
          <w:sz w:val="30"/>
          <w:szCs w:val="30"/>
        </w:rPr>
        <w:t>国土空间规划（2021</w:t>
      </w:r>
      <w:r>
        <w:rPr>
          <w:rFonts w:hint="eastAsia" w:ascii="Times New Roman"/>
          <w:sz w:val="30"/>
          <w:szCs w:val="30"/>
        </w:rPr>
        <w:t>—</w:t>
      </w:r>
      <w:r>
        <w:rPr>
          <w:rFonts w:ascii="Times New Roman"/>
          <w:sz w:val="30"/>
          <w:szCs w:val="30"/>
        </w:rPr>
        <w:t>2035年）》等要求，制定《</w:t>
      </w:r>
      <w:r>
        <w:rPr>
          <w:rFonts w:hint="eastAsia" w:ascii="Times New Roman"/>
          <w:sz w:val="30"/>
          <w:szCs w:val="30"/>
        </w:rPr>
        <w:t>新疆维吾尔自治区伊宁市</w:t>
      </w:r>
      <w:r>
        <w:rPr>
          <w:rFonts w:ascii="Times New Roman"/>
          <w:sz w:val="30"/>
          <w:szCs w:val="30"/>
        </w:rPr>
        <w:t>矿产资源总体规划（2021</w:t>
      </w:r>
      <w:r>
        <w:rPr>
          <w:rFonts w:hint="eastAsia" w:ascii="Times New Roman"/>
          <w:sz w:val="30"/>
          <w:szCs w:val="30"/>
        </w:rPr>
        <w:t>—</w:t>
      </w:r>
      <w:r>
        <w:rPr>
          <w:rFonts w:ascii="Times New Roman"/>
          <w:sz w:val="30"/>
          <w:szCs w:val="30"/>
        </w:rPr>
        <w:t>2025年）》（以下简称《规划》）。</w:t>
      </w:r>
    </w:p>
    <w:p>
      <w:pPr>
        <w:widowControl/>
        <w:adjustRightInd/>
        <w:ind w:firstLine="616" w:firstLineChars="200"/>
        <w:rPr>
          <w:rFonts w:ascii="Times New Roman"/>
          <w:sz w:val="30"/>
          <w:szCs w:val="30"/>
        </w:rPr>
      </w:pPr>
      <w:r>
        <w:rPr>
          <w:rFonts w:ascii="Times New Roman"/>
          <w:sz w:val="30"/>
          <w:szCs w:val="30"/>
        </w:rPr>
        <w:t>《规划》是</w:t>
      </w:r>
      <w:r>
        <w:rPr>
          <w:rFonts w:hint="eastAsia" w:ascii="Times New Roman"/>
          <w:sz w:val="30"/>
          <w:szCs w:val="30"/>
        </w:rPr>
        <w:t>伊宁市</w:t>
      </w:r>
      <w:r>
        <w:rPr>
          <w:rFonts w:ascii="Times New Roman"/>
          <w:sz w:val="30"/>
          <w:szCs w:val="30"/>
        </w:rPr>
        <w:t>矿产资源勘查、矿产资源开发利用和矿山</w:t>
      </w:r>
      <w:r>
        <w:rPr>
          <w:rFonts w:hint="eastAsia" w:ascii="Times New Roman"/>
          <w:sz w:val="30"/>
          <w:szCs w:val="30"/>
        </w:rPr>
        <w:t>生态保护与修复</w:t>
      </w:r>
      <w:r>
        <w:rPr>
          <w:rFonts w:ascii="Times New Roman"/>
          <w:sz w:val="30"/>
          <w:szCs w:val="30"/>
        </w:rPr>
        <w:t>的纲领性文件，是自然资源部门依法审批和监督管理矿产资源勘查、矿产资源开发利用活动的重要依据。在</w:t>
      </w:r>
      <w:r>
        <w:rPr>
          <w:rFonts w:hint="eastAsia" w:ascii="Times New Roman"/>
          <w:sz w:val="30"/>
          <w:szCs w:val="30"/>
        </w:rPr>
        <w:t>伊宁市</w:t>
      </w:r>
      <w:r>
        <w:rPr>
          <w:rFonts w:ascii="Times New Roman"/>
          <w:sz w:val="30"/>
          <w:szCs w:val="30"/>
        </w:rPr>
        <w:t>境内开展基础地质调查评价、矿产勘查、矿产资源开发利用和保护、矿业绿色发展、矿产资源管理等活动，应当符合《规划》。涉及矿产资源勘查开发活动的相关行业规划，应当与本《规划》做好衔接。</w:t>
      </w:r>
    </w:p>
    <w:p>
      <w:pPr>
        <w:widowControl/>
        <w:adjustRightInd/>
        <w:ind w:firstLine="616" w:firstLineChars="200"/>
        <w:jc w:val="left"/>
        <w:rPr>
          <w:rFonts w:ascii="Times New Roman"/>
          <w:sz w:val="30"/>
          <w:szCs w:val="30"/>
        </w:rPr>
      </w:pPr>
      <w:r>
        <w:rPr>
          <w:rFonts w:ascii="Times New Roman"/>
          <w:sz w:val="30"/>
          <w:szCs w:val="30"/>
        </w:rPr>
        <w:t>《规划》</w:t>
      </w:r>
      <w:r>
        <w:rPr>
          <w:rFonts w:hint="eastAsia" w:ascii="Times New Roman"/>
          <w:sz w:val="30"/>
          <w:szCs w:val="30"/>
        </w:rPr>
        <w:t>适用范围：伊宁市行政辖区。</w:t>
      </w:r>
    </w:p>
    <w:p>
      <w:pPr>
        <w:widowControl/>
        <w:adjustRightInd/>
        <w:ind w:firstLine="616" w:firstLineChars="200"/>
        <w:jc w:val="left"/>
        <w:rPr>
          <w:rFonts w:ascii="Times New Roman"/>
          <w:sz w:val="30"/>
          <w:szCs w:val="30"/>
        </w:rPr>
        <w:sectPr>
          <w:footerReference r:id="rId7" w:type="default"/>
          <w:footerReference r:id="rId8" w:type="even"/>
          <w:pgSz w:w="11907" w:h="16839"/>
          <w:pgMar w:top="1418" w:right="1531" w:bottom="1418" w:left="1531" w:header="851" w:footer="851" w:gutter="0"/>
          <w:pgNumType w:start="1"/>
          <w:cols w:space="720" w:num="1"/>
          <w:docGrid w:type="lines" w:linePitch="312" w:charSpace="0"/>
        </w:sectPr>
      </w:pPr>
      <w:r>
        <w:rPr>
          <w:rFonts w:hint="eastAsia" w:ascii="Times New Roman"/>
          <w:sz w:val="30"/>
          <w:szCs w:val="30"/>
        </w:rPr>
        <w:t>《规划》</w:t>
      </w:r>
      <w:r>
        <w:rPr>
          <w:rFonts w:ascii="Times New Roman"/>
          <w:sz w:val="30"/>
          <w:szCs w:val="30"/>
        </w:rPr>
        <w:t>以2020年为</w:t>
      </w:r>
      <w:r>
        <w:rPr>
          <w:rFonts w:hint="eastAsia" w:ascii="Times New Roman"/>
          <w:sz w:val="30"/>
          <w:szCs w:val="30"/>
        </w:rPr>
        <w:t>基准年</w:t>
      </w:r>
      <w:r>
        <w:rPr>
          <w:rFonts w:ascii="Times New Roman"/>
          <w:sz w:val="30"/>
          <w:szCs w:val="30"/>
        </w:rPr>
        <w:t>，</w:t>
      </w:r>
      <w:r>
        <w:rPr>
          <w:rFonts w:hint="eastAsia" w:ascii="Times New Roman"/>
          <w:sz w:val="30"/>
          <w:szCs w:val="30"/>
        </w:rPr>
        <w:t>2021—2025年为规划期</w:t>
      </w:r>
      <w:r>
        <w:rPr>
          <w:rFonts w:ascii="Times New Roman"/>
          <w:sz w:val="30"/>
          <w:szCs w:val="30"/>
        </w:rPr>
        <w:t>，展望到2035年。</w:t>
      </w:r>
    </w:p>
    <w:p>
      <w:pPr>
        <w:pStyle w:val="2"/>
        <w:spacing w:beforeLines="0" w:afterLines="0" w:line="560" w:lineRule="exact"/>
        <w:jc w:val="both"/>
        <w:rPr>
          <w:rFonts w:ascii="黑体" w:hAnsi="黑体" w:eastAsia="黑体"/>
          <w:b w:val="0"/>
          <w:sz w:val="36"/>
          <w:szCs w:val="36"/>
        </w:rPr>
      </w:pPr>
      <w:bookmarkStart w:id="11" w:name="_Toc109827037"/>
      <w:r>
        <w:rPr>
          <w:rFonts w:hint="eastAsia" w:ascii="黑体" w:hAnsi="黑体" w:eastAsia="黑体"/>
          <w:b w:val="0"/>
          <w:sz w:val="36"/>
          <w:szCs w:val="36"/>
        </w:rPr>
        <w:t>一、</w:t>
      </w:r>
      <w:r>
        <w:rPr>
          <w:rFonts w:ascii="黑体" w:hAnsi="黑体" w:eastAsia="黑体"/>
          <w:b w:val="0"/>
          <w:sz w:val="36"/>
          <w:szCs w:val="36"/>
        </w:rPr>
        <w:t>现状与形势</w:t>
      </w:r>
      <w:bookmarkEnd w:id="11"/>
    </w:p>
    <w:p>
      <w:pPr>
        <w:pStyle w:val="3"/>
        <w:spacing w:beforeLines="0" w:afterLines="0"/>
        <w:jc w:val="left"/>
        <w:rPr>
          <w:rFonts w:ascii="楷体" w:hAnsi="楷体" w:eastAsia="楷体"/>
          <w:sz w:val="32"/>
          <w:szCs w:val="32"/>
        </w:rPr>
      </w:pPr>
      <w:bookmarkStart w:id="12" w:name="_Toc109827038"/>
      <w:r>
        <w:rPr>
          <w:rFonts w:hint="eastAsia" w:ascii="楷体" w:hAnsi="楷体" w:eastAsia="楷体"/>
          <w:sz w:val="32"/>
          <w:szCs w:val="32"/>
        </w:rPr>
        <w:t>（</w:t>
      </w:r>
      <w:r>
        <w:rPr>
          <w:rFonts w:ascii="楷体" w:hAnsi="楷体" w:eastAsia="楷体"/>
          <w:sz w:val="32"/>
          <w:szCs w:val="32"/>
        </w:rPr>
        <w:t>一</w:t>
      </w:r>
      <w:r>
        <w:rPr>
          <w:rFonts w:hint="eastAsia" w:ascii="楷体" w:hAnsi="楷体" w:eastAsia="楷体"/>
          <w:sz w:val="32"/>
          <w:szCs w:val="32"/>
        </w:rPr>
        <w:t>）</w:t>
      </w:r>
      <w:r>
        <w:rPr>
          <w:rFonts w:ascii="楷体" w:hAnsi="楷体" w:eastAsia="楷体"/>
          <w:sz w:val="32"/>
          <w:szCs w:val="32"/>
        </w:rPr>
        <w:t>矿产资源及勘查</w:t>
      </w:r>
      <w:r>
        <w:rPr>
          <w:rFonts w:hint="eastAsia" w:ascii="楷体" w:hAnsi="楷体" w:eastAsia="楷体"/>
          <w:sz w:val="32"/>
          <w:szCs w:val="32"/>
        </w:rPr>
        <w:t>、</w:t>
      </w:r>
      <w:r>
        <w:rPr>
          <w:rFonts w:ascii="楷体" w:hAnsi="楷体" w:eastAsia="楷体"/>
          <w:sz w:val="32"/>
          <w:szCs w:val="32"/>
        </w:rPr>
        <w:t>开发现状</w:t>
      </w:r>
      <w:bookmarkEnd w:id="12"/>
    </w:p>
    <w:p>
      <w:pPr>
        <w:ind w:firstLine="656" w:firstLineChars="200"/>
        <w:rPr>
          <w:rFonts w:ascii="Times New Roman"/>
          <w:sz w:val="32"/>
          <w:szCs w:val="32"/>
        </w:rPr>
      </w:pPr>
      <w:r>
        <w:rPr>
          <w:rFonts w:ascii="Times New Roman"/>
          <w:sz w:val="32"/>
          <w:szCs w:val="32"/>
        </w:rPr>
        <w:t>伊宁市位于</w:t>
      </w:r>
      <w:r>
        <w:rPr>
          <w:rFonts w:hint="eastAsia" w:ascii="Times New Roman"/>
          <w:sz w:val="32"/>
          <w:szCs w:val="32"/>
        </w:rPr>
        <w:t>我</w:t>
      </w:r>
      <w:r>
        <w:rPr>
          <w:rFonts w:ascii="Times New Roman"/>
          <w:sz w:val="32"/>
          <w:szCs w:val="32"/>
        </w:rPr>
        <w:t>国新疆西北边陲，地处伊犁河谷盆地中央，是伊犁哈萨克自治州首府，也是丝绸之路经济带重要门户城市，国家历史文化名城。</w:t>
      </w:r>
      <w:r>
        <w:rPr>
          <w:rFonts w:hint="eastAsia" w:ascii="Times New Roman"/>
          <w:sz w:val="32"/>
          <w:szCs w:val="32"/>
        </w:rPr>
        <w:t>其</w:t>
      </w:r>
      <w:r>
        <w:rPr>
          <w:rFonts w:ascii="Times New Roman"/>
          <w:sz w:val="32"/>
          <w:szCs w:val="32"/>
        </w:rPr>
        <w:t>东连伊宁县，西邻霍城县，南濒伊犁河与察布查尔锡伯自治县隔河相望，北依科古尔琴山。</w:t>
      </w:r>
      <w:r>
        <w:rPr>
          <w:rFonts w:hint="eastAsia" w:ascii="Times New Roman"/>
          <w:sz w:val="32"/>
          <w:szCs w:val="32"/>
        </w:rPr>
        <w:t>地理坐标范围：</w:t>
      </w:r>
      <w:r>
        <w:rPr>
          <w:rFonts w:ascii="Times New Roman"/>
          <w:sz w:val="32"/>
          <w:szCs w:val="32"/>
        </w:rPr>
        <w:t>东经81°04′30″</w:t>
      </w:r>
      <w:r>
        <w:rPr>
          <w:rFonts w:hint="eastAsia" w:ascii="Times New Roman"/>
          <w:sz w:val="32"/>
          <w:szCs w:val="32"/>
        </w:rPr>
        <w:t>—</w:t>
      </w:r>
      <w:r>
        <w:rPr>
          <w:rFonts w:ascii="Times New Roman"/>
          <w:sz w:val="32"/>
          <w:szCs w:val="32"/>
        </w:rPr>
        <w:t>81°30′00″，北纬43°50′00″</w:t>
      </w:r>
      <w:r>
        <w:rPr>
          <w:rFonts w:hint="eastAsia" w:ascii="Times New Roman"/>
          <w:sz w:val="32"/>
          <w:szCs w:val="32"/>
        </w:rPr>
        <w:t>—</w:t>
      </w:r>
      <w:r>
        <w:rPr>
          <w:rFonts w:ascii="Times New Roman"/>
          <w:sz w:val="32"/>
          <w:szCs w:val="32"/>
        </w:rPr>
        <w:t>44°10′00″</w:t>
      </w:r>
      <w:r>
        <w:rPr>
          <w:rFonts w:hint="eastAsia" w:ascii="Times New Roman"/>
          <w:sz w:val="32"/>
          <w:szCs w:val="32"/>
        </w:rPr>
        <w:t>，市域面积761.3平方千米</w:t>
      </w:r>
      <w:r>
        <w:rPr>
          <w:rFonts w:ascii="Times New Roman"/>
          <w:sz w:val="32"/>
          <w:szCs w:val="32"/>
        </w:rPr>
        <w:t>。</w:t>
      </w:r>
    </w:p>
    <w:p>
      <w:pPr>
        <w:ind w:firstLine="659" w:firstLineChars="200"/>
        <w:rPr>
          <w:rFonts w:ascii="Times New Roman"/>
          <w:sz w:val="32"/>
          <w:szCs w:val="32"/>
        </w:rPr>
      </w:pPr>
      <w:r>
        <w:rPr>
          <w:rFonts w:ascii="Times New Roman"/>
          <w:b/>
          <w:bCs/>
          <w:sz w:val="32"/>
          <w:szCs w:val="32"/>
        </w:rPr>
        <w:t>矿产资源概况</w:t>
      </w:r>
      <w:r>
        <w:rPr>
          <w:rFonts w:ascii="Times New Roman"/>
          <w:sz w:val="32"/>
          <w:szCs w:val="32"/>
        </w:rPr>
        <w:t>。</w:t>
      </w:r>
      <w:r>
        <w:rPr>
          <w:rFonts w:hint="eastAsia" w:ascii="Times New Roman"/>
          <w:sz w:val="32"/>
          <w:szCs w:val="32"/>
        </w:rPr>
        <w:t>伊宁市辖区由南向北分属</w:t>
      </w:r>
      <w:r>
        <w:rPr>
          <w:rFonts w:ascii="Times New Roman"/>
          <w:sz w:val="32"/>
          <w:szCs w:val="32"/>
        </w:rPr>
        <w:t>伊犁盆地（地块）Au-Mn-W-U-煤-油气矿带，阿吾拉勒（裂谷）Fe-Au-Cu-Fe-Pb-Zn矿带</w:t>
      </w:r>
      <w:r>
        <w:rPr>
          <w:rFonts w:hint="eastAsia" w:ascii="Times New Roman"/>
          <w:sz w:val="32"/>
          <w:szCs w:val="32"/>
        </w:rPr>
        <w:t>及</w:t>
      </w:r>
      <w:r>
        <w:rPr>
          <w:rFonts w:ascii="Times New Roman"/>
          <w:sz w:val="32"/>
          <w:szCs w:val="32"/>
        </w:rPr>
        <w:t>博罗科努Au-Cu-Pb-Zn-磷灰石矿带，</w:t>
      </w:r>
      <w:r>
        <w:rPr>
          <w:rFonts w:hint="eastAsia" w:ascii="Times New Roman"/>
          <w:sz w:val="32"/>
          <w:szCs w:val="32"/>
        </w:rPr>
        <w:t>其矿产资源丰富，其主要矿产为煤、耐火粘土、页岩及建筑用砂矿等。</w:t>
      </w:r>
      <w:r>
        <w:rPr>
          <w:rFonts w:hint="eastAsia" w:ascii="Times New Roman"/>
          <w:sz w:val="32"/>
          <w:szCs w:val="32"/>
          <w:lang w:eastAsia="zh-CN"/>
        </w:rPr>
        <w:t>截至</w:t>
      </w:r>
      <w:r>
        <w:rPr>
          <w:rFonts w:hint="eastAsia" w:ascii="Times New Roman"/>
          <w:sz w:val="32"/>
          <w:szCs w:val="32"/>
        </w:rPr>
        <w:t>2020年底，已发现固体矿产9种，上表矿床8处，其中煤炭矿床7处，大型2处，小型5处，累计查明资源量33.86亿吨；小型耐火粘土矿床1处，累计查明资源量199.7万吨。依据矿山国情调查数据，统计了伊宁市三类矿产资源保有量，其中砖瓦用粘土754.26万立方米，建筑用砂80.99万立方米。（专栏1）</w:t>
      </w:r>
    </w:p>
    <w:tbl>
      <w:tblPr>
        <w:tblStyle w:val="35"/>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684"/>
        <w:gridCol w:w="1343"/>
        <w:gridCol w:w="1844"/>
        <w:gridCol w:w="1864"/>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00" w:type="pct"/>
            <w:gridSpan w:val="6"/>
            <w:shd w:val="clear" w:color="auto" w:fill="E7E6E6" w:themeFill="background2"/>
            <w:noWrap/>
          </w:tcPr>
          <w:p>
            <w:pPr>
              <w:spacing w:before="38" w:beforeLines="10" w:after="38" w:afterLines="10" w:line="300" w:lineRule="exact"/>
              <w:rPr>
                <w:rFonts w:ascii="Times New Roman"/>
                <w:b/>
                <w:bCs/>
                <w:color w:val="000000"/>
                <w:sz w:val="24"/>
              </w:rPr>
            </w:pPr>
            <w:r>
              <w:rPr>
                <w:rFonts w:ascii="Times New Roman"/>
                <w:b/>
                <w:bCs/>
                <w:color w:val="000000"/>
                <w:sz w:val="24"/>
              </w:rPr>
              <w:t xml:space="preserve">专栏1         </w:t>
            </w:r>
            <w:r>
              <w:rPr>
                <w:rFonts w:hint="eastAsia" w:ascii="Times New Roman"/>
                <w:b/>
                <w:bCs/>
                <w:color w:val="000000"/>
                <w:sz w:val="24"/>
              </w:rPr>
              <w:t xml:space="preserve">                </w:t>
            </w:r>
            <w:r>
              <w:rPr>
                <w:rFonts w:ascii="Times New Roman"/>
                <w:b/>
                <w:bCs/>
                <w:color w:val="000000"/>
                <w:sz w:val="24"/>
              </w:rPr>
              <w:t>截至2020年</w:t>
            </w:r>
            <w:r>
              <w:rPr>
                <w:rFonts w:hint="eastAsia" w:ascii="Times New Roman"/>
                <w:b/>
                <w:bCs/>
                <w:color w:val="000000"/>
                <w:sz w:val="24"/>
              </w:rPr>
              <w:t>底伊宁市</w:t>
            </w:r>
            <w:r>
              <w:rPr>
                <w:rFonts w:ascii="Times New Roman"/>
                <w:b/>
                <w:bCs/>
                <w:color w:val="000000"/>
                <w:sz w:val="24"/>
              </w:rPr>
              <w:t>查明矿产资源储量统计表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76" w:type="pct"/>
            <w:noWrap/>
          </w:tcPr>
          <w:p>
            <w:pPr>
              <w:spacing w:before="38" w:beforeLines="10" w:after="38" w:afterLines="10" w:line="300" w:lineRule="exact"/>
              <w:jc w:val="center"/>
              <w:rPr>
                <w:rFonts w:ascii="Times New Roman"/>
                <w:b/>
                <w:bCs/>
                <w:color w:val="000000"/>
                <w:sz w:val="21"/>
                <w:szCs w:val="21"/>
              </w:rPr>
            </w:pPr>
            <w:r>
              <w:rPr>
                <w:rFonts w:ascii="Times New Roman"/>
                <w:b/>
                <w:bCs/>
                <w:color w:val="000000"/>
                <w:sz w:val="21"/>
                <w:szCs w:val="21"/>
              </w:rPr>
              <w:t>序号</w:t>
            </w:r>
          </w:p>
        </w:tc>
        <w:tc>
          <w:tcPr>
            <w:tcW w:w="925" w:type="pct"/>
            <w:noWrap/>
          </w:tcPr>
          <w:p>
            <w:pPr>
              <w:spacing w:before="38" w:beforeLines="10" w:after="38" w:afterLines="10" w:line="300" w:lineRule="exact"/>
              <w:jc w:val="center"/>
              <w:rPr>
                <w:rFonts w:ascii="Times New Roman"/>
                <w:b/>
                <w:bCs/>
                <w:color w:val="000000"/>
                <w:sz w:val="21"/>
                <w:szCs w:val="21"/>
              </w:rPr>
            </w:pPr>
            <w:r>
              <w:rPr>
                <w:rFonts w:ascii="Times New Roman"/>
                <w:b/>
                <w:bCs/>
                <w:color w:val="000000"/>
                <w:sz w:val="21"/>
                <w:szCs w:val="21"/>
              </w:rPr>
              <w:t>矿种</w:t>
            </w:r>
          </w:p>
        </w:tc>
        <w:tc>
          <w:tcPr>
            <w:tcW w:w="738" w:type="pct"/>
          </w:tcPr>
          <w:p>
            <w:pPr>
              <w:spacing w:before="38" w:beforeLines="10" w:after="38" w:afterLines="10" w:line="300" w:lineRule="exact"/>
              <w:jc w:val="center"/>
              <w:rPr>
                <w:rFonts w:ascii="Times New Roman"/>
                <w:b/>
                <w:bCs/>
                <w:color w:val="000000"/>
                <w:sz w:val="21"/>
                <w:szCs w:val="21"/>
              </w:rPr>
            </w:pPr>
            <w:r>
              <w:rPr>
                <w:rFonts w:ascii="Times New Roman"/>
                <w:b/>
                <w:bCs/>
                <w:color w:val="000000"/>
                <w:sz w:val="21"/>
                <w:szCs w:val="21"/>
              </w:rPr>
              <w:t>矿</w:t>
            </w:r>
            <w:r>
              <w:rPr>
                <w:rFonts w:hint="eastAsia" w:ascii="Times New Roman"/>
                <w:b/>
                <w:bCs/>
                <w:color w:val="000000"/>
                <w:sz w:val="21"/>
                <w:szCs w:val="21"/>
              </w:rPr>
              <w:t>床</w:t>
            </w:r>
            <w:r>
              <w:rPr>
                <w:rFonts w:ascii="Times New Roman"/>
                <w:b/>
                <w:bCs/>
                <w:color w:val="000000"/>
                <w:sz w:val="21"/>
                <w:szCs w:val="21"/>
              </w:rPr>
              <w:t>数</w:t>
            </w:r>
          </w:p>
        </w:tc>
        <w:tc>
          <w:tcPr>
            <w:tcW w:w="1013" w:type="pct"/>
            <w:noWrap/>
          </w:tcPr>
          <w:p>
            <w:pPr>
              <w:spacing w:before="38" w:beforeLines="10" w:after="38" w:afterLines="10" w:line="300" w:lineRule="exact"/>
              <w:jc w:val="center"/>
              <w:rPr>
                <w:rFonts w:ascii="Times New Roman"/>
                <w:b/>
                <w:bCs/>
                <w:color w:val="000000"/>
                <w:sz w:val="21"/>
                <w:szCs w:val="21"/>
              </w:rPr>
            </w:pPr>
            <w:r>
              <w:rPr>
                <w:rFonts w:ascii="Times New Roman"/>
                <w:b/>
                <w:bCs/>
                <w:color w:val="000000"/>
                <w:sz w:val="21"/>
                <w:szCs w:val="21"/>
              </w:rPr>
              <w:t>统计对象/单位</w:t>
            </w:r>
          </w:p>
        </w:tc>
        <w:tc>
          <w:tcPr>
            <w:tcW w:w="1024" w:type="pct"/>
            <w:noWrap/>
          </w:tcPr>
          <w:p>
            <w:pPr>
              <w:spacing w:before="38" w:beforeLines="10" w:after="38" w:afterLines="10" w:line="300" w:lineRule="exact"/>
              <w:jc w:val="center"/>
              <w:rPr>
                <w:rFonts w:ascii="Times New Roman"/>
                <w:b/>
                <w:bCs/>
                <w:color w:val="000000"/>
                <w:sz w:val="21"/>
                <w:szCs w:val="21"/>
              </w:rPr>
            </w:pPr>
            <w:r>
              <w:rPr>
                <w:rFonts w:ascii="Times New Roman"/>
                <w:b/>
                <w:bCs/>
                <w:color w:val="000000"/>
                <w:sz w:val="21"/>
                <w:szCs w:val="21"/>
              </w:rPr>
              <w:t>累计查明资源量</w:t>
            </w:r>
          </w:p>
        </w:tc>
        <w:tc>
          <w:tcPr>
            <w:tcW w:w="923" w:type="pct"/>
          </w:tcPr>
          <w:p>
            <w:pPr>
              <w:spacing w:before="38" w:beforeLines="10" w:after="38" w:afterLines="10" w:line="300" w:lineRule="exact"/>
              <w:jc w:val="center"/>
              <w:rPr>
                <w:rFonts w:ascii="Times New Roman"/>
                <w:b/>
                <w:bCs/>
                <w:color w:val="000000"/>
                <w:sz w:val="21"/>
                <w:szCs w:val="21"/>
              </w:rPr>
            </w:pPr>
            <w:r>
              <w:rPr>
                <w:rFonts w:ascii="Times New Roman"/>
                <w:b/>
                <w:bCs/>
                <w:color w:val="000000"/>
                <w:sz w:val="21"/>
                <w:szCs w:val="21"/>
              </w:rPr>
              <w:t>资源保有量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76" w:type="pct"/>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1</w:t>
            </w:r>
          </w:p>
        </w:tc>
        <w:tc>
          <w:tcPr>
            <w:tcW w:w="925" w:type="pct"/>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煤炭</w:t>
            </w:r>
          </w:p>
        </w:tc>
        <w:tc>
          <w:tcPr>
            <w:tcW w:w="738" w:type="pct"/>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7</w:t>
            </w:r>
          </w:p>
        </w:tc>
        <w:tc>
          <w:tcPr>
            <w:tcW w:w="1013" w:type="pct"/>
            <w:noWrap/>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矿石/</w:t>
            </w:r>
            <w:r>
              <w:rPr>
                <w:rFonts w:hint="eastAsia" w:ascii="Times New Roman"/>
                <w:color w:val="000000"/>
                <w:sz w:val="21"/>
                <w:szCs w:val="21"/>
              </w:rPr>
              <w:t>亿</w:t>
            </w:r>
            <w:r>
              <w:rPr>
                <w:rFonts w:ascii="Times New Roman"/>
                <w:color w:val="000000"/>
                <w:sz w:val="21"/>
                <w:szCs w:val="21"/>
              </w:rPr>
              <w:t>吨</w:t>
            </w:r>
          </w:p>
        </w:tc>
        <w:tc>
          <w:tcPr>
            <w:tcW w:w="1024" w:type="pct"/>
            <w:noWrap/>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33.86</w:t>
            </w:r>
          </w:p>
        </w:tc>
        <w:tc>
          <w:tcPr>
            <w:tcW w:w="923" w:type="pct"/>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76" w:type="pct"/>
            <w:noWrap/>
            <w:vAlign w:val="center"/>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2</w:t>
            </w:r>
          </w:p>
        </w:tc>
        <w:tc>
          <w:tcPr>
            <w:tcW w:w="925" w:type="pct"/>
            <w:noWrap/>
            <w:vAlign w:val="center"/>
          </w:tcPr>
          <w:p>
            <w:pPr>
              <w:widowControl/>
              <w:adjustRightInd/>
              <w:snapToGrid/>
              <w:spacing w:line="300" w:lineRule="exact"/>
              <w:jc w:val="center"/>
              <w:rPr>
                <w:rFonts w:ascii="Times New Roman"/>
                <w:color w:val="000000"/>
                <w:sz w:val="21"/>
                <w:szCs w:val="21"/>
              </w:rPr>
            </w:pPr>
            <w:r>
              <w:rPr>
                <w:rFonts w:hint="eastAsia" w:ascii="Times New Roman"/>
                <w:color w:val="000000"/>
                <w:sz w:val="21"/>
                <w:szCs w:val="21"/>
              </w:rPr>
              <w:t>耐火粘土</w:t>
            </w:r>
          </w:p>
        </w:tc>
        <w:tc>
          <w:tcPr>
            <w:tcW w:w="738" w:type="pct"/>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1</w:t>
            </w:r>
          </w:p>
        </w:tc>
        <w:tc>
          <w:tcPr>
            <w:tcW w:w="1013" w:type="pct"/>
            <w:noWrap/>
            <w:vAlign w:val="center"/>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矿石/</w:t>
            </w:r>
            <w:r>
              <w:rPr>
                <w:rFonts w:hint="eastAsia" w:ascii="Times New Roman"/>
                <w:color w:val="000000"/>
                <w:sz w:val="21"/>
                <w:szCs w:val="21"/>
              </w:rPr>
              <w:t>万</w:t>
            </w:r>
            <w:r>
              <w:rPr>
                <w:rFonts w:ascii="Times New Roman"/>
                <w:color w:val="000000"/>
                <w:sz w:val="21"/>
                <w:szCs w:val="21"/>
              </w:rPr>
              <w:t>吨</w:t>
            </w:r>
          </w:p>
        </w:tc>
        <w:tc>
          <w:tcPr>
            <w:tcW w:w="1024" w:type="pct"/>
            <w:noWrap/>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199.7</w:t>
            </w:r>
          </w:p>
        </w:tc>
        <w:tc>
          <w:tcPr>
            <w:tcW w:w="923" w:type="pct"/>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76" w:type="pct"/>
            <w:noWrap/>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3</w:t>
            </w:r>
          </w:p>
        </w:tc>
        <w:tc>
          <w:tcPr>
            <w:tcW w:w="925" w:type="pct"/>
            <w:noWrap/>
            <w:vAlign w:val="center"/>
          </w:tcPr>
          <w:p>
            <w:pPr>
              <w:widowControl/>
              <w:adjustRightInd/>
              <w:snapToGrid/>
              <w:spacing w:line="300" w:lineRule="exact"/>
              <w:jc w:val="center"/>
              <w:rPr>
                <w:rFonts w:ascii="Times New Roman"/>
                <w:color w:val="000000"/>
                <w:sz w:val="21"/>
                <w:szCs w:val="21"/>
              </w:rPr>
            </w:pPr>
            <w:r>
              <w:rPr>
                <w:rFonts w:hint="eastAsia" w:ascii="Times New Roman"/>
                <w:color w:val="000000"/>
                <w:sz w:val="21"/>
                <w:szCs w:val="21"/>
              </w:rPr>
              <w:t>砖瓦用粘土</w:t>
            </w:r>
          </w:p>
        </w:tc>
        <w:tc>
          <w:tcPr>
            <w:tcW w:w="738" w:type="pct"/>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7</w:t>
            </w:r>
          </w:p>
        </w:tc>
        <w:tc>
          <w:tcPr>
            <w:tcW w:w="1013" w:type="pct"/>
            <w:noWrap/>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万立方米</w:t>
            </w:r>
          </w:p>
        </w:tc>
        <w:tc>
          <w:tcPr>
            <w:tcW w:w="1024" w:type="pct"/>
            <w:noWrap/>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w:t>
            </w:r>
          </w:p>
        </w:tc>
        <w:tc>
          <w:tcPr>
            <w:tcW w:w="923" w:type="pct"/>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754.26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76" w:type="pct"/>
            <w:noWrap/>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4</w:t>
            </w:r>
          </w:p>
        </w:tc>
        <w:tc>
          <w:tcPr>
            <w:tcW w:w="925" w:type="pct"/>
            <w:noWrap/>
            <w:vAlign w:val="center"/>
          </w:tcPr>
          <w:p>
            <w:pPr>
              <w:widowControl/>
              <w:adjustRightInd/>
              <w:snapToGrid/>
              <w:spacing w:line="300" w:lineRule="exact"/>
              <w:jc w:val="center"/>
              <w:rPr>
                <w:rFonts w:ascii="Times New Roman"/>
                <w:color w:val="000000"/>
                <w:sz w:val="21"/>
                <w:szCs w:val="21"/>
              </w:rPr>
            </w:pPr>
            <w:r>
              <w:rPr>
                <w:rFonts w:hint="eastAsia" w:ascii="Times New Roman"/>
                <w:color w:val="000000"/>
                <w:sz w:val="21"/>
                <w:szCs w:val="21"/>
              </w:rPr>
              <w:t>建筑用砂</w:t>
            </w:r>
          </w:p>
        </w:tc>
        <w:tc>
          <w:tcPr>
            <w:tcW w:w="738" w:type="pct"/>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1</w:t>
            </w:r>
          </w:p>
        </w:tc>
        <w:tc>
          <w:tcPr>
            <w:tcW w:w="1013" w:type="pct"/>
            <w:noWrap/>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万立方米</w:t>
            </w:r>
          </w:p>
        </w:tc>
        <w:tc>
          <w:tcPr>
            <w:tcW w:w="1024" w:type="pct"/>
            <w:noWrap/>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w:t>
            </w:r>
          </w:p>
        </w:tc>
        <w:tc>
          <w:tcPr>
            <w:tcW w:w="923" w:type="pct"/>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80.99</w:t>
            </w:r>
          </w:p>
        </w:tc>
      </w:tr>
    </w:tbl>
    <w:p>
      <w:pPr>
        <w:ind w:firstLine="659" w:firstLineChars="200"/>
        <w:rPr>
          <w:rFonts w:ascii="Times New Roman"/>
          <w:sz w:val="32"/>
          <w:szCs w:val="32"/>
        </w:rPr>
      </w:pPr>
      <w:r>
        <w:rPr>
          <w:rFonts w:ascii="Times New Roman"/>
          <w:b/>
          <w:bCs/>
          <w:sz w:val="32"/>
          <w:szCs w:val="32"/>
        </w:rPr>
        <w:t>基础地质调查现状。</w:t>
      </w:r>
      <w:r>
        <w:rPr>
          <w:rFonts w:hint="eastAsia" w:ascii="Times New Roman"/>
          <w:bCs/>
          <w:sz w:val="32"/>
          <w:szCs w:val="32"/>
        </w:rPr>
        <w:t>伊宁市已实现</w:t>
      </w:r>
      <w:r>
        <w:rPr>
          <w:rFonts w:hint="eastAsia" w:ascii="Times New Roman"/>
          <w:sz w:val="32"/>
          <w:szCs w:val="32"/>
        </w:rPr>
        <w:t>1∶100万、1∶20万区域地质调查及航磁测量全覆盖；1∶5万区域地质矿产调查已完成面积364.25平方千米；1∶50万、1∶20万区域地球化学调查基本实现全覆盖；1∶20万水文地质测量已全部完成；1∶25万土地质量地球化学调查约582.18万</w:t>
      </w:r>
      <w:r>
        <w:rPr>
          <w:rFonts w:hint="eastAsia" w:ascii="Times New Roman"/>
          <w:sz w:val="32"/>
          <w:szCs w:val="32"/>
          <w:lang w:eastAsia="zh-CN"/>
        </w:rPr>
        <w:t>平方</w:t>
      </w:r>
      <w:r>
        <w:rPr>
          <w:rFonts w:hint="eastAsia" w:ascii="Times New Roman"/>
          <w:sz w:val="32"/>
          <w:szCs w:val="32"/>
        </w:rPr>
        <w:t>千米。</w:t>
      </w:r>
    </w:p>
    <w:p>
      <w:pPr>
        <w:ind w:firstLine="659" w:firstLineChars="200"/>
        <w:rPr>
          <w:rFonts w:ascii="Times New Roman"/>
          <w:sz w:val="32"/>
          <w:szCs w:val="32"/>
        </w:rPr>
      </w:pPr>
      <w:r>
        <w:rPr>
          <w:rFonts w:ascii="Times New Roman"/>
          <w:b/>
          <w:bCs/>
          <w:sz w:val="32"/>
          <w:szCs w:val="32"/>
        </w:rPr>
        <w:t>矿产资源勘查现状。</w:t>
      </w:r>
      <w:r>
        <w:rPr>
          <w:rFonts w:hint="eastAsia" w:ascii="Times New Roman"/>
          <w:sz w:val="32"/>
          <w:szCs w:val="32"/>
        </w:rPr>
        <w:t>截至2</w:t>
      </w:r>
      <w:r>
        <w:rPr>
          <w:rFonts w:ascii="Times New Roman"/>
          <w:sz w:val="32"/>
          <w:szCs w:val="32"/>
        </w:rPr>
        <w:t>020</w:t>
      </w:r>
      <w:r>
        <w:rPr>
          <w:rFonts w:hint="eastAsia" w:ascii="Times New Roman"/>
          <w:sz w:val="32"/>
          <w:szCs w:val="32"/>
        </w:rPr>
        <w:t>年底，伊宁市境内现有探矿权1处，勘查矿种为煤，地质工作程度为勘探。伊宁市三类矿产地质工作程度为简测。（专栏2）</w:t>
      </w:r>
    </w:p>
    <w:tbl>
      <w:tblPr>
        <w:tblStyle w:val="35"/>
        <w:tblW w:w="50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4111"/>
        <w:gridCol w:w="2471"/>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00" w:type="pct"/>
            <w:gridSpan w:val="4"/>
            <w:shd w:val="clear" w:color="auto" w:fill="E7E6E6" w:themeFill="background2"/>
            <w:noWrap/>
          </w:tcPr>
          <w:p>
            <w:pPr>
              <w:spacing w:before="38" w:beforeLines="10" w:after="38" w:afterLines="10" w:line="300" w:lineRule="exact"/>
              <w:jc w:val="left"/>
              <w:rPr>
                <w:rFonts w:ascii="Times New Roman"/>
                <w:b/>
                <w:bCs/>
                <w:color w:val="000000"/>
                <w:sz w:val="24"/>
              </w:rPr>
            </w:pPr>
            <w:r>
              <w:rPr>
                <w:rFonts w:ascii="Times New Roman"/>
                <w:b/>
                <w:bCs/>
                <w:color w:val="000000"/>
                <w:sz w:val="24"/>
              </w:rPr>
              <w:t>专栏</w:t>
            </w:r>
            <w:r>
              <w:rPr>
                <w:rFonts w:hint="eastAsia" w:ascii="Times New Roman"/>
                <w:b/>
                <w:bCs/>
                <w:color w:val="000000"/>
                <w:sz w:val="24"/>
              </w:rPr>
              <w:t>2</w:t>
            </w:r>
            <w:r>
              <w:rPr>
                <w:rFonts w:ascii="Times New Roman"/>
                <w:b/>
                <w:bCs/>
                <w:color w:val="000000"/>
                <w:sz w:val="24"/>
              </w:rPr>
              <w:t xml:space="preserve">         </w:t>
            </w:r>
            <w:r>
              <w:rPr>
                <w:rFonts w:hint="eastAsia" w:ascii="Times New Roman"/>
                <w:b/>
                <w:bCs/>
                <w:color w:val="000000"/>
                <w:sz w:val="24"/>
              </w:rPr>
              <w:t xml:space="preserve">                      </w:t>
            </w:r>
            <w:r>
              <w:rPr>
                <w:rFonts w:ascii="Times New Roman"/>
                <w:b/>
                <w:bCs/>
                <w:color w:val="000000"/>
                <w:sz w:val="24"/>
              </w:rPr>
              <w:t>截至2020年</w:t>
            </w:r>
            <w:r>
              <w:rPr>
                <w:rFonts w:hint="eastAsia" w:ascii="Times New Roman"/>
                <w:b/>
                <w:bCs/>
                <w:color w:val="000000"/>
                <w:sz w:val="24"/>
              </w:rPr>
              <w:t>底</w:t>
            </w:r>
            <w:r>
              <w:rPr>
                <w:rFonts w:ascii="Times New Roman"/>
                <w:b/>
                <w:bCs/>
                <w:color w:val="000000"/>
                <w:sz w:val="24"/>
              </w:rPr>
              <w:t>伊宁市</w:t>
            </w:r>
            <w:r>
              <w:rPr>
                <w:rFonts w:hint="eastAsia" w:ascii="Times New Roman"/>
                <w:b/>
                <w:bCs/>
                <w:color w:val="000000"/>
                <w:sz w:val="24"/>
              </w:rPr>
              <w:t>已设探矿权一览表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70" w:type="pct"/>
            <w:noWrap/>
            <w:vAlign w:val="center"/>
          </w:tcPr>
          <w:p>
            <w:pPr>
              <w:spacing w:before="38" w:beforeLines="10" w:after="38" w:afterLines="10" w:line="300" w:lineRule="exact"/>
              <w:jc w:val="center"/>
              <w:rPr>
                <w:rFonts w:ascii="Times New Roman"/>
                <w:b/>
                <w:bCs/>
                <w:color w:val="000000"/>
                <w:sz w:val="21"/>
                <w:szCs w:val="21"/>
              </w:rPr>
            </w:pPr>
            <w:r>
              <w:rPr>
                <w:rFonts w:ascii="Times New Roman"/>
                <w:b/>
                <w:bCs/>
                <w:color w:val="000000"/>
                <w:sz w:val="21"/>
                <w:szCs w:val="21"/>
              </w:rPr>
              <w:t>序号</w:t>
            </w:r>
          </w:p>
        </w:tc>
        <w:tc>
          <w:tcPr>
            <w:tcW w:w="2201" w:type="pct"/>
            <w:noWrap/>
            <w:vAlign w:val="center"/>
          </w:tcPr>
          <w:p>
            <w:pPr>
              <w:spacing w:before="38" w:beforeLines="10" w:after="38" w:afterLines="10" w:line="300" w:lineRule="exact"/>
              <w:jc w:val="center"/>
              <w:rPr>
                <w:rFonts w:ascii="Times New Roman"/>
                <w:b/>
                <w:bCs/>
                <w:color w:val="000000"/>
                <w:sz w:val="21"/>
                <w:szCs w:val="21"/>
              </w:rPr>
            </w:pPr>
            <w:r>
              <w:rPr>
                <w:rFonts w:hint="eastAsia" w:ascii="Times New Roman"/>
                <w:b/>
                <w:bCs/>
                <w:color w:val="000000"/>
                <w:sz w:val="21"/>
                <w:szCs w:val="21"/>
              </w:rPr>
              <w:t>勘查项目</w:t>
            </w:r>
          </w:p>
        </w:tc>
        <w:tc>
          <w:tcPr>
            <w:tcW w:w="1323" w:type="pct"/>
            <w:vAlign w:val="center"/>
          </w:tcPr>
          <w:p>
            <w:pPr>
              <w:spacing w:before="38" w:beforeLines="10" w:after="38" w:afterLines="10" w:line="300" w:lineRule="exact"/>
              <w:jc w:val="center"/>
              <w:rPr>
                <w:rFonts w:ascii="Times New Roman"/>
                <w:b/>
                <w:bCs/>
                <w:color w:val="000000"/>
                <w:sz w:val="21"/>
                <w:szCs w:val="21"/>
              </w:rPr>
            </w:pPr>
            <w:r>
              <w:rPr>
                <w:rFonts w:hint="eastAsia" w:ascii="Times New Roman"/>
                <w:b/>
                <w:bCs/>
                <w:color w:val="000000"/>
                <w:sz w:val="21"/>
                <w:szCs w:val="21"/>
              </w:rPr>
              <w:t>勘查矿种</w:t>
            </w:r>
          </w:p>
        </w:tc>
        <w:tc>
          <w:tcPr>
            <w:tcW w:w="1006" w:type="pct"/>
            <w:noWrap/>
            <w:vAlign w:val="center"/>
          </w:tcPr>
          <w:p>
            <w:pPr>
              <w:spacing w:before="38" w:beforeLines="10" w:after="38" w:afterLines="10" w:line="300" w:lineRule="exact"/>
              <w:jc w:val="center"/>
              <w:rPr>
                <w:rFonts w:ascii="Times New Roman"/>
                <w:b/>
                <w:bCs/>
                <w:color w:val="000000"/>
                <w:sz w:val="21"/>
                <w:szCs w:val="21"/>
              </w:rPr>
            </w:pPr>
            <w:r>
              <w:rPr>
                <w:rFonts w:hint="eastAsia" w:ascii="Times New Roman"/>
                <w:b/>
                <w:bCs/>
                <w:color w:val="000000"/>
                <w:sz w:val="21"/>
                <w:szCs w:val="21"/>
              </w:rPr>
              <w:t>勘查面积（km</w:t>
            </w:r>
            <w:r>
              <w:rPr>
                <w:rFonts w:hint="eastAsia" w:ascii="Times New Roman"/>
                <w:b/>
                <w:bCs/>
                <w:color w:val="000000"/>
                <w:sz w:val="21"/>
                <w:szCs w:val="21"/>
                <w:vertAlign w:val="superscript"/>
              </w:rPr>
              <w:t>2</w:t>
            </w:r>
            <w:r>
              <w:rPr>
                <w:rFonts w:hint="eastAsia" w:ascii="Times New Roman"/>
                <w:b/>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70" w:type="pct"/>
            <w:noWrap/>
            <w:vAlign w:val="center"/>
          </w:tcPr>
          <w:p>
            <w:pPr>
              <w:spacing w:before="38" w:beforeLines="10" w:after="38" w:afterLines="10" w:line="300" w:lineRule="exact"/>
              <w:jc w:val="center"/>
              <w:rPr>
                <w:rFonts w:ascii="Times New Roman"/>
                <w:color w:val="000000"/>
                <w:sz w:val="21"/>
                <w:szCs w:val="21"/>
              </w:rPr>
            </w:pPr>
            <w:r>
              <w:rPr>
                <w:rFonts w:ascii="Times New Roman"/>
                <w:color w:val="000000"/>
                <w:sz w:val="21"/>
                <w:szCs w:val="21"/>
              </w:rPr>
              <w:t>1</w:t>
            </w:r>
          </w:p>
        </w:tc>
        <w:tc>
          <w:tcPr>
            <w:tcW w:w="2201" w:type="pct"/>
            <w:noWrap/>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新疆伊宁市南台子北部煤矿勘探</w:t>
            </w:r>
          </w:p>
        </w:tc>
        <w:tc>
          <w:tcPr>
            <w:tcW w:w="1323" w:type="pct"/>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煤</w:t>
            </w:r>
          </w:p>
        </w:tc>
        <w:tc>
          <w:tcPr>
            <w:tcW w:w="1006" w:type="pct"/>
            <w:noWrap/>
            <w:vAlign w:val="center"/>
          </w:tcPr>
          <w:p>
            <w:pPr>
              <w:spacing w:before="38" w:beforeLines="10" w:after="38" w:afterLines="10" w:line="300" w:lineRule="exact"/>
              <w:jc w:val="center"/>
              <w:rPr>
                <w:rFonts w:ascii="Times New Roman"/>
                <w:color w:val="000000"/>
                <w:sz w:val="21"/>
                <w:szCs w:val="21"/>
              </w:rPr>
            </w:pPr>
            <w:r>
              <w:rPr>
                <w:rFonts w:hint="eastAsia" w:ascii="Times New Roman"/>
                <w:color w:val="000000"/>
                <w:sz w:val="21"/>
                <w:szCs w:val="21"/>
              </w:rPr>
              <w:t>10.61</w:t>
            </w:r>
          </w:p>
        </w:tc>
      </w:tr>
      <w:bookmarkEnd w:id="0"/>
      <w:bookmarkEnd w:id="1"/>
      <w:bookmarkEnd w:id="2"/>
      <w:bookmarkEnd w:id="3"/>
      <w:bookmarkEnd w:id="4"/>
      <w:bookmarkEnd w:id="5"/>
      <w:bookmarkEnd w:id="6"/>
      <w:bookmarkEnd w:id="7"/>
      <w:bookmarkEnd w:id="8"/>
      <w:bookmarkEnd w:id="9"/>
      <w:bookmarkEnd w:id="10"/>
    </w:tbl>
    <w:p>
      <w:pPr>
        <w:tabs>
          <w:tab w:val="left" w:pos="1896"/>
        </w:tabs>
        <w:ind w:firstLine="659" w:firstLineChars="200"/>
        <w:rPr>
          <w:rFonts w:ascii="Times New Roman"/>
          <w:sz w:val="32"/>
          <w:szCs w:val="32"/>
        </w:rPr>
      </w:pPr>
      <w:r>
        <w:rPr>
          <w:rFonts w:ascii="Times New Roman"/>
          <w:b/>
          <w:bCs/>
          <w:sz w:val="32"/>
          <w:szCs w:val="32"/>
        </w:rPr>
        <w:t>开发利用现状。</w:t>
      </w:r>
      <w:r>
        <w:rPr>
          <w:rFonts w:hint="eastAsia" w:ascii="Times New Roman"/>
          <w:sz w:val="32"/>
          <w:szCs w:val="32"/>
        </w:rPr>
        <w:t>截至2</w:t>
      </w:r>
      <w:r>
        <w:rPr>
          <w:rFonts w:ascii="Times New Roman"/>
          <w:sz w:val="32"/>
          <w:szCs w:val="32"/>
        </w:rPr>
        <w:t>020</w:t>
      </w:r>
      <w:r>
        <w:rPr>
          <w:rFonts w:hint="eastAsia" w:ascii="Times New Roman"/>
          <w:sz w:val="32"/>
          <w:szCs w:val="32"/>
        </w:rPr>
        <w:t>年底，全市矿产资源开发利用的主要矿种为煤炭、粘土、建筑用砂等，矿山企业（采矿权）共计15家，其中煤矿5家，砖瓦用粘土矿7家，建筑用砂矿1家，建筑用石料（凝灰岩）矿1家，水泥用粘土矿1家，基本形成了以能源矿产及非金属建材为主的矿产资源开发格局。</w:t>
      </w:r>
    </w:p>
    <w:p>
      <w:pPr>
        <w:tabs>
          <w:tab w:val="left" w:pos="1896"/>
        </w:tabs>
        <w:ind w:firstLine="656" w:firstLineChars="200"/>
        <w:rPr>
          <w:rFonts w:ascii="Times New Roman"/>
          <w:sz w:val="32"/>
          <w:szCs w:val="32"/>
        </w:rPr>
      </w:pPr>
      <w:r>
        <w:rPr>
          <w:rFonts w:hint="eastAsia" w:ascii="Times New Roman"/>
          <w:sz w:val="32"/>
          <w:szCs w:val="32"/>
        </w:rPr>
        <w:t>1</w:t>
      </w:r>
      <w:r>
        <w:rPr>
          <w:rFonts w:ascii="Times New Roman"/>
          <w:sz w:val="32"/>
          <w:szCs w:val="32"/>
        </w:rPr>
        <w:t>5</w:t>
      </w:r>
      <w:r>
        <w:rPr>
          <w:rFonts w:hint="eastAsia" w:ascii="Times New Roman"/>
          <w:sz w:val="32"/>
          <w:szCs w:val="32"/>
        </w:rPr>
        <w:t>家矿山企业中，自治区发证5家、市发证10家，涉及采矿权总面积约13.845平方千米。按生产规模划分，中型矿山4家，小型11家，大中型矿山占比27%；按生产状态划分，6家矿山处于停产状态，9家处于生产状态。矿业的持续发展，为全市提供了744人的就业岗位，2020年实现矿石总产量46.59万吨，矿业总产值4926.70万元，占全市工业总产值的0.43%。（专栏3）</w:t>
      </w:r>
    </w:p>
    <w:p>
      <w:pPr>
        <w:tabs>
          <w:tab w:val="left" w:pos="1896"/>
        </w:tabs>
        <w:ind w:firstLine="656" w:firstLineChars="200"/>
        <w:rPr>
          <w:rFonts w:ascii="Times New Roman"/>
          <w:sz w:val="32"/>
          <w:szCs w:val="32"/>
        </w:rPr>
      </w:pPr>
    </w:p>
    <w:tbl>
      <w:tblPr>
        <w:tblStyle w:val="3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13"/>
        <w:gridCol w:w="700"/>
        <w:gridCol w:w="666"/>
        <w:gridCol w:w="650"/>
        <w:gridCol w:w="617"/>
        <w:gridCol w:w="667"/>
        <w:gridCol w:w="850"/>
        <w:gridCol w:w="783"/>
        <w:gridCol w:w="13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31" w:type="dxa"/>
            <w:gridSpan w:val="11"/>
            <w:shd w:val="clear" w:color="auto" w:fill="D7D7D7"/>
            <w:vAlign w:val="center"/>
          </w:tcPr>
          <w:p>
            <w:pPr>
              <w:spacing w:line="240" w:lineRule="auto"/>
              <w:rPr>
                <w:rFonts w:ascii="Times New Roman"/>
                <w:color w:val="000000"/>
                <w:sz w:val="22"/>
                <w:szCs w:val="22"/>
              </w:rPr>
            </w:pPr>
            <w:r>
              <w:rPr>
                <w:rFonts w:ascii="Times New Roman" w:eastAsia="楷体"/>
                <w:b/>
                <w:bCs/>
                <w:color w:val="000000"/>
                <w:sz w:val="24"/>
              </w:rPr>
              <w:t xml:space="preserve">专栏3                  </w:t>
            </w:r>
            <w:r>
              <w:rPr>
                <w:rFonts w:hint="eastAsia" w:ascii="Times New Roman" w:eastAsia="楷体"/>
                <w:b/>
                <w:bCs/>
                <w:color w:val="000000"/>
                <w:sz w:val="24"/>
              </w:rPr>
              <w:t xml:space="preserve">                     伊宁市</w:t>
            </w:r>
            <w:r>
              <w:rPr>
                <w:rFonts w:ascii="Times New Roman" w:eastAsia="楷体"/>
                <w:b/>
                <w:bCs/>
                <w:color w:val="000000"/>
                <w:sz w:val="24"/>
              </w:rPr>
              <w:t>非油气采矿权项目现状表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6" w:type="dxa"/>
            <w:vMerge w:val="restart"/>
            <w:vAlign w:val="center"/>
          </w:tcPr>
          <w:p>
            <w:pPr>
              <w:widowControl/>
              <w:spacing w:line="240" w:lineRule="auto"/>
              <w:jc w:val="center"/>
              <w:textAlignment w:val="center"/>
              <w:rPr>
                <w:rFonts w:ascii="Times New Roman"/>
                <w:b/>
                <w:bCs/>
                <w:color w:val="000000"/>
                <w:spacing w:val="-11"/>
                <w:sz w:val="21"/>
                <w:szCs w:val="21"/>
              </w:rPr>
            </w:pPr>
            <w:r>
              <w:rPr>
                <w:rFonts w:ascii="Times New Roman"/>
                <w:b/>
                <w:bCs/>
                <w:color w:val="000000"/>
                <w:spacing w:val="-11"/>
                <w:sz w:val="21"/>
                <w:szCs w:val="21"/>
                <w:lang w:bidi="ar"/>
              </w:rPr>
              <w:t>序号</w:t>
            </w:r>
          </w:p>
        </w:tc>
        <w:tc>
          <w:tcPr>
            <w:tcW w:w="1413" w:type="dxa"/>
            <w:vMerge w:val="restart"/>
            <w:vAlign w:val="center"/>
          </w:tcPr>
          <w:p>
            <w:pPr>
              <w:widowControl/>
              <w:spacing w:line="240" w:lineRule="auto"/>
              <w:jc w:val="center"/>
              <w:textAlignment w:val="center"/>
              <w:rPr>
                <w:rFonts w:ascii="Times New Roman"/>
                <w:b/>
                <w:bCs/>
                <w:color w:val="000000"/>
                <w:spacing w:val="-11"/>
                <w:sz w:val="21"/>
                <w:szCs w:val="21"/>
              </w:rPr>
            </w:pPr>
            <w:r>
              <w:rPr>
                <w:rFonts w:ascii="Times New Roman"/>
                <w:b/>
                <w:bCs/>
                <w:color w:val="000000"/>
                <w:spacing w:val="-11"/>
                <w:sz w:val="21"/>
                <w:szCs w:val="21"/>
                <w:lang w:bidi="ar"/>
              </w:rPr>
              <w:t>矿产名称</w:t>
            </w:r>
          </w:p>
        </w:tc>
        <w:tc>
          <w:tcPr>
            <w:tcW w:w="2633" w:type="dxa"/>
            <w:gridSpan w:val="4"/>
            <w:vAlign w:val="center"/>
          </w:tcPr>
          <w:p>
            <w:pPr>
              <w:spacing w:line="240" w:lineRule="auto"/>
              <w:jc w:val="center"/>
              <w:rPr>
                <w:rFonts w:ascii="Times New Roman"/>
                <w:b/>
                <w:bCs/>
                <w:color w:val="000000"/>
                <w:spacing w:val="-11"/>
                <w:sz w:val="21"/>
                <w:szCs w:val="21"/>
              </w:rPr>
            </w:pPr>
            <w:r>
              <w:rPr>
                <w:rFonts w:ascii="Times New Roman"/>
                <w:b/>
                <w:bCs/>
                <w:sz w:val="21"/>
                <w:szCs w:val="21"/>
              </w:rPr>
              <w:t>矿山规模</w:t>
            </w:r>
          </w:p>
        </w:tc>
        <w:tc>
          <w:tcPr>
            <w:tcW w:w="4459" w:type="dxa"/>
            <w:gridSpan w:val="5"/>
            <w:vAlign w:val="center"/>
          </w:tcPr>
          <w:p>
            <w:pPr>
              <w:spacing w:line="240" w:lineRule="auto"/>
              <w:jc w:val="center"/>
              <w:rPr>
                <w:rFonts w:ascii="Times New Roman"/>
                <w:b/>
                <w:bCs/>
                <w:color w:val="000000"/>
                <w:sz w:val="21"/>
                <w:szCs w:val="21"/>
              </w:rPr>
            </w:pPr>
            <w:r>
              <w:rPr>
                <w:rFonts w:ascii="Times New Roman"/>
                <w:b/>
                <w:bCs/>
                <w:color w:val="000000"/>
                <w:spacing w:val="-11"/>
                <w:sz w:val="21"/>
                <w:szCs w:val="21"/>
                <w:lang w:bidi="ar"/>
              </w:rPr>
              <w:t>矿山开发利用状态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6" w:type="dxa"/>
            <w:vMerge w:val="continue"/>
            <w:vAlign w:val="center"/>
          </w:tcPr>
          <w:p>
            <w:pPr>
              <w:spacing w:line="240" w:lineRule="auto"/>
              <w:jc w:val="center"/>
              <w:rPr>
                <w:rFonts w:ascii="Times New Roman"/>
                <w:b/>
                <w:bCs/>
                <w:color w:val="000000"/>
                <w:spacing w:val="-11"/>
                <w:sz w:val="21"/>
                <w:szCs w:val="21"/>
              </w:rPr>
            </w:pPr>
          </w:p>
        </w:tc>
        <w:tc>
          <w:tcPr>
            <w:tcW w:w="1413" w:type="dxa"/>
            <w:vMerge w:val="continue"/>
            <w:vAlign w:val="center"/>
          </w:tcPr>
          <w:p>
            <w:pPr>
              <w:spacing w:line="240" w:lineRule="auto"/>
              <w:jc w:val="center"/>
              <w:rPr>
                <w:rFonts w:ascii="Times New Roman"/>
                <w:b/>
                <w:bCs/>
                <w:color w:val="000000"/>
                <w:spacing w:val="-11"/>
                <w:sz w:val="21"/>
                <w:szCs w:val="21"/>
              </w:rPr>
            </w:pPr>
          </w:p>
        </w:tc>
        <w:tc>
          <w:tcPr>
            <w:tcW w:w="700" w:type="dxa"/>
            <w:vAlign w:val="center"/>
          </w:tcPr>
          <w:p>
            <w:pPr>
              <w:widowControl/>
              <w:spacing w:line="240" w:lineRule="auto"/>
              <w:jc w:val="center"/>
              <w:textAlignment w:val="center"/>
              <w:rPr>
                <w:rFonts w:ascii="Times New Roman"/>
                <w:b/>
                <w:bCs/>
                <w:color w:val="000000"/>
                <w:spacing w:val="-11"/>
                <w:sz w:val="21"/>
                <w:szCs w:val="21"/>
              </w:rPr>
            </w:pPr>
            <w:r>
              <w:rPr>
                <w:rFonts w:ascii="Times New Roman"/>
                <w:b/>
                <w:bCs/>
                <w:color w:val="000000"/>
                <w:spacing w:val="-11"/>
                <w:sz w:val="21"/>
                <w:szCs w:val="21"/>
                <w:lang w:bidi="ar"/>
              </w:rPr>
              <w:t>大型</w:t>
            </w:r>
          </w:p>
        </w:tc>
        <w:tc>
          <w:tcPr>
            <w:tcW w:w="666" w:type="dxa"/>
            <w:vAlign w:val="center"/>
          </w:tcPr>
          <w:p>
            <w:pPr>
              <w:widowControl/>
              <w:spacing w:line="240" w:lineRule="auto"/>
              <w:jc w:val="center"/>
              <w:textAlignment w:val="center"/>
              <w:rPr>
                <w:rFonts w:ascii="Times New Roman"/>
                <w:b/>
                <w:bCs/>
                <w:color w:val="000000"/>
                <w:spacing w:val="-11"/>
                <w:sz w:val="21"/>
                <w:szCs w:val="21"/>
              </w:rPr>
            </w:pPr>
            <w:r>
              <w:rPr>
                <w:rFonts w:ascii="Times New Roman"/>
                <w:b/>
                <w:bCs/>
                <w:color w:val="000000"/>
                <w:spacing w:val="-11"/>
                <w:sz w:val="21"/>
                <w:szCs w:val="21"/>
                <w:lang w:bidi="ar"/>
              </w:rPr>
              <w:t>中型</w:t>
            </w:r>
          </w:p>
        </w:tc>
        <w:tc>
          <w:tcPr>
            <w:tcW w:w="650" w:type="dxa"/>
            <w:vAlign w:val="center"/>
          </w:tcPr>
          <w:p>
            <w:pPr>
              <w:widowControl/>
              <w:spacing w:line="240" w:lineRule="auto"/>
              <w:jc w:val="center"/>
              <w:textAlignment w:val="center"/>
              <w:rPr>
                <w:rFonts w:ascii="Times New Roman"/>
                <w:b/>
                <w:bCs/>
                <w:color w:val="000000"/>
                <w:spacing w:val="-11"/>
                <w:sz w:val="21"/>
                <w:szCs w:val="21"/>
              </w:rPr>
            </w:pPr>
            <w:r>
              <w:rPr>
                <w:rFonts w:ascii="Times New Roman"/>
                <w:b/>
                <w:bCs/>
                <w:color w:val="000000"/>
                <w:spacing w:val="-11"/>
                <w:sz w:val="21"/>
                <w:szCs w:val="21"/>
                <w:lang w:bidi="ar"/>
              </w:rPr>
              <w:t>小型</w:t>
            </w:r>
          </w:p>
        </w:tc>
        <w:tc>
          <w:tcPr>
            <w:tcW w:w="617" w:type="dxa"/>
            <w:vAlign w:val="center"/>
          </w:tcPr>
          <w:p>
            <w:pPr>
              <w:widowControl/>
              <w:spacing w:line="240" w:lineRule="auto"/>
              <w:jc w:val="center"/>
              <w:textAlignment w:val="center"/>
              <w:rPr>
                <w:rFonts w:ascii="Times New Roman"/>
                <w:b/>
                <w:bCs/>
                <w:color w:val="000000"/>
                <w:spacing w:val="-11"/>
                <w:sz w:val="21"/>
                <w:szCs w:val="21"/>
              </w:rPr>
            </w:pPr>
            <w:r>
              <w:rPr>
                <w:rFonts w:ascii="Times New Roman"/>
                <w:b/>
                <w:bCs/>
                <w:color w:val="000000"/>
                <w:spacing w:val="-11"/>
                <w:sz w:val="21"/>
                <w:szCs w:val="21"/>
                <w:lang w:bidi="ar"/>
              </w:rPr>
              <w:t>合计</w:t>
            </w:r>
          </w:p>
        </w:tc>
        <w:tc>
          <w:tcPr>
            <w:tcW w:w="667" w:type="dxa"/>
            <w:vAlign w:val="center"/>
          </w:tcPr>
          <w:p>
            <w:pPr>
              <w:widowControl/>
              <w:spacing w:line="240" w:lineRule="auto"/>
              <w:jc w:val="center"/>
              <w:textAlignment w:val="center"/>
              <w:rPr>
                <w:rFonts w:ascii="Times New Roman"/>
                <w:b/>
                <w:bCs/>
                <w:color w:val="000000"/>
                <w:spacing w:val="-11"/>
                <w:sz w:val="21"/>
                <w:szCs w:val="21"/>
                <w:lang w:bidi="ar"/>
              </w:rPr>
            </w:pPr>
            <w:r>
              <w:rPr>
                <w:rFonts w:ascii="Times New Roman"/>
                <w:b/>
                <w:bCs/>
                <w:color w:val="000000"/>
                <w:spacing w:val="-11"/>
                <w:sz w:val="21"/>
                <w:szCs w:val="21"/>
                <w:lang w:bidi="ar"/>
              </w:rPr>
              <w:t>在建</w:t>
            </w:r>
          </w:p>
        </w:tc>
        <w:tc>
          <w:tcPr>
            <w:tcW w:w="850" w:type="dxa"/>
            <w:vAlign w:val="center"/>
          </w:tcPr>
          <w:p>
            <w:pPr>
              <w:widowControl/>
              <w:spacing w:line="240" w:lineRule="auto"/>
              <w:jc w:val="center"/>
              <w:textAlignment w:val="center"/>
              <w:rPr>
                <w:rFonts w:ascii="Times New Roman"/>
                <w:b/>
                <w:bCs/>
                <w:color w:val="000000"/>
                <w:spacing w:val="-11"/>
                <w:sz w:val="21"/>
                <w:szCs w:val="21"/>
                <w:lang w:bidi="ar"/>
              </w:rPr>
            </w:pPr>
            <w:r>
              <w:rPr>
                <w:rFonts w:ascii="Times New Roman"/>
                <w:b/>
                <w:bCs/>
                <w:color w:val="000000"/>
                <w:spacing w:val="-11"/>
                <w:sz w:val="21"/>
                <w:szCs w:val="21"/>
                <w:lang w:bidi="ar"/>
              </w:rPr>
              <w:t>正在开采</w:t>
            </w:r>
          </w:p>
        </w:tc>
        <w:tc>
          <w:tcPr>
            <w:tcW w:w="783" w:type="dxa"/>
            <w:vAlign w:val="center"/>
          </w:tcPr>
          <w:p>
            <w:pPr>
              <w:widowControl/>
              <w:spacing w:line="240" w:lineRule="auto"/>
              <w:jc w:val="center"/>
              <w:textAlignment w:val="center"/>
              <w:rPr>
                <w:rFonts w:ascii="Times New Roman"/>
                <w:b/>
                <w:bCs/>
                <w:color w:val="000000"/>
                <w:spacing w:val="-11"/>
                <w:sz w:val="21"/>
                <w:szCs w:val="21"/>
                <w:lang w:bidi="ar"/>
              </w:rPr>
            </w:pPr>
            <w:r>
              <w:rPr>
                <w:rFonts w:ascii="Times New Roman"/>
                <w:b/>
                <w:bCs/>
                <w:color w:val="000000"/>
                <w:spacing w:val="-11"/>
                <w:sz w:val="21"/>
                <w:szCs w:val="21"/>
                <w:lang w:bidi="ar"/>
              </w:rPr>
              <w:t>未生产</w:t>
            </w:r>
          </w:p>
        </w:tc>
        <w:tc>
          <w:tcPr>
            <w:tcW w:w="1308" w:type="dxa"/>
            <w:vAlign w:val="center"/>
          </w:tcPr>
          <w:p>
            <w:pPr>
              <w:widowControl/>
              <w:spacing w:line="240" w:lineRule="auto"/>
              <w:jc w:val="center"/>
              <w:textAlignment w:val="center"/>
              <w:rPr>
                <w:rFonts w:ascii="Times New Roman"/>
                <w:b/>
                <w:bCs/>
                <w:color w:val="000000"/>
                <w:spacing w:val="-11"/>
                <w:sz w:val="21"/>
                <w:szCs w:val="21"/>
                <w:lang w:bidi="ar"/>
              </w:rPr>
            </w:pPr>
            <w:r>
              <w:rPr>
                <w:rFonts w:ascii="Times New Roman"/>
                <w:b/>
                <w:bCs/>
                <w:color w:val="000000"/>
                <w:spacing w:val="-11"/>
                <w:sz w:val="21"/>
                <w:szCs w:val="21"/>
                <w:lang w:bidi="ar"/>
              </w:rPr>
              <w:t>停产（准备注销）</w:t>
            </w:r>
          </w:p>
        </w:tc>
        <w:tc>
          <w:tcPr>
            <w:tcW w:w="851" w:type="dxa"/>
            <w:vAlign w:val="center"/>
          </w:tcPr>
          <w:p>
            <w:pPr>
              <w:widowControl/>
              <w:spacing w:line="240" w:lineRule="auto"/>
              <w:jc w:val="center"/>
              <w:textAlignment w:val="center"/>
              <w:rPr>
                <w:rFonts w:ascii="Times New Roman"/>
                <w:b/>
                <w:bCs/>
                <w:color w:val="000000"/>
                <w:spacing w:val="-11"/>
                <w:sz w:val="21"/>
                <w:szCs w:val="21"/>
                <w:lang w:bidi="ar"/>
              </w:rPr>
            </w:pPr>
            <w:r>
              <w:rPr>
                <w:rFonts w:ascii="Times New Roman"/>
                <w:b/>
                <w:bCs/>
                <w:color w:val="000000"/>
                <w:spacing w:val="-11"/>
                <w:sz w:val="21"/>
                <w:szCs w:val="21"/>
                <w:lang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26"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1</w:t>
            </w:r>
          </w:p>
        </w:tc>
        <w:tc>
          <w:tcPr>
            <w:tcW w:w="1413"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煤炭</w:t>
            </w:r>
          </w:p>
        </w:tc>
        <w:tc>
          <w:tcPr>
            <w:tcW w:w="700"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666"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0</w:t>
            </w:r>
          </w:p>
        </w:tc>
        <w:tc>
          <w:tcPr>
            <w:tcW w:w="650"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5</w:t>
            </w:r>
          </w:p>
        </w:tc>
        <w:tc>
          <w:tcPr>
            <w:tcW w:w="617"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5</w:t>
            </w:r>
          </w:p>
        </w:tc>
        <w:tc>
          <w:tcPr>
            <w:tcW w:w="667"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850"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783"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5</w:t>
            </w:r>
          </w:p>
        </w:tc>
        <w:tc>
          <w:tcPr>
            <w:tcW w:w="1308"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851"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26"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2</w:t>
            </w:r>
          </w:p>
        </w:tc>
        <w:tc>
          <w:tcPr>
            <w:tcW w:w="1413"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建筑用砂</w:t>
            </w:r>
          </w:p>
        </w:tc>
        <w:tc>
          <w:tcPr>
            <w:tcW w:w="700"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666"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1</w:t>
            </w:r>
          </w:p>
        </w:tc>
        <w:tc>
          <w:tcPr>
            <w:tcW w:w="650"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0</w:t>
            </w:r>
          </w:p>
        </w:tc>
        <w:tc>
          <w:tcPr>
            <w:tcW w:w="617"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1</w:t>
            </w:r>
          </w:p>
        </w:tc>
        <w:tc>
          <w:tcPr>
            <w:tcW w:w="667"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850"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783"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0</w:t>
            </w:r>
          </w:p>
        </w:tc>
        <w:tc>
          <w:tcPr>
            <w:tcW w:w="1308"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1</w:t>
            </w:r>
          </w:p>
        </w:tc>
        <w:tc>
          <w:tcPr>
            <w:tcW w:w="851"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26"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3</w:t>
            </w:r>
          </w:p>
        </w:tc>
        <w:tc>
          <w:tcPr>
            <w:tcW w:w="1413"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砖瓦用粘土</w:t>
            </w:r>
          </w:p>
        </w:tc>
        <w:tc>
          <w:tcPr>
            <w:tcW w:w="700"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666"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2</w:t>
            </w:r>
          </w:p>
        </w:tc>
        <w:tc>
          <w:tcPr>
            <w:tcW w:w="650"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5</w:t>
            </w:r>
          </w:p>
        </w:tc>
        <w:tc>
          <w:tcPr>
            <w:tcW w:w="617"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7</w:t>
            </w:r>
          </w:p>
        </w:tc>
        <w:tc>
          <w:tcPr>
            <w:tcW w:w="667"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850"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7</w:t>
            </w:r>
          </w:p>
        </w:tc>
        <w:tc>
          <w:tcPr>
            <w:tcW w:w="783"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0</w:t>
            </w:r>
          </w:p>
        </w:tc>
        <w:tc>
          <w:tcPr>
            <w:tcW w:w="1308"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851"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trPr>
        <w:tc>
          <w:tcPr>
            <w:tcW w:w="426"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4</w:t>
            </w:r>
          </w:p>
        </w:tc>
        <w:tc>
          <w:tcPr>
            <w:tcW w:w="1413"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建筑用石料</w:t>
            </w:r>
          </w:p>
        </w:tc>
        <w:tc>
          <w:tcPr>
            <w:tcW w:w="700"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666"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1</w:t>
            </w:r>
          </w:p>
        </w:tc>
        <w:tc>
          <w:tcPr>
            <w:tcW w:w="650"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617"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1</w:t>
            </w:r>
          </w:p>
        </w:tc>
        <w:tc>
          <w:tcPr>
            <w:tcW w:w="667"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850"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783"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1</w:t>
            </w:r>
          </w:p>
        </w:tc>
        <w:tc>
          <w:tcPr>
            <w:tcW w:w="1308"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851"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26"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5</w:t>
            </w:r>
          </w:p>
        </w:tc>
        <w:tc>
          <w:tcPr>
            <w:tcW w:w="1413"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水泥用粘土</w:t>
            </w:r>
          </w:p>
        </w:tc>
        <w:tc>
          <w:tcPr>
            <w:tcW w:w="700"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666"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1</w:t>
            </w:r>
          </w:p>
        </w:tc>
        <w:tc>
          <w:tcPr>
            <w:tcW w:w="650"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0</w:t>
            </w:r>
          </w:p>
        </w:tc>
        <w:tc>
          <w:tcPr>
            <w:tcW w:w="617"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1</w:t>
            </w:r>
          </w:p>
        </w:tc>
        <w:tc>
          <w:tcPr>
            <w:tcW w:w="667" w:type="dxa"/>
            <w:vAlign w:val="center"/>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850"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1</w:t>
            </w:r>
          </w:p>
        </w:tc>
        <w:tc>
          <w:tcPr>
            <w:tcW w:w="783"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0</w:t>
            </w:r>
          </w:p>
        </w:tc>
        <w:tc>
          <w:tcPr>
            <w:tcW w:w="1308"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0</w:t>
            </w:r>
          </w:p>
        </w:tc>
        <w:tc>
          <w:tcPr>
            <w:tcW w:w="851"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839" w:type="dxa"/>
            <w:gridSpan w:val="2"/>
            <w:vAlign w:val="bottom"/>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合计</w:t>
            </w:r>
          </w:p>
        </w:tc>
        <w:tc>
          <w:tcPr>
            <w:tcW w:w="700" w:type="dxa"/>
            <w:vAlign w:val="bottom"/>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666" w:type="dxa"/>
            <w:vAlign w:val="bottom"/>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5</w:t>
            </w:r>
          </w:p>
        </w:tc>
        <w:tc>
          <w:tcPr>
            <w:tcW w:w="650" w:type="dxa"/>
            <w:vAlign w:val="bottom"/>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10</w:t>
            </w:r>
          </w:p>
        </w:tc>
        <w:tc>
          <w:tcPr>
            <w:tcW w:w="617" w:type="dxa"/>
            <w:vAlign w:val="bottom"/>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15</w:t>
            </w:r>
          </w:p>
        </w:tc>
        <w:tc>
          <w:tcPr>
            <w:tcW w:w="667" w:type="dxa"/>
            <w:vAlign w:val="bottom"/>
          </w:tcPr>
          <w:p>
            <w:pPr>
              <w:widowControl/>
              <w:adjustRightInd/>
              <w:snapToGrid/>
              <w:spacing w:line="338" w:lineRule="auto"/>
              <w:jc w:val="center"/>
              <w:rPr>
                <w:rFonts w:ascii="Times New Roman"/>
                <w:bCs/>
                <w:snapToGrid/>
                <w:color w:val="000000"/>
                <w:spacing w:val="0"/>
                <w:sz w:val="21"/>
                <w:szCs w:val="21"/>
              </w:rPr>
            </w:pPr>
            <w:r>
              <w:rPr>
                <w:rFonts w:ascii="Times New Roman"/>
                <w:bCs/>
                <w:snapToGrid/>
                <w:color w:val="000000"/>
                <w:spacing w:val="0"/>
                <w:sz w:val="21"/>
                <w:szCs w:val="21"/>
              </w:rPr>
              <w:t>0</w:t>
            </w:r>
          </w:p>
        </w:tc>
        <w:tc>
          <w:tcPr>
            <w:tcW w:w="850" w:type="dxa"/>
            <w:vAlign w:val="bottom"/>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8</w:t>
            </w:r>
          </w:p>
        </w:tc>
        <w:tc>
          <w:tcPr>
            <w:tcW w:w="783" w:type="dxa"/>
            <w:vAlign w:val="bottom"/>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6</w:t>
            </w:r>
          </w:p>
        </w:tc>
        <w:tc>
          <w:tcPr>
            <w:tcW w:w="1308" w:type="dxa"/>
            <w:vAlign w:val="center"/>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1</w:t>
            </w:r>
          </w:p>
        </w:tc>
        <w:tc>
          <w:tcPr>
            <w:tcW w:w="851" w:type="dxa"/>
            <w:vAlign w:val="bottom"/>
          </w:tcPr>
          <w:p>
            <w:pPr>
              <w:widowControl/>
              <w:adjustRightInd/>
              <w:snapToGrid/>
              <w:spacing w:line="338" w:lineRule="auto"/>
              <w:jc w:val="center"/>
              <w:rPr>
                <w:rFonts w:ascii="Times New Roman"/>
                <w:bCs/>
                <w:snapToGrid/>
                <w:color w:val="000000"/>
                <w:spacing w:val="0"/>
                <w:sz w:val="21"/>
                <w:szCs w:val="21"/>
              </w:rPr>
            </w:pPr>
            <w:r>
              <w:rPr>
                <w:rFonts w:hint="eastAsia" w:ascii="Times New Roman"/>
                <w:bCs/>
                <w:snapToGrid/>
                <w:color w:val="000000"/>
                <w:spacing w:val="0"/>
                <w:sz w:val="21"/>
                <w:szCs w:val="21"/>
              </w:rPr>
              <w:t>15</w:t>
            </w:r>
          </w:p>
        </w:tc>
      </w:tr>
    </w:tbl>
    <w:p>
      <w:pPr>
        <w:ind w:firstLine="659" w:firstLineChars="200"/>
        <w:rPr>
          <w:rFonts w:ascii="Times New Roman"/>
          <w:sz w:val="32"/>
          <w:szCs w:val="32"/>
        </w:rPr>
      </w:pPr>
      <w:r>
        <w:rPr>
          <w:rFonts w:ascii="Times New Roman"/>
          <w:b/>
          <w:bCs/>
          <w:sz w:val="32"/>
          <w:szCs w:val="32"/>
        </w:rPr>
        <w:t>矿山地质环境</w:t>
      </w:r>
      <w:r>
        <w:rPr>
          <w:rFonts w:hint="eastAsia" w:ascii="Times New Roman"/>
          <w:b/>
          <w:bCs/>
          <w:sz w:val="32"/>
          <w:szCs w:val="32"/>
        </w:rPr>
        <w:t>生态修复</w:t>
      </w:r>
      <w:r>
        <w:rPr>
          <w:rFonts w:ascii="Times New Roman"/>
          <w:b/>
          <w:bCs/>
          <w:sz w:val="32"/>
          <w:szCs w:val="32"/>
        </w:rPr>
        <w:t>与矿业绿色发展现状。</w:t>
      </w:r>
      <w:r>
        <w:rPr>
          <w:rFonts w:ascii="Times New Roman"/>
          <w:sz w:val="32"/>
          <w:szCs w:val="32"/>
        </w:rPr>
        <w:t>落实贯彻实施“谁开发，谁保护，谁污染，谁治理，谁破坏，谁恢复”的政策，</w:t>
      </w:r>
      <w:r>
        <w:rPr>
          <w:rFonts w:hint="eastAsia" w:ascii="Times New Roman"/>
          <w:sz w:val="32"/>
          <w:szCs w:val="32"/>
        </w:rPr>
        <w:t>持证</w:t>
      </w:r>
      <w:r>
        <w:rPr>
          <w:rFonts w:ascii="Times New Roman"/>
          <w:sz w:val="32"/>
          <w:szCs w:val="32"/>
        </w:rPr>
        <w:t>矿山企业均编制了《矿山地质环境保护与土地复垦方案》，</w:t>
      </w:r>
      <w:r>
        <w:rPr>
          <w:rFonts w:hint="eastAsia" w:ascii="Times New Roman"/>
          <w:sz w:val="32"/>
          <w:szCs w:val="32"/>
        </w:rPr>
        <w:t>闭坑矿山均按要求完成矿山地质环境生态修复工作。伊宁市现有3.79平方千米历史遗留废弃矿山尚未治理。</w:t>
      </w:r>
    </w:p>
    <w:p>
      <w:pPr>
        <w:pStyle w:val="3"/>
        <w:spacing w:beforeLines="0" w:afterLines="0"/>
        <w:jc w:val="left"/>
        <w:rPr>
          <w:rFonts w:ascii="楷体" w:hAnsi="楷体" w:eastAsia="楷体"/>
          <w:sz w:val="32"/>
          <w:szCs w:val="32"/>
        </w:rPr>
      </w:pPr>
      <w:bookmarkStart w:id="13" w:name="_Toc109827039"/>
      <w:r>
        <w:rPr>
          <w:rFonts w:hint="eastAsia" w:ascii="楷体" w:hAnsi="楷体" w:eastAsia="楷体"/>
          <w:sz w:val="32"/>
          <w:szCs w:val="32"/>
        </w:rPr>
        <w:t>（二）上轮规划实施主要成效</w:t>
      </w:r>
      <w:bookmarkEnd w:id="13"/>
    </w:p>
    <w:p>
      <w:pPr>
        <w:ind w:firstLine="659" w:firstLineChars="200"/>
        <w:rPr>
          <w:rFonts w:ascii="Times New Roman"/>
          <w:sz w:val="32"/>
          <w:szCs w:val="32"/>
        </w:rPr>
      </w:pPr>
      <w:r>
        <w:rPr>
          <w:rFonts w:hint="eastAsia" w:ascii="Times New Roman"/>
          <w:b/>
          <w:bCs/>
          <w:sz w:val="32"/>
          <w:szCs w:val="32"/>
        </w:rPr>
        <w:t>公益性基础地质调查助力民生</w:t>
      </w:r>
      <w:r>
        <w:rPr>
          <w:rFonts w:ascii="Times New Roman"/>
          <w:b/>
          <w:bCs/>
          <w:sz w:val="32"/>
          <w:szCs w:val="32"/>
        </w:rPr>
        <w:t>。</w:t>
      </w:r>
      <w:r>
        <w:rPr>
          <w:rFonts w:ascii="Times New Roman"/>
          <w:sz w:val="32"/>
          <w:szCs w:val="32"/>
        </w:rPr>
        <w:t>完成了1</w:t>
      </w:r>
      <w:r>
        <w:rPr>
          <w:rFonts w:hint="eastAsia" w:ascii="Times New Roman"/>
          <w:sz w:val="32"/>
          <w:szCs w:val="32"/>
        </w:rPr>
        <w:t>∶</w:t>
      </w:r>
      <w:r>
        <w:rPr>
          <w:rFonts w:ascii="Times New Roman"/>
          <w:sz w:val="32"/>
          <w:szCs w:val="32"/>
        </w:rPr>
        <w:t>25万土地质量地球化学调查</w:t>
      </w:r>
      <w:r>
        <w:rPr>
          <w:rFonts w:hint="eastAsia" w:ascii="Times New Roman"/>
          <w:sz w:val="32"/>
          <w:szCs w:val="32"/>
        </w:rPr>
        <w:t>582.18</w:t>
      </w:r>
      <w:r>
        <w:rPr>
          <w:rFonts w:ascii="Times New Roman"/>
          <w:sz w:val="32"/>
          <w:szCs w:val="32"/>
        </w:rPr>
        <w:t>平方千米</w:t>
      </w:r>
      <w:r>
        <w:rPr>
          <w:rFonts w:hint="eastAsia" w:ascii="Times New Roman"/>
          <w:sz w:val="32"/>
          <w:szCs w:val="32"/>
        </w:rPr>
        <w:t>，调查成果</w:t>
      </w:r>
      <w:r>
        <w:rPr>
          <w:rFonts w:ascii="Times New Roman"/>
          <w:sz w:val="32"/>
          <w:szCs w:val="32"/>
        </w:rPr>
        <w:t>为</w:t>
      </w:r>
      <w:r>
        <w:rPr>
          <w:rFonts w:hint="eastAsia" w:ascii="Times New Roman"/>
          <w:sz w:val="32"/>
          <w:szCs w:val="32"/>
        </w:rPr>
        <w:t>伊宁市</w:t>
      </w:r>
      <w:r>
        <w:rPr>
          <w:rFonts w:ascii="Times New Roman"/>
          <w:sz w:val="32"/>
          <w:szCs w:val="32"/>
        </w:rPr>
        <w:t>特色土地资源</w:t>
      </w:r>
      <w:r>
        <w:rPr>
          <w:rFonts w:hint="eastAsia" w:ascii="Times New Roman"/>
          <w:sz w:val="32"/>
          <w:szCs w:val="32"/>
        </w:rPr>
        <w:t>的合理</w:t>
      </w:r>
      <w:r>
        <w:rPr>
          <w:rFonts w:ascii="Times New Roman"/>
          <w:sz w:val="32"/>
          <w:szCs w:val="32"/>
        </w:rPr>
        <w:t>开发</w:t>
      </w:r>
      <w:r>
        <w:rPr>
          <w:rFonts w:hint="eastAsia" w:ascii="Times New Roman"/>
          <w:sz w:val="32"/>
          <w:szCs w:val="32"/>
        </w:rPr>
        <w:t>及高品质土壤的应用，助力乡村振兴</w:t>
      </w:r>
      <w:r>
        <w:rPr>
          <w:rFonts w:ascii="Times New Roman"/>
          <w:sz w:val="32"/>
          <w:szCs w:val="32"/>
        </w:rPr>
        <w:t>奠定了</w:t>
      </w:r>
      <w:r>
        <w:rPr>
          <w:rFonts w:hint="eastAsia" w:ascii="Times New Roman"/>
          <w:sz w:val="32"/>
          <w:szCs w:val="32"/>
        </w:rPr>
        <w:t>坚实</w:t>
      </w:r>
      <w:r>
        <w:rPr>
          <w:rFonts w:ascii="Times New Roman"/>
          <w:sz w:val="32"/>
          <w:szCs w:val="32"/>
        </w:rPr>
        <w:t>基础。</w:t>
      </w:r>
    </w:p>
    <w:p>
      <w:pPr>
        <w:ind w:firstLine="659" w:firstLineChars="200"/>
        <w:rPr>
          <w:rFonts w:ascii="Times New Roman"/>
          <w:sz w:val="32"/>
          <w:szCs w:val="32"/>
        </w:rPr>
      </w:pPr>
      <w:r>
        <w:rPr>
          <w:rFonts w:ascii="Times New Roman"/>
          <w:b/>
          <w:bCs/>
          <w:sz w:val="32"/>
          <w:szCs w:val="32"/>
        </w:rPr>
        <w:t>水工环地质调查</w:t>
      </w:r>
      <w:r>
        <w:rPr>
          <w:rFonts w:hint="eastAsia" w:ascii="Times New Roman"/>
          <w:b/>
          <w:bCs/>
          <w:sz w:val="32"/>
          <w:szCs w:val="32"/>
        </w:rPr>
        <w:t>稳步推进</w:t>
      </w:r>
      <w:r>
        <w:rPr>
          <w:rFonts w:ascii="Times New Roman"/>
          <w:b/>
          <w:bCs/>
          <w:sz w:val="32"/>
          <w:szCs w:val="32"/>
        </w:rPr>
        <w:t>。</w:t>
      </w:r>
      <w:r>
        <w:rPr>
          <w:rFonts w:ascii="Times New Roman"/>
          <w:sz w:val="32"/>
          <w:szCs w:val="32"/>
        </w:rPr>
        <w:t>实施完成了</w:t>
      </w:r>
      <w:r>
        <w:rPr>
          <w:rFonts w:hint="eastAsia" w:ascii="Times New Roman"/>
          <w:sz w:val="32"/>
          <w:szCs w:val="32"/>
        </w:rPr>
        <w:t>伊犁河谷西部平原区1∶5万水文地质调查项目</w:t>
      </w:r>
      <w:r>
        <w:rPr>
          <w:rFonts w:ascii="Times New Roman"/>
          <w:sz w:val="32"/>
          <w:szCs w:val="32"/>
        </w:rPr>
        <w:t>，为伊犁河谷地下水开发利用，后备耕地资源开发，生态环境保护等提供更为可靠的基础依据；依托自治区矿山地质环境调查项目</w:t>
      </w:r>
      <w:r>
        <w:rPr>
          <w:rFonts w:hint="eastAsia" w:ascii="Times New Roman"/>
          <w:sz w:val="32"/>
          <w:szCs w:val="32"/>
        </w:rPr>
        <w:t>，</w:t>
      </w:r>
      <w:r>
        <w:rPr>
          <w:rFonts w:ascii="Times New Roman"/>
          <w:sz w:val="32"/>
          <w:szCs w:val="32"/>
        </w:rPr>
        <w:t>开展</w:t>
      </w:r>
      <w:r>
        <w:rPr>
          <w:rFonts w:hint="eastAsia" w:ascii="Times New Roman"/>
          <w:sz w:val="32"/>
          <w:szCs w:val="32"/>
        </w:rPr>
        <w:t>伊宁市</w:t>
      </w:r>
      <w:r>
        <w:rPr>
          <w:rFonts w:ascii="Times New Roman"/>
          <w:sz w:val="32"/>
          <w:szCs w:val="32"/>
        </w:rPr>
        <w:t>矿山地质环境调查，调查矿山</w:t>
      </w:r>
      <w:r>
        <w:rPr>
          <w:rFonts w:hint="eastAsia" w:ascii="Times New Roman"/>
          <w:sz w:val="32"/>
          <w:szCs w:val="32"/>
        </w:rPr>
        <w:t>58家</w:t>
      </w:r>
      <w:r>
        <w:rPr>
          <w:rFonts w:ascii="Times New Roman"/>
          <w:sz w:val="32"/>
          <w:szCs w:val="32"/>
        </w:rPr>
        <w:t>，</w:t>
      </w:r>
      <w:r>
        <w:rPr>
          <w:rFonts w:hint="eastAsia" w:ascii="Times New Roman"/>
          <w:sz w:val="32"/>
          <w:szCs w:val="32"/>
        </w:rPr>
        <w:t>其中重点调查矿山3座，</w:t>
      </w:r>
      <w:r>
        <w:rPr>
          <w:rFonts w:ascii="Times New Roman"/>
          <w:sz w:val="32"/>
          <w:szCs w:val="32"/>
        </w:rPr>
        <w:t>对</w:t>
      </w:r>
      <w:r>
        <w:rPr>
          <w:rFonts w:hint="eastAsia" w:ascii="Times New Roman"/>
          <w:sz w:val="32"/>
          <w:szCs w:val="32"/>
        </w:rPr>
        <w:t>全市</w:t>
      </w:r>
      <w:r>
        <w:rPr>
          <w:rFonts w:ascii="Times New Roman"/>
          <w:sz w:val="32"/>
          <w:szCs w:val="32"/>
        </w:rPr>
        <w:t>矿山地质</w:t>
      </w:r>
      <w:r>
        <w:rPr>
          <w:rFonts w:hint="eastAsia" w:ascii="Times New Roman"/>
          <w:sz w:val="32"/>
          <w:szCs w:val="32"/>
        </w:rPr>
        <w:t>环境</w:t>
      </w:r>
      <w:r>
        <w:rPr>
          <w:rFonts w:ascii="Times New Roman"/>
          <w:sz w:val="32"/>
          <w:szCs w:val="32"/>
        </w:rPr>
        <w:t>问题进行</w:t>
      </w:r>
      <w:r>
        <w:rPr>
          <w:rFonts w:hint="eastAsia" w:ascii="Times New Roman"/>
          <w:sz w:val="32"/>
          <w:szCs w:val="32"/>
        </w:rPr>
        <w:t>了综合分析和系统评价</w:t>
      </w:r>
      <w:r>
        <w:rPr>
          <w:rFonts w:ascii="Times New Roman"/>
          <w:sz w:val="32"/>
          <w:szCs w:val="32"/>
        </w:rPr>
        <w:t>。</w:t>
      </w:r>
    </w:p>
    <w:p>
      <w:pPr>
        <w:ind w:firstLine="659" w:firstLineChars="200"/>
        <w:rPr>
          <w:rFonts w:ascii="Times New Roman"/>
          <w:sz w:val="32"/>
          <w:szCs w:val="32"/>
        </w:rPr>
      </w:pPr>
      <w:r>
        <w:rPr>
          <w:rFonts w:ascii="Times New Roman"/>
          <w:b/>
          <w:sz w:val="32"/>
          <w:szCs w:val="32"/>
        </w:rPr>
        <w:t>矿业结构调整</w:t>
      </w:r>
      <w:r>
        <w:rPr>
          <w:rFonts w:hint="eastAsia" w:ascii="Times New Roman"/>
          <w:b/>
          <w:sz w:val="32"/>
          <w:szCs w:val="32"/>
        </w:rPr>
        <w:t>成效突显</w:t>
      </w:r>
      <w:r>
        <w:rPr>
          <w:rFonts w:ascii="Times New Roman"/>
          <w:b/>
          <w:sz w:val="32"/>
          <w:szCs w:val="32"/>
        </w:rPr>
        <w:t>。</w:t>
      </w:r>
      <w:r>
        <w:rPr>
          <w:rFonts w:hint="eastAsia" w:ascii="Times New Roman"/>
          <w:sz w:val="32"/>
          <w:szCs w:val="32"/>
        </w:rPr>
        <w:t>“十三五”以来，</w:t>
      </w:r>
      <w:r>
        <w:rPr>
          <w:rFonts w:ascii="Times New Roman"/>
          <w:sz w:val="32"/>
          <w:szCs w:val="32"/>
        </w:rPr>
        <w:t>为落实“生态立州”的发展理念，</w:t>
      </w:r>
      <w:r>
        <w:rPr>
          <w:rFonts w:hint="eastAsia" w:ascii="Times New Roman"/>
          <w:sz w:val="32"/>
          <w:szCs w:val="32"/>
        </w:rPr>
        <w:t>衔接伊宁市国土空间规划“三区三线”成果。经生态保护红线、城市开发边界、基本农田的初步划定，全市矿产资源产业结构进行了相应调整，通过矿山企业资源整合/关闭等工作手段的持续开展，取得了积极效果。</w:t>
      </w:r>
    </w:p>
    <w:p>
      <w:pPr>
        <w:ind w:firstLine="656" w:firstLineChars="200"/>
        <w:rPr>
          <w:rFonts w:ascii="Times New Roman"/>
          <w:sz w:val="32"/>
          <w:szCs w:val="32"/>
        </w:rPr>
      </w:pPr>
      <w:r>
        <w:rPr>
          <w:rFonts w:hint="eastAsia" w:ascii="Times New Roman"/>
          <w:sz w:val="32"/>
          <w:szCs w:val="32"/>
        </w:rPr>
        <w:t>截至2020年底，全市采矿权由原来51家减少至现在的15家，矿山总数得到了有效控制。大中型矿山比例由27％提升至4</w:t>
      </w:r>
      <w:r>
        <w:rPr>
          <w:rFonts w:ascii="Times New Roman"/>
          <w:sz w:val="32"/>
          <w:szCs w:val="32"/>
        </w:rPr>
        <w:t>2</w:t>
      </w:r>
      <w:r>
        <w:rPr>
          <w:rFonts w:hint="eastAsia" w:ascii="Times New Roman"/>
          <w:sz w:val="32"/>
          <w:szCs w:val="32"/>
        </w:rPr>
        <w:t>％。矿业结构调整成效显著。主要矿种开发利用水平基本达到自治区标定的“三率”指标要求。</w:t>
      </w:r>
    </w:p>
    <w:p>
      <w:pPr>
        <w:ind w:firstLine="659" w:firstLineChars="200"/>
        <w:rPr>
          <w:rFonts w:ascii="Times New Roman"/>
          <w:sz w:val="32"/>
          <w:szCs w:val="32"/>
        </w:rPr>
      </w:pPr>
      <w:r>
        <w:rPr>
          <w:rFonts w:ascii="Times New Roman"/>
          <w:b/>
          <w:bCs/>
          <w:sz w:val="32"/>
          <w:szCs w:val="32"/>
        </w:rPr>
        <w:t>准入条件得到严格执行。</w:t>
      </w:r>
      <w:r>
        <w:rPr>
          <w:rFonts w:ascii="Times New Roman"/>
          <w:sz w:val="32"/>
          <w:szCs w:val="32"/>
        </w:rPr>
        <w:t>矿产资源规划中的重点、限制、禁止性的功能分区得到了全面落实，</w:t>
      </w:r>
      <w:r>
        <w:rPr>
          <w:rFonts w:hint="eastAsia" w:ascii="Times New Roman"/>
          <w:sz w:val="32"/>
          <w:szCs w:val="32"/>
        </w:rPr>
        <w:t>拟投放的矿权</w:t>
      </w:r>
      <w:r>
        <w:rPr>
          <w:rFonts w:ascii="Times New Roman"/>
          <w:sz w:val="32"/>
          <w:szCs w:val="32"/>
        </w:rPr>
        <w:t>符合矿产资源规划和矿业权设置方案要求</w:t>
      </w:r>
      <w:r>
        <w:rPr>
          <w:rFonts w:hint="eastAsia" w:ascii="Times New Roman"/>
          <w:sz w:val="32"/>
          <w:szCs w:val="32"/>
        </w:rPr>
        <w:t>，新建矿山</w:t>
      </w:r>
      <w:r>
        <w:rPr>
          <w:rFonts w:ascii="Times New Roman"/>
          <w:sz w:val="32"/>
          <w:szCs w:val="32"/>
        </w:rPr>
        <w:t>最小规模和最低服务年限及其他准入条件得到了全面执行，现状矿山通过资源整合、技改，产能达到了矿产资源规划要求。</w:t>
      </w:r>
    </w:p>
    <w:p>
      <w:pPr>
        <w:ind w:firstLine="659" w:firstLineChars="200"/>
        <w:rPr>
          <w:rFonts w:ascii="Times New Roman"/>
          <w:sz w:val="32"/>
          <w:szCs w:val="32"/>
        </w:rPr>
      </w:pPr>
      <w:r>
        <w:rPr>
          <w:rFonts w:ascii="Times New Roman"/>
          <w:b/>
          <w:bCs/>
          <w:sz w:val="32"/>
          <w:szCs w:val="32"/>
        </w:rPr>
        <w:t>矿山地质环境逐步好转。</w:t>
      </w:r>
      <w:r>
        <w:rPr>
          <w:rFonts w:ascii="Times New Roman"/>
          <w:sz w:val="32"/>
          <w:szCs w:val="32"/>
        </w:rPr>
        <w:t>按照矿山地质环境的保护区、预防区、治理区分类进行管理，执行矿山地质环境恢复治理保证金制度，督促矿山企业缴纳地质环境恢复治理保证金，积极申报财政资金和引进社会资金相结合，</w:t>
      </w:r>
      <w:r>
        <w:rPr>
          <w:rFonts w:hint="eastAsia" w:ascii="Times New Roman"/>
          <w:sz w:val="32"/>
          <w:szCs w:val="32"/>
        </w:rPr>
        <w:t>开展地质环境治理工作。</w:t>
      </w:r>
    </w:p>
    <w:p>
      <w:pPr>
        <w:ind w:firstLine="656" w:firstLineChars="200"/>
        <w:rPr>
          <w:rFonts w:ascii="Times New Roman"/>
          <w:sz w:val="32"/>
          <w:szCs w:val="32"/>
        </w:rPr>
      </w:pPr>
      <w:r>
        <w:rPr>
          <w:rFonts w:hint="eastAsia" w:ascii="Times New Roman"/>
          <w:sz w:val="32"/>
          <w:szCs w:val="32"/>
        </w:rPr>
        <w:t>针对环保督查提出的已闭坑矿山和政策性关闭小煤矿、砂石粘土矿地质环境恢复治理问题，按照“政府为主导、企业为主体”的原则，对伊宁市28家已关闭矿山开展地质环境恢复治理工作，均已通过验收。</w:t>
      </w:r>
    </w:p>
    <w:p>
      <w:pPr>
        <w:ind w:firstLine="659" w:firstLineChars="200"/>
        <w:rPr>
          <w:rFonts w:ascii="Times New Roman"/>
          <w:szCs w:val="28"/>
        </w:rPr>
      </w:pPr>
      <w:r>
        <w:rPr>
          <w:rFonts w:hint="eastAsia" w:ascii="仿宋" w:hAnsi="仿宋" w:cs="仿宋"/>
          <w:b/>
          <w:bCs/>
          <w:sz w:val="32"/>
          <w:szCs w:val="32"/>
        </w:rPr>
        <w:t>矿产资源</w:t>
      </w:r>
      <w:r>
        <w:rPr>
          <w:rFonts w:ascii="Times New Roman"/>
          <w:b/>
          <w:bCs/>
          <w:sz w:val="32"/>
          <w:szCs w:val="32"/>
        </w:rPr>
        <w:t>管理制度不断完善。</w:t>
      </w:r>
      <w:r>
        <w:rPr>
          <w:rFonts w:hint="eastAsia" w:ascii="Times New Roman"/>
          <w:bCs/>
          <w:sz w:val="32"/>
          <w:szCs w:val="32"/>
        </w:rPr>
        <w:t>贯彻落实《自然资源部关于推进矿产资源管理改革若干事项意见》，</w:t>
      </w:r>
      <w:r>
        <w:rPr>
          <w:rFonts w:hint="eastAsia" w:ascii="Times New Roman"/>
          <w:sz w:val="32"/>
          <w:szCs w:val="32"/>
        </w:rPr>
        <w:t>矿业权出让制度进一步健全，“净矿”出让、探矿权期限调整等改革稳步推进；在加强生态环境保护、各类保护地矿业权退出、绿色勘查、绿色矿山建设、矿山地质环境治理恢复与生态修复等方面不断加强制度建设；“放管服”改革全面推进，提高了行政效率。</w:t>
      </w:r>
    </w:p>
    <w:p>
      <w:pPr>
        <w:pStyle w:val="3"/>
        <w:spacing w:beforeLines="0" w:afterLines="0"/>
        <w:jc w:val="left"/>
        <w:rPr>
          <w:rFonts w:ascii="楷体" w:hAnsi="楷体" w:eastAsia="楷体"/>
          <w:sz w:val="32"/>
          <w:szCs w:val="32"/>
        </w:rPr>
      </w:pPr>
      <w:bookmarkStart w:id="14" w:name="_Toc109827040"/>
      <w:r>
        <w:rPr>
          <w:rFonts w:hint="eastAsia" w:ascii="楷体" w:hAnsi="楷体" w:eastAsia="楷体"/>
          <w:sz w:val="32"/>
          <w:szCs w:val="32"/>
        </w:rPr>
        <w:t>（三）</w:t>
      </w:r>
      <w:r>
        <w:rPr>
          <w:rFonts w:ascii="楷体" w:hAnsi="楷体" w:eastAsia="楷体"/>
          <w:sz w:val="32"/>
          <w:szCs w:val="32"/>
        </w:rPr>
        <w:t>存在问题</w:t>
      </w:r>
      <w:bookmarkEnd w:id="14"/>
    </w:p>
    <w:p>
      <w:pPr>
        <w:ind w:firstLine="659" w:firstLineChars="200"/>
        <w:rPr>
          <w:rFonts w:ascii="Times New Roman" w:eastAsia="仿宋_GB2312"/>
          <w:sz w:val="32"/>
          <w:szCs w:val="32"/>
          <w:highlight w:val="yellow"/>
        </w:rPr>
      </w:pPr>
      <w:r>
        <w:rPr>
          <w:rFonts w:ascii="Times New Roman"/>
          <w:b/>
          <w:bCs/>
          <w:sz w:val="32"/>
          <w:szCs w:val="32"/>
        </w:rPr>
        <w:t>矿产资源勘查投入仍需加大。</w:t>
      </w:r>
      <w:r>
        <w:rPr>
          <w:rFonts w:ascii="Times New Roman"/>
          <w:sz w:val="32"/>
          <w:szCs w:val="32"/>
        </w:rPr>
        <w:t>矿业市场持续低迷，勘查资金投入大幅减少，地质找矿难度增加，可供勘查区域减少，发现可供利用的资源储量难度加大，</w:t>
      </w:r>
      <w:r>
        <w:rPr>
          <w:rFonts w:hint="eastAsia" w:ascii="Times New Roman"/>
          <w:sz w:val="32"/>
          <w:szCs w:val="32"/>
        </w:rPr>
        <w:t>市</w:t>
      </w:r>
      <w:r>
        <w:rPr>
          <w:rFonts w:ascii="Times New Roman"/>
          <w:sz w:val="32"/>
          <w:szCs w:val="32"/>
        </w:rPr>
        <w:t>域内非常规能源和新兴矿产勘查潜力大，勘查程度低。</w:t>
      </w:r>
    </w:p>
    <w:p>
      <w:pPr>
        <w:ind w:firstLine="659" w:firstLineChars="200"/>
        <w:rPr>
          <w:rFonts w:ascii="仿宋" w:hAnsi="仿宋" w:cs="仿宋"/>
          <w:bCs/>
          <w:sz w:val="32"/>
          <w:szCs w:val="32"/>
        </w:rPr>
      </w:pPr>
      <w:r>
        <w:rPr>
          <w:rFonts w:hint="eastAsia" w:ascii="Times New Roman" w:eastAsia="仿宋_GB2312"/>
          <w:b/>
          <w:sz w:val="32"/>
          <w:szCs w:val="32"/>
        </w:rPr>
        <w:t>矿产资源开发利用布局仍需优化。</w:t>
      </w:r>
      <w:r>
        <w:rPr>
          <w:rFonts w:hint="eastAsia" w:ascii="Times New Roman" w:eastAsia="仿宋_GB2312"/>
          <w:sz w:val="32"/>
          <w:szCs w:val="32"/>
        </w:rPr>
        <w:t>水利、交通、城市化建设等将进入新的发展阶段，建材、水泥、冶金及煤电煤化工行业所需的煤、建筑用砂石、砖瓦用粘土、砖瓦用页岩等矿产资源原料需求量将持续旺盛。仍需优化煤矿、砂石粘土矿开发利用布局与结构，主动适应市场的需求，有效调控矿产开发利用总量，发挥伊宁市矿政管理在市场资源配置中的积极导向作用。</w:t>
      </w:r>
    </w:p>
    <w:p>
      <w:pPr>
        <w:ind w:firstLine="659" w:firstLineChars="200"/>
        <w:rPr>
          <w:rFonts w:ascii="Times New Roman" w:eastAsia="仿宋_GB2312"/>
          <w:sz w:val="32"/>
          <w:szCs w:val="32"/>
        </w:rPr>
      </w:pPr>
      <w:r>
        <w:rPr>
          <w:rFonts w:hint="eastAsia" w:ascii="Times New Roman" w:eastAsia="仿宋_GB2312"/>
          <w:b/>
          <w:sz w:val="32"/>
          <w:szCs w:val="32"/>
        </w:rPr>
        <w:t>矿山地质环境保护任务依然繁重。</w:t>
      </w:r>
      <w:r>
        <w:rPr>
          <w:rFonts w:hint="eastAsia" w:ascii="Times New Roman" w:eastAsia="仿宋_GB2312"/>
          <w:sz w:val="32"/>
          <w:szCs w:val="32"/>
        </w:rPr>
        <w:t>矿产资源开发利用受地质环境存在的制约因素，矿山开采占用、破坏土地面积现象及历史遗留矿山问题依然存在，应进一步落实矿山地质环境保护与治理主体责任，创新矿山地质环境保护与治理机制，妥善解决矿产开发与环境保护深层次矛盾，实现资源开发与环境保护协调发展，为绿色矿业发展注入新活力。</w:t>
      </w:r>
    </w:p>
    <w:p>
      <w:pPr>
        <w:pStyle w:val="3"/>
        <w:spacing w:beforeLines="0" w:afterLines="0"/>
        <w:jc w:val="left"/>
        <w:rPr>
          <w:rFonts w:ascii="楷体" w:hAnsi="楷体" w:eastAsia="楷体"/>
          <w:sz w:val="32"/>
          <w:szCs w:val="32"/>
        </w:rPr>
      </w:pPr>
      <w:bookmarkStart w:id="15" w:name="_Toc109827041"/>
      <w:r>
        <w:rPr>
          <w:rFonts w:hint="eastAsia" w:ascii="楷体" w:hAnsi="楷体" w:eastAsia="楷体"/>
          <w:sz w:val="32"/>
          <w:szCs w:val="32"/>
        </w:rPr>
        <w:t>（四）</w:t>
      </w:r>
      <w:r>
        <w:rPr>
          <w:rFonts w:ascii="楷体" w:hAnsi="楷体" w:eastAsia="楷体"/>
          <w:sz w:val="32"/>
          <w:szCs w:val="32"/>
        </w:rPr>
        <w:t>形势及要求</w:t>
      </w:r>
      <w:bookmarkEnd w:id="15"/>
    </w:p>
    <w:p>
      <w:pPr>
        <w:ind w:firstLine="656" w:firstLineChars="200"/>
        <w:rPr>
          <w:rFonts w:ascii="Times New Roman"/>
          <w:sz w:val="32"/>
          <w:szCs w:val="32"/>
        </w:rPr>
      </w:pPr>
      <w:r>
        <w:rPr>
          <w:rFonts w:ascii="Times New Roman"/>
          <w:sz w:val="32"/>
          <w:szCs w:val="32"/>
        </w:rPr>
        <w:t>“十四五”时期</w:t>
      </w:r>
      <w:r>
        <w:rPr>
          <w:rFonts w:hint="eastAsia" w:ascii="Times New Roman"/>
          <w:sz w:val="32"/>
          <w:szCs w:val="32"/>
        </w:rPr>
        <w:t>是开启我国全面建设社会主义现代化国家新征程的第一个五年，</w:t>
      </w:r>
      <w:r>
        <w:rPr>
          <w:rFonts w:ascii="Times New Roman"/>
          <w:sz w:val="32"/>
          <w:szCs w:val="32"/>
        </w:rPr>
        <w:t>是“两个大局”和“两个一百年”奋斗目标承上启下的历史交汇期，是</w:t>
      </w:r>
      <w:r>
        <w:rPr>
          <w:rFonts w:hint="eastAsia" w:ascii="Times New Roman"/>
          <w:sz w:val="32"/>
          <w:szCs w:val="32"/>
        </w:rPr>
        <w:t>伊宁市</w:t>
      </w:r>
      <w:r>
        <w:rPr>
          <w:rFonts w:ascii="Times New Roman"/>
          <w:sz w:val="32"/>
          <w:szCs w:val="32"/>
        </w:rPr>
        <w:t>由全面建成小康社会向基本实现社会主义现代化迈进的重要开端</w:t>
      </w:r>
      <w:r>
        <w:rPr>
          <w:rFonts w:hint="eastAsia" w:ascii="Times New Roman"/>
          <w:sz w:val="32"/>
          <w:szCs w:val="32"/>
        </w:rPr>
        <w:t>，聚焦打造中国向西开放的桥头堡、丝绸之路经济带核心区和北疆城市带区域中心</w:t>
      </w:r>
      <w:r>
        <w:rPr>
          <w:rFonts w:ascii="Times New Roman"/>
          <w:sz w:val="32"/>
          <w:szCs w:val="32"/>
        </w:rPr>
        <w:t>。</w:t>
      </w:r>
      <w:r>
        <w:rPr>
          <w:rFonts w:hint="eastAsia" w:ascii="Times New Roman"/>
          <w:sz w:val="32"/>
          <w:szCs w:val="32"/>
        </w:rPr>
        <w:t>因此，在矿产资源外部环境更加严峻复杂的现状下，矿业领域的高质量发展、生态文明建设及全面深化改革等各项任务依旧艰巨。</w:t>
      </w:r>
    </w:p>
    <w:p>
      <w:pPr>
        <w:ind w:firstLine="659" w:firstLineChars="200"/>
        <w:rPr>
          <w:rFonts w:ascii="Times New Roman" w:eastAsia="仿宋_GB2312"/>
          <w:b/>
          <w:sz w:val="32"/>
          <w:szCs w:val="32"/>
        </w:rPr>
      </w:pPr>
      <w:r>
        <w:rPr>
          <w:rFonts w:ascii="Times New Roman" w:eastAsia="仿宋_GB2312"/>
          <w:b/>
          <w:sz w:val="32"/>
          <w:szCs w:val="32"/>
        </w:rPr>
        <w:t>面临</w:t>
      </w:r>
      <w:r>
        <w:rPr>
          <w:rFonts w:hint="eastAsia" w:ascii="Times New Roman" w:eastAsia="仿宋_GB2312"/>
          <w:b/>
          <w:sz w:val="32"/>
          <w:szCs w:val="32"/>
        </w:rPr>
        <w:t>的新</w:t>
      </w:r>
      <w:r>
        <w:rPr>
          <w:rFonts w:ascii="Times New Roman" w:eastAsia="仿宋_GB2312"/>
          <w:b/>
          <w:sz w:val="32"/>
          <w:szCs w:val="32"/>
        </w:rPr>
        <w:t>形势。</w:t>
      </w:r>
    </w:p>
    <w:p>
      <w:pPr>
        <w:ind w:firstLine="656" w:firstLineChars="200"/>
        <w:rPr>
          <w:rFonts w:ascii="Times New Roman"/>
          <w:sz w:val="32"/>
          <w:szCs w:val="32"/>
        </w:rPr>
      </w:pPr>
      <w:r>
        <w:rPr>
          <w:rFonts w:ascii="Times New Roman"/>
          <w:sz w:val="32"/>
          <w:szCs w:val="32"/>
        </w:rPr>
        <w:t>我国已转向高质量发展阶段，绿色低碳成为大势所趋，</w:t>
      </w:r>
      <w:r>
        <w:rPr>
          <w:rFonts w:hint="eastAsia" w:ascii="Times New Roman"/>
          <w:sz w:val="32"/>
          <w:szCs w:val="32"/>
        </w:rPr>
        <w:t>“</w:t>
      </w:r>
      <w:r>
        <w:rPr>
          <w:rFonts w:ascii="Times New Roman"/>
          <w:sz w:val="32"/>
          <w:szCs w:val="32"/>
        </w:rPr>
        <w:t>双碳</w:t>
      </w:r>
      <w:r>
        <w:rPr>
          <w:rFonts w:hint="eastAsia" w:ascii="Times New Roman"/>
          <w:sz w:val="32"/>
          <w:szCs w:val="32"/>
        </w:rPr>
        <w:t>”</w:t>
      </w:r>
      <w:r>
        <w:rPr>
          <w:rFonts w:ascii="Times New Roman"/>
          <w:sz w:val="32"/>
          <w:szCs w:val="32"/>
        </w:rPr>
        <w:t>目标已成为我国可持续发展的必然选择，经济长期向好，物质基础雄厚，发展韧性强劲，正在形成以国内大循环为主体、国内国际双循环相互促进的新发展格局，持续发展具有多方面优势和条件。</w:t>
      </w:r>
      <w:r>
        <w:rPr>
          <w:rFonts w:hint="eastAsia" w:ascii="Times New Roman"/>
          <w:sz w:val="32"/>
          <w:szCs w:val="32"/>
        </w:rPr>
        <w:t>“</w:t>
      </w:r>
      <w:r>
        <w:rPr>
          <w:rFonts w:ascii="Times New Roman"/>
          <w:sz w:val="32"/>
          <w:szCs w:val="32"/>
        </w:rPr>
        <w:t>十四五</w:t>
      </w:r>
      <w:r>
        <w:rPr>
          <w:rFonts w:hint="eastAsia" w:ascii="Times New Roman"/>
          <w:sz w:val="32"/>
          <w:szCs w:val="32"/>
        </w:rPr>
        <w:t>”</w:t>
      </w:r>
      <w:r>
        <w:rPr>
          <w:rFonts w:ascii="Times New Roman"/>
          <w:sz w:val="32"/>
          <w:szCs w:val="32"/>
        </w:rPr>
        <w:t>时期，新疆社会大局持续稳定长期稳定的基础不断稳固，正处于新型工业化、信息化、城镇化、农业现代化加速发展阶段，各类政策叠加增效，资源转化潜力巨大，生发展动力和活力不断增强。</w:t>
      </w:r>
    </w:p>
    <w:p>
      <w:pPr>
        <w:ind w:firstLine="656" w:firstLineChars="200"/>
        <w:rPr>
          <w:rFonts w:ascii="Times New Roman"/>
          <w:sz w:val="32"/>
          <w:szCs w:val="32"/>
        </w:rPr>
      </w:pPr>
      <w:r>
        <w:rPr>
          <w:rFonts w:hint="eastAsia" w:ascii="Times New Roman"/>
          <w:sz w:val="32"/>
          <w:szCs w:val="32"/>
        </w:rPr>
        <w:t>随着“一带一路”建设和新时代西部大开发战略的深入实施，为推进伊宁市高质量发展指明了方向、提供了战略支撑。</w:t>
      </w:r>
      <w:r>
        <w:rPr>
          <w:rFonts w:ascii="Times New Roman"/>
          <w:sz w:val="32"/>
          <w:szCs w:val="32"/>
        </w:rPr>
        <w:t>牢固树立</w:t>
      </w:r>
      <w:r>
        <w:rPr>
          <w:rFonts w:hint="eastAsia" w:ascii="Times New Roman"/>
          <w:sz w:val="32"/>
          <w:szCs w:val="32"/>
        </w:rPr>
        <w:t>“</w:t>
      </w:r>
      <w:r>
        <w:rPr>
          <w:rFonts w:ascii="Times New Roman"/>
          <w:sz w:val="32"/>
          <w:szCs w:val="32"/>
        </w:rPr>
        <w:t>创新、协调、绿色、开放、共享</w:t>
      </w:r>
      <w:r>
        <w:rPr>
          <w:rFonts w:hint="eastAsia" w:ascii="Times New Roman"/>
          <w:sz w:val="32"/>
          <w:szCs w:val="32"/>
        </w:rPr>
        <w:t>”</w:t>
      </w:r>
      <w:r>
        <w:rPr>
          <w:rFonts w:ascii="Times New Roman"/>
          <w:sz w:val="32"/>
          <w:szCs w:val="32"/>
        </w:rPr>
        <w:t>的发展理念，坚持绿色发展，</w:t>
      </w:r>
      <w:r>
        <w:rPr>
          <w:rFonts w:hint="eastAsia" w:ascii="Times New Roman"/>
          <w:sz w:val="32"/>
          <w:szCs w:val="32"/>
        </w:rPr>
        <w:t>发展</w:t>
      </w:r>
      <w:r>
        <w:rPr>
          <w:rFonts w:ascii="Times New Roman"/>
          <w:sz w:val="32"/>
          <w:szCs w:val="32"/>
        </w:rPr>
        <w:t>现代化的文化旅游产业、特色高效农业，集约高效矿业，以提高发展质量和效益为中心，加强资源供给侧结构性改革，发展绿色低碳循环经济。</w:t>
      </w:r>
    </w:p>
    <w:p>
      <w:pPr>
        <w:ind w:firstLine="659" w:firstLineChars="200"/>
        <w:rPr>
          <w:rFonts w:ascii="Times New Roman" w:eastAsia="仿宋_GB2312"/>
          <w:b/>
          <w:sz w:val="32"/>
          <w:szCs w:val="32"/>
        </w:rPr>
      </w:pPr>
      <w:r>
        <w:rPr>
          <w:rFonts w:ascii="Times New Roman" w:eastAsia="仿宋_GB2312"/>
          <w:b/>
          <w:sz w:val="32"/>
          <w:szCs w:val="32"/>
        </w:rPr>
        <w:t>对矿业发展的要求。</w:t>
      </w:r>
    </w:p>
    <w:p>
      <w:pPr>
        <w:ind w:firstLine="659" w:firstLineChars="200"/>
        <w:rPr>
          <w:rFonts w:ascii="Times New Roman"/>
          <w:sz w:val="32"/>
          <w:szCs w:val="32"/>
        </w:rPr>
      </w:pPr>
      <w:r>
        <w:rPr>
          <w:rFonts w:ascii="Times New Roman"/>
          <w:b/>
          <w:bCs/>
          <w:sz w:val="32"/>
          <w:szCs w:val="32"/>
        </w:rPr>
        <w:t>社会发展需要矿产资源持续供给</w:t>
      </w:r>
      <w:r>
        <w:rPr>
          <w:rFonts w:hint="eastAsia" w:ascii="Times New Roman"/>
          <w:b/>
          <w:bCs/>
          <w:sz w:val="32"/>
          <w:szCs w:val="32"/>
        </w:rPr>
        <w:t>：</w:t>
      </w:r>
      <w:r>
        <w:rPr>
          <w:rFonts w:hint="eastAsia" w:ascii="Times New Roman"/>
          <w:sz w:val="32"/>
          <w:szCs w:val="32"/>
        </w:rPr>
        <w:t>“十四五”期间</w:t>
      </w:r>
      <w:r>
        <w:rPr>
          <w:rFonts w:ascii="Times New Roman"/>
          <w:sz w:val="32"/>
          <w:szCs w:val="32"/>
        </w:rPr>
        <w:t>，</w:t>
      </w:r>
      <w:r>
        <w:rPr>
          <w:rFonts w:hint="eastAsia" w:ascii="Times New Roman"/>
          <w:sz w:val="32"/>
          <w:szCs w:val="32"/>
        </w:rPr>
        <w:t>依据自治区、自治州相关规划功能定位</w:t>
      </w:r>
      <w:r>
        <w:rPr>
          <w:rFonts w:ascii="Times New Roman"/>
          <w:sz w:val="32"/>
          <w:szCs w:val="32"/>
        </w:rPr>
        <w:t>，</w:t>
      </w:r>
      <w:r>
        <w:rPr>
          <w:rFonts w:hint="eastAsia" w:ascii="Times New Roman"/>
          <w:sz w:val="32"/>
          <w:szCs w:val="32"/>
        </w:rPr>
        <w:t>着眼于国家战略与政策导向，结合伊宁市区位特征、产业基础和资源环境条件，全力打造“三中心两基地”，伊宁市经济发展将取得新跨越，现代产业体系基本建成，“两霍两伊”一体化发展加速推进，城乡一体化融合发展，乡村振兴实现产业兴旺，到2025年</w:t>
      </w:r>
      <w:r>
        <w:rPr>
          <w:rFonts w:ascii="Times New Roman"/>
          <w:sz w:val="32"/>
          <w:szCs w:val="32"/>
        </w:rPr>
        <w:t>，</w:t>
      </w:r>
      <w:r>
        <w:rPr>
          <w:rFonts w:hint="eastAsia" w:ascii="Times New Roman"/>
          <w:sz w:val="32"/>
          <w:szCs w:val="32"/>
        </w:rPr>
        <w:t>经济实力和规模持续壮大，地区生产总值年均增长10%，</w:t>
      </w:r>
      <w:r>
        <w:rPr>
          <w:rFonts w:ascii="Times New Roman"/>
          <w:sz w:val="32"/>
          <w:szCs w:val="32"/>
        </w:rPr>
        <w:t>需要矿产资源持续、有效供给。</w:t>
      </w:r>
    </w:p>
    <w:p>
      <w:pPr>
        <w:ind w:firstLine="659" w:firstLineChars="200"/>
        <w:rPr>
          <w:rFonts w:ascii="Times New Roman"/>
          <w:sz w:val="32"/>
          <w:szCs w:val="32"/>
        </w:rPr>
      </w:pPr>
      <w:r>
        <w:rPr>
          <w:rFonts w:ascii="Times New Roman"/>
          <w:b/>
          <w:bCs/>
          <w:sz w:val="32"/>
          <w:szCs w:val="32"/>
        </w:rPr>
        <w:t>高质量发展需要资源高效利用</w:t>
      </w:r>
      <w:r>
        <w:rPr>
          <w:rFonts w:hint="eastAsia" w:ascii="Times New Roman"/>
          <w:b/>
          <w:bCs/>
          <w:sz w:val="32"/>
          <w:szCs w:val="32"/>
        </w:rPr>
        <w:t>：</w:t>
      </w:r>
      <w:r>
        <w:rPr>
          <w:rFonts w:ascii="Times New Roman"/>
          <w:sz w:val="32"/>
          <w:szCs w:val="32"/>
        </w:rPr>
        <w:t>高质量发展要求全面提升矿产资源开发利用水平和利用效率，转变资源开发利用方式，加快矿业结构调整和转型升级，提高矿山智能化水平，促进经济、社会、资源、环境协调稳定发展。按照“减量化、再利用、资源化”原则，加强节能减排，提升固体废弃物的有效处置与综合利用水平，延长产业链，加强产品高端化、精品化、差异化发展，将资源优势转化为经济优势。</w:t>
      </w:r>
    </w:p>
    <w:p>
      <w:pPr>
        <w:ind w:firstLine="659" w:firstLineChars="200"/>
        <w:rPr>
          <w:rFonts w:ascii="Times New Roman" w:eastAsia="仿宋_GB2312"/>
          <w:sz w:val="32"/>
          <w:szCs w:val="32"/>
        </w:rPr>
      </w:pPr>
      <w:r>
        <w:rPr>
          <w:rFonts w:ascii="Times New Roman" w:eastAsia="仿宋_GB2312"/>
          <w:b/>
          <w:sz w:val="32"/>
          <w:szCs w:val="32"/>
        </w:rPr>
        <w:t>生态文明建设需要发展绿色矿业</w:t>
      </w:r>
      <w:r>
        <w:rPr>
          <w:rFonts w:hint="eastAsia" w:ascii="Times New Roman" w:eastAsia="仿宋_GB2312"/>
          <w:b/>
          <w:sz w:val="32"/>
          <w:szCs w:val="32"/>
        </w:rPr>
        <w:t>：</w:t>
      </w:r>
      <w:r>
        <w:rPr>
          <w:rFonts w:ascii="Times New Roman" w:eastAsia="仿宋_GB2312"/>
          <w:sz w:val="32"/>
          <w:szCs w:val="32"/>
        </w:rPr>
        <w:t>旅游产业的发展对协调资源开发和生态保护提出了更高的要求，牢固树立绿色发展理念，推进绿色勘查，加快绿色矿山建设，提高矿山清洁化生产及综合利用水平，坚持资源节约集约、循环利用，加强节能减排促进碳达峰碳中和，构建矿业高质量发展新格局，为生态文明建设做贡献。</w:t>
      </w:r>
    </w:p>
    <w:p>
      <w:pPr>
        <w:ind w:firstLine="659" w:firstLineChars="200"/>
        <w:rPr>
          <w:rFonts w:ascii="Times New Roman" w:eastAsia="仿宋_GB2312"/>
          <w:sz w:val="32"/>
          <w:szCs w:val="32"/>
        </w:rPr>
      </w:pPr>
      <w:r>
        <w:rPr>
          <w:rFonts w:ascii="Times New Roman" w:eastAsia="仿宋_GB2312"/>
          <w:b/>
          <w:sz w:val="32"/>
          <w:szCs w:val="32"/>
        </w:rPr>
        <w:t>全面深化改革需要转变矿产资源管理方式</w:t>
      </w:r>
      <w:r>
        <w:rPr>
          <w:rFonts w:hint="eastAsia" w:ascii="Times New Roman" w:eastAsia="仿宋_GB2312"/>
          <w:b/>
          <w:sz w:val="32"/>
          <w:szCs w:val="32"/>
        </w:rPr>
        <w:t>：</w:t>
      </w:r>
      <w:r>
        <w:rPr>
          <w:rFonts w:ascii="Times New Roman" w:eastAsia="仿宋_GB2312"/>
          <w:sz w:val="32"/>
          <w:szCs w:val="32"/>
        </w:rPr>
        <w:t>以提高宏观管理能力和服务水平为切入点，加快推进矿产资源行政管理方式转变。落实全面深化改革决定要求，使市场在资源配置中起决定性作用和更好地发挥政府调控作用，理清政府与市场的边界，做好</w:t>
      </w:r>
      <w:r>
        <w:rPr>
          <w:rFonts w:hint="eastAsia" w:ascii="Times New Roman" w:eastAsia="仿宋_GB2312"/>
          <w:sz w:val="32"/>
          <w:szCs w:val="32"/>
        </w:rPr>
        <w:t>三类</w:t>
      </w:r>
      <w:r>
        <w:rPr>
          <w:rFonts w:ascii="Times New Roman" w:eastAsia="仿宋_GB2312"/>
          <w:sz w:val="32"/>
          <w:szCs w:val="32"/>
        </w:rPr>
        <w:t>矿产资源开发的区域管控和准入管理，转变规划理念、思路和方法，激发市场活力，繁荣发展矿业市场。</w:t>
      </w:r>
    </w:p>
    <w:p>
      <w:pPr>
        <w:ind w:firstLine="659" w:firstLineChars="200"/>
        <w:rPr>
          <w:rFonts w:ascii="Times New Roman" w:eastAsia="仿宋_GB2312"/>
          <w:sz w:val="32"/>
          <w:szCs w:val="32"/>
        </w:rPr>
      </w:pPr>
      <w:r>
        <w:rPr>
          <w:rFonts w:hint="eastAsia" w:ascii="Times New Roman" w:eastAsia="仿宋_GB2312"/>
          <w:b/>
          <w:sz w:val="32"/>
          <w:szCs w:val="32"/>
        </w:rPr>
        <w:t>区域定位要求向外进行交流合作：</w:t>
      </w:r>
      <w:r>
        <w:rPr>
          <w:rFonts w:hint="eastAsia" w:ascii="Times New Roman" w:eastAsia="仿宋_GB2312"/>
          <w:sz w:val="32"/>
          <w:szCs w:val="32"/>
        </w:rPr>
        <w:t>伊宁市是</w:t>
      </w:r>
      <w:r>
        <w:rPr>
          <w:rFonts w:ascii="Times New Roman" w:eastAsia="仿宋_GB2312"/>
          <w:sz w:val="32"/>
          <w:szCs w:val="32"/>
        </w:rPr>
        <w:t>丝路经济带核心区支点城市</w:t>
      </w:r>
      <w:r>
        <w:rPr>
          <w:rFonts w:hint="eastAsia" w:ascii="Times New Roman" w:eastAsia="仿宋_GB2312"/>
          <w:sz w:val="32"/>
          <w:szCs w:val="32"/>
        </w:rPr>
        <w:t>，新疆与中亚各国矿产资源均十分丰富，具有相似的成矿地质背景和条件，应积极利用“两个市场、两种资源”，加快融入“双循环”发展格局，贯彻落实新疆周边国家和地区矿业投资合作，充分发挥各方在资源、资金、产业、技术、基础设施等方面的优势与合作潜力，起到联通中西的纽带作用，支撑新疆成为丝绸之路经济带的核心区。</w:t>
      </w:r>
    </w:p>
    <w:p>
      <w:pPr>
        <w:pStyle w:val="2"/>
        <w:spacing w:beforeLines="0" w:afterLines="0" w:line="560" w:lineRule="exact"/>
        <w:jc w:val="both"/>
        <w:rPr>
          <w:rFonts w:ascii="黑体" w:hAnsi="黑体" w:eastAsia="黑体"/>
          <w:b w:val="0"/>
          <w:sz w:val="36"/>
          <w:szCs w:val="36"/>
        </w:rPr>
      </w:pPr>
      <w:bookmarkStart w:id="16" w:name="_Toc109827042"/>
      <w:bookmarkStart w:id="17" w:name="_Toc80824665"/>
      <w:r>
        <w:rPr>
          <w:rFonts w:hint="eastAsia" w:ascii="黑体" w:hAnsi="黑体" w:eastAsia="黑体"/>
          <w:b w:val="0"/>
          <w:sz w:val="36"/>
          <w:szCs w:val="36"/>
        </w:rPr>
        <w:t>二、</w:t>
      </w:r>
      <w:r>
        <w:rPr>
          <w:rFonts w:ascii="黑体" w:hAnsi="黑体" w:eastAsia="黑体"/>
          <w:b w:val="0"/>
          <w:sz w:val="36"/>
          <w:szCs w:val="36"/>
        </w:rPr>
        <w:t>指导</w:t>
      </w:r>
      <w:r>
        <w:rPr>
          <w:rFonts w:hint="eastAsia" w:ascii="黑体" w:hAnsi="黑体" w:eastAsia="黑体"/>
          <w:b w:val="0"/>
          <w:sz w:val="36"/>
          <w:szCs w:val="36"/>
        </w:rPr>
        <w:t>思想、</w:t>
      </w:r>
      <w:r>
        <w:rPr>
          <w:rFonts w:ascii="黑体" w:hAnsi="黑体" w:eastAsia="黑体"/>
          <w:b w:val="0"/>
          <w:sz w:val="36"/>
          <w:szCs w:val="36"/>
        </w:rPr>
        <w:t>基本原则与规划目标</w:t>
      </w:r>
      <w:bookmarkEnd w:id="16"/>
      <w:bookmarkEnd w:id="17"/>
    </w:p>
    <w:p>
      <w:pPr>
        <w:pStyle w:val="3"/>
        <w:spacing w:beforeLines="0" w:afterLines="0"/>
        <w:jc w:val="left"/>
        <w:rPr>
          <w:rFonts w:ascii="楷体" w:hAnsi="楷体" w:eastAsia="楷体"/>
          <w:sz w:val="32"/>
          <w:szCs w:val="32"/>
        </w:rPr>
      </w:pPr>
      <w:bookmarkStart w:id="18" w:name="_Toc109827043"/>
      <w:bookmarkStart w:id="19" w:name="_Toc80824666"/>
      <w:r>
        <w:rPr>
          <w:rFonts w:hint="eastAsia" w:ascii="楷体" w:hAnsi="楷体" w:eastAsia="楷体"/>
          <w:sz w:val="32"/>
          <w:szCs w:val="32"/>
        </w:rPr>
        <w:t>（</w:t>
      </w:r>
      <w:r>
        <w:rPr>
          <w:rFonts w:ascii="楷体" w:hAnsi="楷体" w:eastAsia="楷体"/>
          <w:sz w:val="32"/>
          <w:szCs w:val="32"/>
        </w:rPr>
        <w:t>一</w:t>
      </w:r>
      <w:r>
        <w:rPr>
          <w:rFonts w:hint="eastAsia" w:ascii="楷体" w:hAnsi="楷体" w:eastAsia="楷体"/>
          <w:sz w:val="32"/>
          <w:szCs w:val="32"/>
        </w:rPr>
        <w:t>）</w:t>
      </w:r>
      <w:r>
        <w:rPr>
          <w:rFonts w:ascii="楷体" w:hAnsi="楷体" w:eastAsia="楷体"/>
          <w:sz w:val="32"/>
          <w:szCs w:val="32"/>
        </w:rPr>
        <w:t>指导思想</w:t>
      </w:r>
      <w:bookmarkEnd w:id="18"/>
      <w:bookmarkEnd w:id="19"/>
    </w:p>
    <w:p>
      <w:pPr>
        <w:widowControl/>
        <w:adjustRightInd/>
        <w:ind w:firstLine="656" w:firstLineChars="200"/>
        <w:rPr>
          <w:rFonts w:ascii="Times New Roman"/>
          <w:sz w:val="32"/>
          <w:szCs w:val="32"/>
        </w:rPr>
      </w:pPr>
      <w:r>
        <w:rPr>
          <w:rFonts w:hint="eastAsia" w:ascii="Times New Roman"/>
          <w:sz w:val="32"/>
          <w:szCs w:val="32"/>
        </w:rPr>
        <w:t>坚持</w:t>
      </w:r>
      <w:r>
        <w:rPr>
          <w:rFonts w:ascii="Times New Roman"/>
          <w:sz w:val="32"/>
          <w:szCs w:val="32"/>
        </w:rPr>
        <w:t>以习近平新时代中国特色社会主义思想为指导，全面贯彻党的</w:t>
      </w:r>
      <w:r>
        <w:rPr>
          <w:rFonts w:hint="eastAsia" w:ascii="Times New Roman"/>
          <w:sz w:val="32"/>
          <w:szCs w:val="32"/>
        </w:rPr>
        <w:t>二十大</w:t>
      </w:r>
      <w:r>
        <w:rPr>
          <w:rFonts w:ascii="Times New Roman"/>
          <w:sz w:val="32"/>
          <w:szCs w:val="32"/>
        </w:rPr>
        <w:t>精神，贯彻落实第三次中央新疆工作座谈会精神，</w:t>
      </w:r>
      <w:r>
        <w:rPr>
          <w:rFonts w:hint="eastAsia" w:ascii="Times New Roman"/>
          <w:sz w:val="32"/>
          <w:szCs w:val="32"/>
        </w:rPr>
        <w:t>特别是习近平总书记重要讲话和重要指示批示精神，完整准确贯彻落实新时代党的治疆方略，牢固树立以人民为中心的发展思想，坚持新发展理论，</w:t>
      </w:r>
      <w:r>
        <w:rPr>
          <w:rFonts w:ascii="Times New Roman"/>
          <w:sz w:val="32"/>
          <w:szCs w:val="32"/>
        </w:rPr>
        <w:t>统筹推进“五位一体”总体布局，协调推进“四个全面”战略布局。</w:t>
      </w:r>
      <w:r>
        <w:rPr>
          <w:rFonts w:hint="eastAsia" w:ascii="Times New Roman"/>
          <w:sz w:val="32"/>
          <w:szCs w:val="32"/>
        </w:rPr>
        <w:t>伊宁市立足区位矿产资源禀赋，服从服务于生态安全和资源安全两个大局，</w:t>
      </w:r>
      <w:r>
        <w:rPr>
          <w:rFonts w:ascii="Times New Roman"/>
          <w:sz w:val="32"/>
          <w:szCs w:val="32"/>
        </w:rPr>
        <w:t>以提高矿产资源保障能力为目标，以推进资源合理利用与保护为主线，处理好政府与市场、开发与保护、当前与长远、整体与布局的科学关系，统筹矿产资源勘查、开发利用和保护活动，推动矿业绿色发展，坚持生态优先，确保资源供给与经济社会发展需求相适应，资源开发利用与生态环境保护相协调，规划管控与管理改革相衔接，为</w:t>
      </w:r>
      <w:r>
        <w:rPr>
          <w:rFonts w:hint="eastAsia" w:ascii="Times New Roman"/>
          <w:sz w:val="32"/>
          <w:szCs w:val="32"/>
        </w:rPr>
        <w:t>伊宁市</w:t>
      </w:r>
      <w:r>
        <w:rPr>
          <w:rFonts w:ascii="Times New Roman"/>
          <w:sz w:val="32"/>
          <w:szCs w:val="32"/>
        </w:rPr>
        <w:t>经济社会高质量发展提供矿产资源保障。</w:t>
      </w:r>
    </w:p>
    <w:p>
      <w:pPr>
        <w:pStyle w:val="3"/>
        <w:spacing w:beforeLines="0" w:afterLines="0"/>
        <w:jc w:val="left"/>
        <w:rPr>
          <w:rFonts w:ascii="楷体" w:hAnsi="楷体" w:eastAsia="楷体"/>
          <w:sz w:val="32"/>
          <w:szCs w:val="32"/>
        </w:rPr>
      </w:pPr>
      <w:bookmarkStart w:id="20" w:name="_Toc80824667"/>
      <w:bookmarkStart w:id="21" w:name="_Toc109827044"/>
      <w:r>
        <w:rPr>
          <w:rFonts w:hint="eastAsia" w:ascii="楷体" w:hAnsi="楷体" w:eastAsia="楷体"/>
          <w:sz w:val="32"/>
          <w:szCs w:val="32"/>
        </w:rPr>
        <w:t>（二）</w:t>
      </w:r>
      <w:r>
        <w:rPr>
          <w:rFonts w:ascii="楷体" w:hAnsi="楷体" w:eastAsia="楷体"/>
          <w:sz w:val="32"/>
          <w:szCs w:val="32"/>
        </w:rPr>
        <w:t>基本原则</w:t>
      </w:r>
      <w:bookmarkEnd w:id="20"/>
      <w:bookmarkEnd w:id="21"/>
    </w:p>
    <w:p>
      <w:pPr>
        <w:widowControl/>
        <w:adjustRightInd/>
        <w:ind w:firstLine="659" w:firstLineChars="200"/>
        <w:rPr>
          <w:rFonts w:ascii="Times New Roman"/>
          <w:sz w:val="32"/>
          <w:szCs w:val="32"/>
        </w:rPr>
      </w:pPr>
      <w:r>
        <w:rPr>
          <w:rFonts w:hint="eastAsia" w:ascii="仿宋" w:hAnsi="仿宋" w:cs="仿宋"/>
          <w:b/>
          <w:bCs/>
          <w:sz w:val="32"/>
          <w:szCs w:val="32"/>
        </w:rPr>
        <w:t>坚持生态</w:t>
      </w:r>
      <w:r>
        <w:rPr>
          <w:rFonts w:ascii="仿宋" w:hAnsi="仿宋" w:cs="仿宋"/>
          <w:b/>
          <w:bCs/>
          <w:sz w:val="32"/>
          <w:szCs w:val="32"/>
        </w:rPr>
        <w:t>优先，</w:t>
      </w:r>
      <w:r>
        <w:rPr>
          <w:rFonts w:hint="eastAsia" w:ascii="仿宋" w:hAnsi="仿宋" w:cs="仿宋"/>
          <w:b/>
          <w:bCs/>
          <w:sz w:val="32"/>
          <w:szCs w:val="32"/>
        </w:rPr>
        <w:t>绿色发展</w:t>
      </w:r>
      <w:r>
        <w:rPr>
          <w:rFonts w:ascii="仿宋" w:hAnsi="仿宋" w:cs="仿宋"/>
          <w:b/>
          <w:bCs/>
          <w:sz w:val="32"/>
          <w:szCs w:val="32"/>
        </w:rPr>
        <w:t>。</w:t>
      </w:r>
      <w:r>
        <w:rPr>
          <w:rFonts w:ascii="Times New Roman"/>
          <w:sz w:val="32"/>
          <w:szCs w:val="32"/>
        </w:rPr>
        <w:t>坚持绿水青山就是金山银山理念，加速推进绿色勘查、绿色矿山建设，加快推进山水林田湖草</w:t>
      </w:r>
      <w:r>
        <w:rPr>
          <w:rFonts w:hint="eastAsia" w:ascii="Times New Roman"/>
          <w:sz w:val="32"/>
          <w:szCs w:val="32"/>
        </w:rPr>
        <w:t>沙</w:t>
      </w:r>
      <w:r>
        <w:rPr>
          <w:rFonts w:ascii="Times New Roman"/>
          <w:sz w:val="32"/>
          <w:szCs w:val="32"/>
        </w:rPr>
        <w:t>冰系统治理，加快推进重要生态屏障建设，加快发展方式绿色转型，严守自然生态安全边界，协同推进经济高质量发展和生态环境高水平保护。</w:t>
      </w:r>
    </w:p>
    <w:p>
      <w:pPr>
        <w:widowControl/>
        <w:adjustRightInd/>
        <w:ind w:firstLine="659" w:firstLineChars="200"/>
        <w:rPr>
          <w:rFonts w:ascii="Times New Roman"/>
          <w:sz w:val="32"/>
          <w:szCs w:val="32"/>
        </w:rPr>
      </w:pPr>
      <w:r>
        <w:rPr>
          <w:rFonts w:hint="eastAsia" w:ascii="仿宋" w:hAnsi="仿宋" w:cs="仿宋"/>
          <w:b/>
          <w:bCs/>
          <w:sz w:val="32"/>
          <w:szCs w:val="32"/>
        </w:rPr>
        <w:t>坚持</w:t>
      </w:r>
      <w:r>
        <w:rPr>
          <w:rFonts w:ascii="Times New Roman"/>
          <w:b/>
          <w:bCs/>
          <w:sz w:val="32"/>
          <w:szCs w:val="32"/>
        </w:rPr>
        <w:t>优化布局，协调发展。</w:t>
      </w:r>
      <w:r>
        <w:rPr>
          <w:rFonts w:ascii="Times New Roman"/>
          <w:sz w:val="32"/>
          <w:szCs w:val="32"/>
        </w:rPr>
        <w:t>加快融入以国内大循环为主体、国内国际双循环相互促进的新发展格局，推动资源开发与区域经济发展、产业转型升级、资源环境保护、城镇体系建设相协调。与国土空间规划、经济规划等有机衔接，实现多规融合。</w:t>
      </w:r>
    </w:p>
    <w:p>
      <w:pPr>
        <w:ind w:firstLine="659" w:firstLineChars="200"/>
        <w:rPr>
          <w:rFonts w:ascii="Times New Roman"/>
          <w:b/>
          <w:bCs/>
          <w:sz w:val="32"/>
          <w:szCs w:val="32"/>
        </w:rPr>
      </w:pPr>
      <w:r>
        <w:rPr>
          <w:rFonts w:hint="eastAsia" w:ascii="仿宋" w:hAnsi="仿宋" w:cs="仿宋"/>
          <w:b/>
          <w:bCs/>
          <w:sz w:val="32"/>
          <w:szCs w:val="32"/>
        </w:rPr>
        <w:t>坚持</w:t>
      </w:r>
      <w:r>
        <w:rPr>
          <w:rFonts w:ascii="Times New Roman"/>
          <w:b/>
          <w:bCs/>
          <w:sz w:val="32"/>
          <w:szCs w:val="32"/>
        </w:rPr>
        <w:t>突出特色，资源惠民。</w:t>
      </w:r>
      <w:r>
        <w:rPr>
          <w:rFonts w:ascii="Times New Roman"/>
          <w:sz w:val="32"/>
          <w:szCs w:val="32"/>
        </w:rPr>
        <w:t>立足</w:t>
      </w:r>
      <w:r>
        <w:rPr>
          <w:rFonts w:hint="eastAsia" w:ascii="Times New Roman"/>
          <w:sz w:val="32"/>
          <w:szCs w:val="32"/>
        </w:rPr>
        <w:t>本市</w:t>
      </w:r>
      <w:r>
        <w:rPr>
          <w:rFonts w:ascii="Times New Roman"/>
          <w:sz w:val="32"/>
          <w:szCs w:val="32"/>
        </w:rPr>
        <w:t>资源禀赋、发展阶段、重点问题和治理需求，尊重客观规律，体现地方特色，发挥比较优势，加强与相关规划的衔接，确定规划目标、策略、任务和行动，走合理分工、优化发展的路子。加快资源优势转化为经济优势，进一步强化矿山企业社会责任意识，努力形成矿产资源开发带动地方发展、群众受益的良好局面，巩固脱贫攻坚工作成果。</w:t>
      </w:r>
    </w:p>
    <w:p>
      <w:pPr>
        <w:widowControl/>
        <w:adjustRightInd/>
        <w:ind w:firstLine="659" w:firstLineChars="200"/>
        <w:rPr>
          <w:rFonts w:ascii="Times New Roman"/>
          <w:sz w:val="32"/>
          <w:szCs w:val="32"/>
        </w:rPr>
      </w:pPr>
      <w:r>
        <w:rPr>
          <w:rFonts w:hint="eastAsia" w:ascii="仿宋" w:hAnsi="仿宋" w:cs="仿宋"/>
          <w:b/>
          <w:bCs/>
          <w:sz w:val="32"/>
          <w:szCs w:val="32"/>
        </w:rPr>
        <w:t>坚持</w:t>
      </w:r>
      <w:r>
        <w:rPr>
          <w:rFonts w:ascii="Times New Roman"/>
          <w:b/>
          <w:bCs/>
          <w:sz w:val="32"/>
          <w:szCs w:val="32"/>
        </w:rPr>
        <w:t>深化改革，创新驱动。</w:t>
      </w:r>
      <w:r>
        <w:rPr>
          <w:rFonts w:ascii="Times New Roman"/>
          <w:sz w:val="32"/>
          <w:szCs w:val="32"/>
        </w:rPr>
        <w:t>以创新驱动、高质量供给引领和创造新需求。进一步简政放权，推进矿产资源管理重点领域和关键环节改革。深入实施创新驱动发展战略，大力推进资源勘查开发技术创新，加快矿业转型升级。</w:t>
      </w:r>
    </w:p>
    <w:p>
      <w:pPr>
        <w:widowControl/>
        <w:adjustRightInd/>
        <w:ind w:firstLine="659" w:firstLineChars="200"/>
        <w:rPr>
          <w:rFonts w:ascii="Times New Roman"/>
          <w:sz w:val="32"/>
          <w:szCs w:val="32"/>
        </w:rPr>
      </w:pPr>
      <w:r>
        <w:rPr>
          <w:rFonts w:hint="eastAsia" w:ascii="仿宋" w:hAnsi="仿宋" w:cs="仿宋"/>
          <w:b/>
          <w:bCs/>
          <w:sz w:val="32"/>
          <w:szCs w:val="32"/>
        </w:rPr>
        <w:t>坚持</w:t>
      </w:r>
      <w:r>
        <w:rPr>
          <w:rFonts w:ascii="Times New Roman"/>
          <w:b/>
          <w:bCs/>
          <w:sz w:val="32"/>
          <w:szCs w:val="32"/>
        </w:rPr>
        <w:t>科技创新，科学发展。</w:t>
      </w:r>
      <w:r>
        <w:rPr>
          <w:rFonts w:ascii="Times New Roman"/>
          <w:sz w:val="32"/>
          <w:szCs w:val="32"/>
        </w:rPr>
        <w:t>始终把推动科学发展作为解决一切问题的基础，加快转变发展方式，坚持在科学发展过程中解决资源利用环境保护问题。发展循环经济，坚持开发节约并重，节约优先的要求，遵循减量化、再利用、资源化的流程，带动地区经济发展。</w:t>
      </w:r>
    </w:p>
    <w:p>
      <w:pPr>
        <w:widowControl/>
        <w:adjustRightInd/>
        <w:ind w:firstLine="659" w:firstLineChars="200"/>
        <w:rPr>
          <w:rFonts w:ascii="Times New Roman"/>
        </w:rPr>
      </w:pPr>
      <w:r>
        <w:rPr>
          <w:rFonts w:hint="eastAsia" w:ascii="仿宋" w:hAnsi="仿宋" w:cs="仿宋"/>
          <w:b/>
          <w:bCs/>
          <w:sz w:val="32"/>
          <w:szCs w:val="32"/>
        </w:rPr>
        <w:t>坚持</w:t>
      </w:r>
      <w:r>
        <w:rPr>
          <w:rFonts w:ascii="Times New Roman"/>
          <w:b/>
          <w:bCs/>
          <w:sz w:val="32"/>
          <w:szCs w:val="32"/>
        </w:rPr>
        <w:t>互利共赢，开放合作。</w:t>
      </w:r>
      <w:r>
        <w:rPr>
          <w:rFonts w:ascii="Times New Roman"/>
          <w:sz w:val="32"/>
          <w:szCs w:val="32"/>
        </w:rPr>
        <w:t>发挥区位优势，以推进丝绸之路经济带核心区建设为驱动，充分利用“两种资源、两个市场”，积极参与“一带一路”国际矿业合作，建立多元、安全、稳定、高效的矿产资源供应体系。进一步拓展矿业市场合作领域和方式，引进先进技术和管理经验，努力创造良好的投资环境，实现深度交融的合作共赢格局。</w:t>
      </w:r>
    </w:p>
    <w:p>
      <w:pPr>
        <w:pStyle w:val="3"/>
        <w:spacing w:beforeLines="0" w:afterLines="0"/>
        <w:jc w:val="left"/>
        <w:rPr>
          <w:rFonts w:ascii="楷体" w:hAnsi="楷体" w:eastAsia="楷体"/>
          <w:sz w:val="32"/>
          <w:szCs w:val="32"/>
        </w:rPr>
      </w:pPr>
      <w:bookmarkStart w:id="22" w:name="_Toc109827045"/>
      <w:bookmarkStart w:id="23" w:name="_Toc80824668"/>
      <w:r>
        <w:rPr>
          <w:rFonts w:hint="eastAsia" w:ascii="楷体" w:hAnsi="楷体" w:eastAsia="楷体"/>
          <w:sz w:val="32"/>
          <w:szCs w:val="32"/>
        </w:rPr>
        <w:t>（三）</w:t>
      </w:r>
      <w:r>
        <w:rPr>
          <w:rFonts w:ascii="楷体" w:hAnsi="楷体" w:eastAsia="楷体"/>
          <w:sz w:val="32"/>
          <w:szCs w:val="32"/>
        </w:rPr>
        <w:t>规划目标</w:t>
      </w:r>
      <w:bookmarkEnd w:id="22"/>
      <w:bookmarkEnd w:id="23"/>
    </w:p>
    <w:p>
      <w:pPr>
        <w:widowControl/>
        <w:adjustRightInd/>
        <w:ind w:firstLine="659" w:firstLineChars="200"/>
        <w:rPr>
          <w:rFonts w:ascii="Times New Roman"/>
          <w:sz w:val="32"/>
          <w:szCs w:val="32"/>
        </w:rPr>
      </w:pPr>
      <w:r>
        <w:rPr>
          <w:rFonts w:hint="eastAsia" w:ascii="Times New Roman"/>
          <w:b/>
          <w:bCs/>
          <w:sz w:val="32"/>
          <w:szCs w:val="32"/>
        </w:rPr>
        <w:t>总体</w:t>
      </w:r>
      <w:r>
        <w:rPr>
          <w:rFonts w:ascii="Times New Roman"/>
          <w:b/>
          <w:bCs/>
          <w:sz w:val="32"/>
          <w:szCs w:val="32"/>
        </w:rPr>
        <w:t>目标。</w:t>
      </w:r>
      <w:r>
        <w:rPr>
          <w:rFonts w:hint="eastAsia" w:ascii="Times New Roman"/>
          <w:sz w:val="32"/>
          <w:szCs w:val="32"/>
        </w:rPr>
        <w:t>地质工作服务领域不断拓展，贯彻实施矿业经济可持续发展战略，矿产资源对伊宁市经济社会发展的保障能力进一步增强，勘查开发利用与保护空间布局进一步优化</w:t>
      </w:r>
      <w:r>
        <w:rPr>
          <w:rFonts w:ascii="Times New Roman"/>
          <w:sz w:val="32"/>
          <w:szCs w:val="32"/>
        </w:rPr>
        <w:t>。</w:t>
      </w:r>
      <w:r>
        <w:rPr>
          <w:rFonts w:hint="eastAsia" w:ascii="Times New Roman"/>
          <w:sz w:val="32"/>
          <w:szCs w:val="32"/>
        </w:rPr>
        <w:t>准确把控矿产资源供需形势，矿业规模化、集约化、绿色化、智能化水平显著提高。依托国家规划矿区“伊宁煤矿区北区”及上级规划区内设置的“勘查规划区块</w:t>
      </w:r>
      <w:r>
        <w:rPr>
          <w:rFonts w:hint="eastAsia" w:ascii="Times New Roman"/>
          <w:sz w:val="32"/>
          <w:szCs w:val="32"/>
          <w:lang w:eastAsia="zh-CN"/>
        </w:rPr>
        <w:t>”“</w:t>
      </w:r>
      <w:r>
        <w:rPr>
          <w:rFonts w:hint="eastAsia" w:ascii="Times New Roman"/>
          <w:sz w:val="32"/>
          <w:szCs w:val="32"/>
        </w:rPr>
        <w:t>重点开采区</w:t>
      </w:r>
      <w:r>
        <w:rPr>
          <w:rFonts w:hint="eastAsia" w:ascii="Times New Roman"/>
          <w:sz w:val="32"/>
          <w:szCs w:val="32"/>
          <w:lang w:eastAsia="zh-CN"/>
        </w:rPr>
        <w:t>”“</w:t>
      </w:r>
      <w:r>
        <w:rPr>
          <w:rFonts w:hint="eastAsia" w:ascii="Times New Roman"/>
          <w:sz w:val="32"/>
          <w:szCs w:val="32"/>
        </w:rPr>
        <w:t>开采规划区块”，全面推进煤炭、非金属建材等重要矿产的开发，</w:t>
      </w:r>
      <w:r>
        <w:rPr>
          <w:rFonts w:hint="eastAsia" w:ascii="Times New Roman"/>
          <w:bCs/>
          <w:sz w:val="32"/>
          <w:szCs w:val="32"/>
        </w:rPr>
        <w:t>到2025年，基本建成绿色、高效的资源保证体系，资源配置和供给质量效益稳步提升，基本实现矿产开发与自然生态和谐共生。</w:t>
      </w:r>
    </w:p>
    <w:p>
      <w:pPr>
        <w:pStyle w:val="81"/>
        <w:ind w:firstLine="650"/>
        <w:rPr>
          <w:rFonts w:ascii="Times New Roman" w:eastAsia="仿宋"/>
          <w:b/>
          <w:bCs/>
          <w:sz w:val="32"/>
          <w:szCs w:val="32"/>
        </w:rPr>
      </w:pPr>
      <w:r>
        <w:rPr>
          <w:rFonts w:ascii="Times New Roman" w:eastAsia="仿宋"/>
          <w:b/>
          <w:bCs/>
          <w:sz w:val="32"/>
          <w:szCs w:val="32"/>
        </w:rPr>
        <w:t>矿业经济目标。</w:t>
      </w:r>
      <w:r>
        <w:rPr>
          <w:rFonts w:ascii="Times New Roman" w:eastAsia="仿宋"/>
          <w:sz w:val="32"/>
          <w:szCs w:val="32"/>
        </w:rPr>
        <w:t>矿业产值总量达到</w:t>
      </w:r>
      <w:r>
        <w:rPr>
          <w:rFonts w:hint="eastAsia" w:ascii="Times New Roman" w:eastAsia="仿宋"/>
          <w:sz w:val="32"/>
          <w:szCs w:val="32"/>
        </w:rPr>
        <w:t>8000万</w:t>
      </w:r>
      <w:r>
        <w:rPr>
          <w:rFonts w:ascii="Times New Roman" w:eastAsia="仿宋"/>
          <w:sz w:val="32"/>
          <w:szCs w:val="32"/>
        </w:rPr>
        <w:t>元。</w:t>
      </w:r>
    </w:p>
    <w:p>
      <w:pPr>
        <w:widowControl/>
        <w:adjustRightInd/>
        <w:ind w:firstLine="659" w:firstLineChars="200"/>
        <w:rPr>
          <w:rFonts w:ascii="Times New Roman"/>
          <w:sz w:val="32"/>
          <w:szCs w:val="32"/>
        </w:rPr>
      </w:pPr>
      <w:r>
        <w:rPr>
          <w:rFonts w:ascii="Times New Roman"/>
          <w:b/>
          <w:bCs/>
          <w:sz w:val="32"/>
          <w:szCs w:val="32"/>
        </w:rPr>
        <w:t>基础地质调查评价规划目标。</w:t>
      </w:r>
      <w:r>
        <w:rPr>
          <w:rFonts w:ascii="Times New Roman"/>
          <w:sz w:val="32"/>
          <w:szCs w:val="32"/>
        </w:rPr>
        <w:t>开展伊宁市城市地质安全风险评价调查，建立全要素地质档案及城市地质三维结构，服务城市规划建设和安全运行管理；</w:t>
      </w:r>
      <w:r>
        <w:rPr>
          <w:rFonts w:hint="eastAsia" w:ascii="Times New Roman"/>
          <w:sz w:val="32"/>
          <w:szCs w:val="32"/>
        </w:rPr>
        <w:t>针对区内富硒土壤靶区开展1∶5万土壤地球化学调查，促进该区特色土地资源开发与高标准农田建设，为提升区内土地资源管护水平提供技术支撑，</w:t>
      </w:r>
      <w:r>
        <w:rPr>
          <w:rFonts w:ascii="Times New Roman"/>
          <w:sz w:val="32"/>
          <w:szCs w:val="32"/>
        </w:rPr>
        <w:t>开展地热等</w:t>
      </w:r>
      <w:r>
        <w:rPr>
          <w:rFonts w:hint="eastAsia" w:ascii="Times New Roman"/>
          <w:sz w:val="32"/>
          <w:szCs w:val="32"/>
        </w:rPr>
        <w:t>清洁能源</w:t>
      </w:r>
      <w:r>
        <w:rPr>
          <w:rFonts w:ascii="Times New Roman"/>
          <w:sz w:val="32"/>
          <w:szCs w:val="32"/>
        </w:rPr>
        <w:t>调查评价工作。</w:t>
      </w:r>
    </w:p>
    <w:p>
      <w:pPr>
        <w:widowControl/>
        <w:adjustRightInd/>
        <w:ind w:firstLine="659" w:firstLineChars="200"/>
        <w:jc w:val="left"/>
        <w:rPr>
          <w:rFonts w:ascii="Times New Roman"/>
          <w:sz w:val="32"/>
          <w:szCs w:val="32"/>
        </w:rPr>
      </w:pPr>
      <w:r>
        <w:rPr>
          <w:rFonts w:ascii="Times New Roman"/>
          <w:b/>
          <w:bCs/>
          <w:sz w:val="32"/>
          <w:szCs w:val="32"/>
        </w:rPr>
        <w:t>矿产勘查规划目标。</w:t>
      </w:r>
      <w:r>
        <w:rPr>
          <w:rFonts w:hint="eastAsia" w:ascii="Times New Roman"/>
          <w:sz w:val="32"/>
          <w:szCs w:val="32"/>
        </w:rPr>
        <w:t>积极配合国家、自治区，落实上级规划煤炭勘查区块，进一步摸清伊宁市矿产资源潜力，探索新型能源矿产资源勘查开发，助力形成后备基地，新发现矿产地1处，增加矿产资源供应能力，促进区内重要矿产资源量稳定增长。</w:t>
      </w:r>
    </w:p>
    <w:p>
      <w:pPr>
        <w:widowControl/>
        <w:adjustRightInd/>
        <w:ind w:firstLine="659" w:firstLineChars="200"/>
        <w:rPr>
          <w:rFonts w:ascii="Times New Roman"/>
          <w:sz w:val="32"/>
          <w:szCs w:val="32"/>
        </w:rPr>
      </w:pPr>
      <w:r>
        <w:rPr>
          <w:rFonts w:ascii="Times New Roman"/>
          <w:b/>
          <w:sz w:val="32"/>
          <w:szCs w:val="32"/>
        </w:rPr>
        <w:t>矿产资源开发与保护规划目标。</w:t>
      </w:r>
      <w:r>
        <w:rPr>
          <w:rFonts w:ascii="Times New Roman"/>
          <w:sz w:val="32"/>
          <w:szCs w:val="32"/>
        </w:rPr>
        <w:t>推进建设重要的煤炭、特色建材基地，开发一批高附加值、高科技含量、市场占有率高的特色矿产品，并形成产业优势。</w:t>
      </w:r>
      <w:r>
        <w:rPr>
          <w:rFonts w:hint="eastAsia" w:ascii="Times New Roman"/>
          <w:sz w:val="32"/>
          <w:szCs w:val="32"/>
        </w:rPr>
        <w:t>加大矿产资源开发利用程度，调整矿产资源开发利用结构，加快矿产资源优势向经济优势的转换，矿产资源开发利用总量与经济总量增长相适应，建立以大中型矿山企业为主体的矿业新格局，推动伊宁矿区北区干沟煤矿矿山建设。科学制定全市砂石粘土矿产资源总量和采矿权数量调控指标，确保实现供需总量基本平衡</w:t>
      </w:r>
      <w:r>
        <w:rPr>
          <w:rFonts w:ascii="Times New Roman"/>
          <w:sz w:val="32"/>
          <w:szCs w:val="32"/>
        </w:rPr>
        <w:t>。建筑用砂石年产量控制在</w:t>
      </w:r>
      <w:r>
        <w:rPr>
          <w:rFonts w:hint="eastAsia" w:ascii="Times New Roman"/>
          <w:sz w:val="32"/>
          <w:szCs w:val="32"/>
        </w:rPr>
        <w:t>30万立方米，砖瓦用粘土矿年产量控制在100万立方米。</w:t>
      </w:r>
    </w:p>
    <w:p>
      <w:pPr>
        <w:widowControl/>
        <w:adjustRightInd/>
        <w:ind w:firstLine="659" w:firstLineChars="200"/>
        <w:rPr>
          <w:rFonts w:ascii="Times New Roman"/>
          <w:sz w:val="32"/>
          <w:szCs w:val="32"/>
        </w:rPr>
      </w:pPr>
      <w:r>
        <w:rPr>
          <w:rFonts w:ascii="Times New Roman"/>
          <w:b/>
          <w:bCs/>
          <w:sz w:val="32"/>
          <w:szCs w:val="32"/>
        </w:rPr>
        <w:t>矿业高质量发展规划目标。</w:t>
      </w:r>
      <w:r>
        <w:rPr>
          <w:rFonts w:ascii="Times New Roman"/>
          <w:sz w:val="32"/>
          <w:szCs w:val="32"/>
        </w:rPr>
        <w:t>进一步减少小型矿山数量，降低小型矿山比例，</w:t>
      </w:r>
      <w:r>
        <w:rPr>
          <w:rFonts w:hint="eastAsia" w:ascii="Times New Roman"/>
          <w:sz w:val="32"/>
          <w:szCs w:val="32"/>
        </w:rPr>
        <w:t>做到“关小上大”，到2025年，矿山总数控制在15家以内，促进产业集聚，</w:t>
      </w:r>
      <w:r>
        <w:rPr>
          <w:rFonts w:ascii="Times New Roman"/>
          <w:sz w:val="32"/>
          <w:szCs w:val="32"/>
        </w:rPr>
        <w:t>大中型矿山比例超过</w:t>
      </w:r>
      <w:r>
        <w:rPr>
          <w:rFonts w:hint="eastAsia" w:ascii="Times New Roman"/>
          <w:sz w:val="32"/>
          <w:szCs w:val="32"/>
        </w:rPr>
        <w:t>45</w:t>
      </w:r>
      <w:r>
        <w:rPr>
          <w:rFonts w:ascii="Times New Roman"/>
          <w:sz w:val="32"/>
          <w:szCs w:val="32"/>
        </w:rPr>
        <w:t>%，矿山规模结构进一步合理；矿山最小开采规模和新建矿山准入条件得到充分落实，主要矿种矿山均达到国家规定的</w:t>
      </w:r>
      <w:r>
        <w:rPr>
          <w:rFonts w:hint="eastAsia" w:ascii="Times New Roman"/>
          <w:sz w:val="32"/>
          <w:szCs w:val="32"/>
        </w:rPr>
        <w:t>“</w:t>
      </w:r>
      <w:r>
        <w:rPr>
          <w:rFonts w:ascii="Times New Roman"/>
          <w:sz w:val="32"/>
          <w:szCs w:val="32"/>
        </w:rPr>
        <w:t>三率</w:t>
      </w:r>
      <w:r>
        <w:rPr>
          <w:rFonts w:hint="eastAsia" w:ascii="Times New Roman"/>
          <w:sz w:val="32"/>
          <w:szCs w:val="32"/>
        </w:rPr>
        <w:t>”</w:t>
      </w:r>
      <w:r>
        <w:rPr>
          <w:rFonts w:ascii="Times New Roman"/>
          <w:sz w:val="32"/>
          <w:szCs w:val="32"/>
        </w:rPr>
        <w:t>标准；矿山节约与综合利用水平明显提升，矿产品产量能够满足国民经济和社会发展需要</w:t>
      </w:r>
      <w:r>
        <w:rPr>
          <w:rFonts w:hint="eastAsia" w:ascii="Times New Roman"/>
          <w:sz w:val="32"/>
          <w:szCs w:val="32"/>
        </w:rPr>
        <w:t>，</w:t>
      </w:r>
      <w:r>
        <w:rPr>
          <w:rFonts w:ascii="Times New Roman"/>
          <w:sz w:val="32"/>
          <w:szCs w:val="32"/>
        </w:rPr>
        <w:t>进一步加快绿色矿山建设</w:t>
      </w:r>
      <w:r>
        <w:rPr>
          <w:rFonts w:hint="eastAsia" w:ascii="Times New Roman"/>
          <w:sz w:val="32"/>
          <w:szCs w:val="32"/>
        </w:rPr>
        <w:t>。</w:t>
      </w:r>
    </w:p>
    <w:p>
      <w:pPr>
        <w:widowControl/>
        <w:adjustRightInd/>
        <w:ind w:firstLine="659" w:firstLineChars="200"/>
        <w:rPr>
          <w:rFonts w:ascii="Times New Roman"/>
          <w:sz w:val="32"/>
          <w:szCs w:val="32"/>
        </w:rPr>
      </w:pPr>
      <w:r>
        <w:rPr>
          <w:rFonts w:ascii="Times New Roman"/>
          <w:b/>
          <w:bCs/>
          <w:sz w:val="32"/>
          <w:szCs w:val="32"/>
        </w:rPr>
        <w:t>矿区生态保护修复规划目标。</w:t>
      </w:r>
      <w:r>
        <w:rPr>
          <w:rFonts w:ascii="Times New Roman"/>
          <w:sz w:val="32"/>
          <w:szCs w:val="32"/>
        </w:rPr>
        <w:t>加强矿产资源开发利用全过程地质环境保护的监督管理，积极构建矿山环境保护与治理恢复长效机制，积极落实国家和自治区发布的矿山环境治理恢复基金的管理办法。新建矿山和现有生产矿山的地质环境得到全面治理和复垦，生产矿山地质环境分期治理验收率达100%。基本实现矿山地质环境治理恢复工作的法制化和制度化。</w:t>
      </w:r>
      <w:r>
        <w:rPr>
          <w:rFonts w:hint="eastAsia" w:ascii="Times New Roman"/>
          <w:sz w:val="32"/>
          <w:szCs w:val="32"/>
        </w:rPr>
        <w:t>到2</w:t>
      </w:r>
      <w:r>
        <w:rPr>
          <w:rFonts w:ascii="Times New Roman"/>
          <w:sz w:val="32"/>
          <w:szCs w:val="32"/>
        </w:rPr>
        <w:t>025</w:t>
      </w:r>
      <w:r>
        <w:rPr>
          <w:rFonts w:hint="eastAsia" w:ascii="Times New Roman"/>
          <w:sz w:val="32"/>
          <w:szCs w:val="32"/>
        </w:rPr>
        <w:t>年，依托财政、社会资金、山水林田湖草沙冰一体化保护和系统治理等项目基本完成历史遗留的矿山生态保护修复工作。</w:t>
      </w:r>
    </w:p>
    <w:p>
      <w:pPr>
        <w:widowControl/>
        <w:adjustRightInd/>
        <w:ind w:firstLine="659" w:firstLineChars="200"/>
        <w:rPr>
          <w:rFonts w:ascii="Times New Roman"/>
          <w:sz w:val="32"/>
          <w:szCs w:val="32"/>
        </w:rPr>
      </w:pPr>
      <w:r>
        <w:rPr>
          <w:rFonts w:hint="eastAsia" w:ascii="Times New Roman"/>
          <w:b/>
          <w:bCs/>
          <w:sz w:val="32"/>
          <w:szCs w:val="32"/>
        </w:rPr>
        <w:t>2035年展望。</w:t>
      </w:r>
      <w:r>
        <w:rPr>
          <w:rFonts w:hint="eastAsia" w:ascii="Times New Roman"/>
          <w:sz w:val="32"/>
          <w:szCs w:val="32"/>
        </w:rPr>
        <w:t>到2035年，矿产资源结构布局稳定成型，矿业开发集聚效应、规模效应进一步显现，矿业高质量发展与经济社会发展协调一致。进一步区内优势矿产及清洁能源资源勘查，并取得重大突破。矿山企业转型升级成效显著，矿山规模产能集中度明显提高，矿产资源产业链得到延伸。绿色矿山建设全部完成，建立完善的地质环境恢复治理监管机制。（专栏4）</w:t>
      </w:r>
    </w:p>
    <w:tbl>
      <w:tblPr>
        <w:tblStyle w:val="36"/>
        <w:tblW w:w="50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559"/>
        <w:gridCol w:w="3120"/>
        <w:gridCol w:w="1595"/>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blHeader/>
        </w:trPr>
        <w:tc>
          <w:tcPr>
            <w:tcW w:w="5000" w:type="pct"/>
            <w:gridSpan w:val="5"/>
            <w:shd w:val="clear" w:color="auto" w:fill="E7E6E6" w:themeFill="background2"/>
            <w:noWrap/>
            <w:vAlign w:val="center"/>
          </w:tcPr>
          <w:p>
            <w:pPr>
              <w:widowControl/>
              <w:rPr>
                <w:rFonts w:ascii="Times New Roman"/>
                <w:b/>
                <w:bCs/>
                <w:color w:val="000000"/>
                <w:sz w:val="24"/>
              </w:rPr>
            </w:pPr>
            <w:r>
              <w:rPr>
                <w:rFonts w:ascii="Times New Roman"/>
                <w:b/>
                <w:bCs/>
                <w:sz w:val="24"/>
              </w:rPr>
              <w:t>专栏</w:t>
            </w:r>
            <w:r>
              <w:rPr>
                <w:rFonts w:hint="eastAsia" w:ascii="Times New Roman"/>
                <w:b/>
                <w:bCs/>
                <w:sz w:val="24"/>
              </w:rPr>
              <w:t xml:space="preserve">4                    </w:t>
            </w:r>
            <w:r>
              <w:rPr>
                <w:rFonts w:ascii="Times New Roman"/>
                <w:b/>
                <w:bCs/>
                <w:sz w:val="24"/>
              </w:rPr>
              <w:t xml:space="preserve"> </w:t>
            </w:r>
            <w:r>
              <w:rPr>
                <w:rFonts w:hint="eastAsia" w:ascii="Times New Roman"/>
                <w:b/>
                <w:bCs/>
                <w:sz w:val="24"/>
              </w:rPr>
              <w:t xml:space="preserve">                   </w:t>
            </w:r>
            <w:r>
              <w:rPr>
                <w:rFonts w:ascii="Times New Roman"/>
                <w:b/>
                <w:bCs/>
                <w:sz w:val="24"/>
              </w:rPr>
              <w:t>2025年主要规划目标和指标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1039" w:type="pct"/>
            <w:noWrap/>
            <w:vAlign w:val="center"/>
          </w:tcPr>
          <w:p>
            <w:pPr>
              <w:widowControl/>
              <w:jc w:val="center"/>
              <w:rPr>
                <w:rFonts w:ascii="Times New Roman"/>
                <w:b/>
                <w:bCs/>
                <w:color w:val="000000"/>
                <w:sz w:val="21"/>
                <w:szCs w:val="21"/>
              </w:rPr>
            </w:pPr>
            <w:r>
              <w:rPr>
                <w:rFonts w:ascii="Times New Roman"/>
                <w:b/>
                <w:bCs/>
                <w:color w:val="000000"/>
                <w:sz w:val="21"/>
                <w:szCs w:val="21"/>
              </w:rPr>
              <w:t>类别</w:t>
            </w:r>
          </w:p>
        </w:tc>
        <w:tc>
          <w:tcPr>
            <w:tcW w:w="2491" w:type="pct"/>
            <w:gridSpan w:val="2"/>
            <w:noWrap/>
            <w:vAlign w:val="center"/>
          </w:tcPr>
          <w:p>
            <w:pPr>
              <w:widowControl/>
              <w:jc w:val="center"/>
              <w:rPr>
                <w:rFonts w:ascii="Times New Roman"/>
                <w:b/>
                <w:bCs/>
                <w:color w:val="000000"/>
                <w:sz w:val="21"/>
                <w:szCs w:val="21"/>
              </w:rPr>
            </w:pPr>
            <w:r>
              <w:rPr>
                <w:rFonts w:ascii="Times New Roman"/>
                <w:b/>
                <w:bCs/>
                <w:color w:val="000000"/>
                <w:sz w:val="21"/>
                <w:szCs w:val="21"/>
              </w:rPr>
              <w:t>指标名称（单位）</w:t>
            </w:r>
          </w:p>
        </w:tc>
        <w:tc>
          <w:tcPr>
            <w:tcW w:w="849" w:type="pct"/>
            <w:noWrap/>
            <w:vAlign w:val="center"/>
          </w:tcPr>
          <w:p>
            <w:pPr>
              <w:widowControl/>
              <w:jc w:val="center"/>
              <w:rPr>
                <w:rFonts w:ascii="Times New Roman"/>
                <w:b/>
                <w:bCs/>
                <w:color w:val="000000"/>
                <w:sz w:val="21"/>
                <w:szCs w:val="21"/>
              </w:rPr>
            </w:pPr>
            <w:r>
              <w:rPr>
                <w:rFonts w:ascii="Times New Roman"/>
                <w:b/>
                <w:bCs/>
                <w:color w:val="000000"/>
                <w:sz w:val="21"/>
                <w:szCs w:val="21"/>
              </w:rPr>
              <w:t>2025年指标</w:t>
            </w:r>
          </w:p>
        </w:tc>
        <w:tc>
          <w:tcPr>
            <w:tcW w:w="621" w:type="pct"/>
            <w:noWrap/>
            <w:vAlign w:val="center"/>
          </w:tcPr>
          <w:p>
            <w:pPr>
              <w:widowControl/>
              <w:jc w:val="center"/>
              <w:rPr>
                <w:rFonts w:ascii="Times New Roman"/>
                <w:b/>
                <w:bCs/>
                <w:color w:val="000000"/>
                <w:sz w:val="21"/>
                <w:szCs w:val="21"/>
              </w:rPr>
            </w:pPr>
            <w:r>
              <w:rPr>
                <w:rFonts w:ascii="Times New Roman"/>
                <w:b/>
                <w:bCs/>
                <w:color w:val="000000"/>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pct"/>
            <w:noWrap/>
            <w:vAlign w:val="center"/>
          </w:tcPr>
          <w:p>
            <w:pPr>
              <w:widowControl/>
              <w:jc w:val="center"/>
              <w:rPr>
                <w:rFonts w:ascii="Times New Roman"/>
                <w:color w:val="000000"/>
                <w:sz w:val="21"/>
                <w:szCs w:val="21"/>
              </w:rPr>
            </w:pPr>
            <w:r>
              <w:rPr>
                <w:rFonts w:ascii="Times New Roman"/>
                <w:color w:val="000000"/>
                <w:sz w:val="21"/>
                <w:szCs w:val="21"/>
              </w:rPr>
              <w:t>矿业经济发展</w:t>
            </w:r>
          </w:p>
        </w:tc>
        <w:tc>
          <w:tcPr>
            <w:tcW w:w="2491" w:type="pct"/>
            <w:gridSpan w:val="2"/>
            <w:noWrap/>
            <w:vAlign w:val="center"/>
          </w:tcPr>
          <w:p>
            <w:pPr>
              <w:widowControl/>
              <w:jc w:val="center"/>
              <w:rPr>
                <w:rFonts w:ascii="Times New Roman"/>
                <w:color w:val="000000"/>
                <w:sz w:val="21"/>
                <w:szCs w:val="21"/>
              </w:rPr>
            </w:pPr>
            <w:r>
              <w:rPr>
                <w:rFonts w:ascii="Times New Roman"/>
                <w:color w:val="000000"/>
                <w:sz w:val="21"/>
                <w:szCs w:val="21"/>
              </w:rPr>
              <w:t>矿业产值（</w:t>
            </w:r>
            <w:r>
              <w:rPr>
                <w:rFonts w:hint="eastAsia" w:ascii="Times New Roman"/>
                <w:color w:val="000000"/>
                <w:sz w:val="21"/>
                <w:szCs w:val="21"/>
              </w:rPr>
              <w:t>万</w:t>
            </w:r>
            <w:r>
              <w:rPr>
                <w:rFonts w:ascii="Times New Roman"/>
                <w:color w:val="000000"/>
                <w:sz w:val="21"/>
                <w:szCs w:val="21"/>
              </w:rPr>
              <w:t>元）</w:t>
            </w:r>
          </w:p>
        </w:tc>
        <w:tc>
          <w:tcPr>
            <w:tcW w:w="849" w:type="pct"/>
            <w:noWrap/>
            <w:vAlign w:val="center"/>
          </w:tcPr>
          <w:p>
            <w:pPr>
              <w:widowControl/>
              <w:jc w:val="center"/>
              <w:rPr>
                <w:rFonts w:ascii="Times New Roman"/>
                <w:color w:val="FF0000"/>
                <w:sz w:val="21"/>
                <w:szCs w:val="21"/>
              </w:rPr>
            </w:pPr>
            <w:r>
              <w:rPr>
                <w:rFonts w:hint="eastAsia" w:ascii="Times New Roman"/>
                <w:color w:val="000000"/>
                <w:sz w:val="21"/>
                <w:szCs w:val="21"/>
              </w:rPr>
              <w:t>8000</w:t>
            </w:r>
          </w:p>
        </w:tc>
        <w:tc>
          <w:tcPr>
            <w:tcW w:w="621" w:type="pct"/>
            <w:noWrap/>
            <w:vAlign w:val="center"/>
          </w:tcPr>
          <w:p>
            <w:pPr>
              <w:widowControl/>
              <w:jc w:val="center"/>
              <w:rPr>
                <w:rFonts w:ascii="Times New Roman"/>
                <w:color w:val="000000"/>
                <w:sz w:val="21"/>
                <w:szCs w:val="21"/>
              </w:rPr>
            </w:pPr>
            <w:r>
              <w:rPr>
                <w:rFonts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pct"/>
            <w:vMerge w:val="restart"/>
            <w:noWrap/>
            <w:vAlign w:val="center"/>
          </w:tcPr>
          <w:p>
            <w:pPr>
              <w:jc w:val="center"/>
              <w:rPr>
                <w:rFonts w:ascii="Times New Roman"/>
                <w:color w:val="000000"/>
                <w:sz w:val="21"/>
                <w:szCs w:val="21"/>
              </w:rPr>
            </w:pPr>
            <w:r>
              <w:rPr>
                <w:rFonts w:hint="eastAsia" w:ascii="Times New Roman"/>
                <w:color w:val="000000"/>
                <w:sz w:val="21"/>
                <w:szCs w:val="21"/>
              </w:rPr>
              <w:t>基础性公益性地质调查</w:t>
            </w:r>
          </w:p>
        </w:tc>
        <w:tc>
          <w:tcPr>
            <w:tcW w:w="2491" w:type="pct"/>
            <w:gridSpan w:val="2"/>
            <w:noWrap/>
            <w:vAlign w:val="center"/>
          </w:tcPr>
          <w:p>
            <w:pPr>
              <w:widowControl/>
              <w:spacing w:line="240" w:lineRule="auto"/>
              <w:jc w:val="center"/>
              <w:rPr>
                <w:rFonts w:ascii="Times New Roman"/>
                <w:color w:val="000000"/>
                <w:sz w:val="21"/>
                <w:szCs w:val="21"/>
              </w:rPr>
            </w:pPr>
            <w:r>
              <w:rPr>
                <w:rFonts w:hint="eastAsia" w:ascii="Times New Roman"/>
                <w:color w:val="000000"/>
                <w:sz w:val="21"/>
                <w:szCs w:val="21"/>
              </w:rPr>
              <w:t>1</w:t>
            </w:r>
            <w:r>
              <w:rPr>
                <w:rFonts w:hint="eastAsia" w:ascii="Times New Roman"/>
                <w:sz w:val="21"/>
                <w:szCs w:val="21"/>
              </w:rPr>
              <w:t>∶</w:t>
            </w:r>
            <w:r>
              <w:rPr>
                <w:rFonts w:hint="eastAsia" w:ascii="Times New Roman"/>
                <w:color w:val="000000"/>
                <w:sz w:val="21"/>
                <w:szCs w:val="21"/>
              </w:rPr>
              <w:t>5万城市地质安全风险调查（平方千米）</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629</w:t>
            </w:r>
          </w:p>
        </w:tc>
        <w:tc>
          <w:tcPr>
            <w:tcW w:w="621" w:type="pct"/>
            <w:noWrap/>
            <w:vAlign w:val="center"/>
          </w:tcPr>
          <w:p>
            <w:pPr>
              <w:widowControl/>
              <w:jc w:val="center"/>
              <w:rPr>
                <w:rFonts w:ascii="Times New Roman"/>
                <w:color w:val="000000"/>
                <w:sz w:val="21"/>
                <w:szCs w:val="21"/>
              </w:rPr>
            </w:pPr>
            <w:r>
              <w:rPr>
                <w:rFonts w:hint="eastAsia"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039" w:type="pct"/>
            <w:vMerge w:val="continue"/>
            <w:noWrap/>
            <w:vAlign w:val="center"/>
          </w:tcPr>
          <w:p>
            <w:pPr>
              <w:widowControl/>
              <w:jc w:val="center"/>
              <w:rPr>
                <w:rFonts w:ascii="Times New Roman"/>
                <w:color w:val="000000"/>
                <w:sz w:val="21"/>
                <w:szCs w:val="21"/>
              </w:rPr>
            </w:pPr>
          </w:p>
        </w:tc>
        <w:tc>
          <w:tcPr>
            <w:tcW w:w="2491" w:type="pct"/>
            <w:gridSpan w:val="2"/>
            <w:noWrap/>
            <w:vAlign w:val="center"/>
          </w:tcPr>
          <w:p>
            <w:pPr>
              <w:widowControl/>
              <w:spacing w:line="240" w:lineRule="auto"/>
              <w:jc w:val="center"/>
              <w:rPr>
                <w:rFonts w:ascii="Times New Roman"/>
                <w:color w:val="000000"/>
                <w:sz w:val="21"/>
                <w:szCs w:val="21"/>
              </w:rPr>
            </w:pPr>
            <w:r>
              <w:rPr>
                <w:rFonts w:hint="eastAsia" w:ascii="Times New Roman"/>
                <w:color w:val="000000"/>
                <w:sz w:val="21"/>
                <w:szCs w:val="21"/>
              </w:rPr>
              <w:t>1</w:t>
            </w:r>
            <w:r>
              <w:rPr>
                <w:rFonts w:hint="eastAsia" w:ascii="Times New Roman"/>
                <w:sz w:val="21"/>
                <w:szCs w:val="21"/>
              </w:rPr>
              <w:t>∶</w:t>
            </w:r>
            <w:r>
              <w:rPr>
                <w:rFonts w:hint="eastAsia" w:ascii="Times New Roman"/>
                <w:color w:val="000000"/>
                <w:sz w:val="21"/>
                <w:szCs w:val="21"/>
              </w:rPr>
              <w:t>5万土地质量地球化学调查（平方千米）</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3</w:t>
            </w:r>
            <w:r>
              <w:rPr>
                <w:rFonts w:ascii="Times New Roman"/>
                <w:color w:val="000000"/>
                <w:sz w:val="21"/>
                <w:szCs w:val="21"/>
              </w:rPr>
              <w:t>00</w:t>
            </w:r>
          </w:p>
        </w:tc>
        <w:tc>
          <w:tcPr>
            <w:tcW w:w="621" w:type="pct"/>
            <w:noWrap/>
            <w:vAlign w:val="center"/>
          </w:tcPr>
          <w:p>
            <w:pPr>
              <w:widowControl/>
              <w:jc w:val="center"/>
              <w:rPr>
                <w:rFonts w:ascii="Times New Roman"/>
                <w:color w:val="000000"/>
                <w:sz w:val="21"/>
                <w:szCs w:val="21"/>
              </w:rPr>
            </w:pPr>
            <w:r>
              <w:rPr>
                <w:rFonts w:hint="eastAsia"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39" w:type="pct"/>
            <w:vMerge w:val="continue"/>
            <w:noWrap/>
            <w:vAlign w:val="center"/>
          </w:tcPr>
          <w:p>
            <w:pPr>
              <w:widowControl/>
              <w:jc w:val="center"/>
              <w:rPr>
                <w:rFonts w:ascii="Times New Roman"/>
                <w:color w:val="000000"/>
                <w:sz w:val="21"/>
                <w:szCs w:val="21"/>
              </w:rPr>
            </w:pPr>
          </w:p>
        </w:tc>
        <w:tc>
          <w:tcPr>
            <w:tcW w:w="2491" w:type="pct"/>
            <w:gridSpan w:val="2"/>
            <w:noWrap/>
            <w:vAlign w:val="center"/>
          </w:tcPr>
          <w:p>
            <w:pPr>
              <w:widowControl/>
              <w:jc w:val="center"/>
              <w:rPr>
                <w:rFonts w:ascii="Times New Roman"/>
                <w:color w:val="000000"/>
                <w:sz w:val="21"/>
                <w:szCs w:val="21"/>
              </w:rPr>
            </w:pPr>
            <w:r>
              <w:rPr>
                <w:rFonts w:hint="eastAsia" w:ascii="Times New Roman"/>
                <w:color w:val="000000"/>
                <w:sz w:val="21"/>
                <w:szCs w:val="21"/>
              </w:rPr>
              <w:t>地热调查评价</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15</w:t>
            </w:r>
            <w:r>
              <w:rPr>
                <w:rFonts w:ascii="Times New Roman"/>
                <w:color w:val="000000"/>
                <w:sz w:val="21"/>
                <w:szCs w:val="21"/>
              </w:rPr>
              <w:t>0</w:t>
            </w:r>
          </w:p>
        </w:tc>
        <w:tc>
          <w:tcPr>
            <w:tcW w:w="621" w:type="pct"/>
            <w:noWrap/>
            <w:vAlign w:val="center"/>
          </w:tcPr>
          <w:p>
            <w:pPr>
              <w:widowControl/>
              <w:jc w:val="center"/>
              <w:rPr>
                <w:rFonts w:ascii="Times New Roman"/>
                <w:color w:val="000000"/>
                <w:sz w:val="21"/>
                <w:szCs w:val="21"/>
              </w:rPr>
            </w:pPr>
            <w:r>
              <w:rPr>
                <w:rFonts w:hint="eastAsia"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pct"/>
            <w:vMerge w:val="restart"/>
            <w:noWrap/>
            <w:vAlign w:val="center"/>
          </w:tcPr>
          <w:p>
            <w:pPr>
              <w:jc w:val="center"/>
              <w:rPr>
                <w:rFonts w:ascii="Times New Roman"/>
                <w:color w:val="000000"/>
                <w:sz w:val="21"/>
                <w:szCs w:val="21"/>
              </w:rPr>
            </w:pPr>
            <w:r>
              <w:rPr>
                <w:rFonts w:ascii="Times New Roman"/>
                <w:color w:val="000000"/>
                <w:sz w:val="21"/>
                <w:szCs w:val="21"/>
              </w:rPr>
              <w:t>矿产资源勘查</w:t>
            </w:r>
          </w:p>
        </w:tc>
        <w:tc>
          <w:tcPr>
            <w:tcW w:w="2491" w:type="pct"/>
            <w:gridSpan w:val="2"/>
            <w:noWrap/>
            <w:vAlign w:val="center"/>
          </w:tcPr>
          <w:p>
            <w:pPr>
              <w:widowControl/>
              <w:jc w:val="center"/>
              <w:rPr>
                <w:rFonts w:ascii="Times New Roman"/>
                <w:color w:val="000000"/>
                <w:sz w:val="21"/>
                <w:szCs w:val="21"/>
              </w:rPr>
            </w:pPr>
            <w:r>
              <w:rPr>
                <w:rFonts w:ascii="Times New Roman"/>
                <w:color w:val="000000"/>
                <w:sz w:val="21"/>
                <w:szCs w:val="21"/>
              </w:rPr>
              <w:t>新发现大中型矿产地</w:t>
            </w:r>
            <w:r>
              <w:rPr>
                <w:rFonts w:hint="eastAsia" w:ascii="Times New Roman"/>
                <w:color w:val="000000"/>
                <w:sz w:val="21"/>
                <w:szCs w:val="21"/>
                <w:lang w:eastAsia="zh-CN"/>
              </w:rPr>
              <w:t>（</w:t>
            </w:r>
            <w:r>
              <w:rPr>
                <w:rFonts w:ascii="Times New Roman"/>
                <w:color w:val="000000"/>
                <w:sz w:val="21"/>
                <w:szCs w:val="21"/>
              </w:rPr>
              <w:t>个</w:t>
            </w:r>
            <w:r>
              <w:rPr>
                <w:rFonts w:hint="eastAsia" w:ascii="Times New Roman"/>
                <w:color w:val="000000"/>
                <w:sz w:val="21"/>
                <w:szCs w:val="21"/>
                <w:lang w:eastAsia="zh-CN"/>
              </w:rPr>
              <w:t>）</w:t>
            </w:r>
          </w:p>
        </w:tc>
        <w:tc>
          <w:tcPr>
            <w:tcW w:w="849" w:type="pct"/>
            <w:noWrap/>
            <w:vAlign w:val="center"/>
          </w:tcPr>
          <w:p>
            <w:pPr>
              <w:widowControl/>
              <w:jc w:val="center"/>
              <w:rPr>
                <w:rFonts w:ascii="Times New Roman"/>
                <w:color w:val="000000"/>
                <w:sz w:val="21"/>
                <w:szCs w:val="21"/>
              </w:rPr>
            </w:pPr>
            <w:r>
              <w:rPr>
                <w:rFonts w:ascii="Times New Roman"/>
                <w:color w:val="000000"/>
                <w:sz w:val="21"/>
                <w:szCs w:val="21"/>
              </w:rPr>
              <w:t>1</w:t>
            </w:r>
          </w:p>
        </w:tc>
        <w:tc>
          <w:tcPr>
            <w:tcW w:w="621" w:type="pct"/>
            <w:noWrap/>
            <w:vAlign w:val="center"/>
          </w:tcPr>
          <w:p>
            <w:pPr>
              <w:widowControl/>
              <w:jc w:val="center"/>
              <w:rPr>
                <w:rFonts w:ascii="Times New Roman"/>
                <w:color w:val="000000"/>
                <w:sz w:val="21"/>
                <w:szCs w:val="21"/>
              </w:rPr>
            </w:pPr>
            <w:r>
              <w:rPr>
                <w:rFonts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pct"/>
            <w:vMerge w:val="continue"/>
            <w:vAlign w:val="center"/>
          </w:tcPr>
          <w:p>
            <w:pPr>
              <w:jc w:val="center"/>
              <w:rPr>
                <w:rFonts w:ascii="Times New Roman"/>
                <w:color w:val="000000"/>
                <w:sz w:val="21"/>
                <w:szCs w:val="21"/>
              </w:rPr>
            </w:pPr>
          </w:p>
        </w:tc>
        <w:tc>
          <w:tcPr>
            <w:tcW w:w="830" w:type="pct"/>
            <w:vMerge w:val="restart"/>
            <w:vAlign w:val="center"/>
          </w:tcPr>
          <w:p>
            <w:pPr>
              <w:jc w:val="center"/>
              <w:rPr>
                <w:rFonts w:ascii="Times New Roman"/>
                <w:color w:val="000000"/>
                <w:sz w:val="21"/>
                <w:szCs w:val="21"/>
              </w:rPr>
            </w:pPr>
            <w:r>
              <w:rPr>
                <w:rFonts w:ascii="Times New Roman"/>
                <w:color w:val="000000"/>
                <w:sz w:val="21"/>
                <w:szCs w:val="21"/>
              </w:rPr>
              <w:t>新增资源量</w:t>
            </w:r>
          </w:p>
        </w:tc>
        <w:tc>
          <w:tcPr>
            <w:tcW w:w="1661" w:type="pct"/>
            <w:noWrap/>
            <w:vAlign w:val="center"/>
          </w:tcPr>
          <w:p>
            <w:pPr>
              <w:widowControl/>
              <w:jc w:val="center"/>
              <w:rPr>
                <w:rFonts w:ascii="Times New Roman"/>
                <w:sz w:val="21"/>
                <w:szCs w:val="21"/>
              </w:rPr>
            </w:pPr>
            <w:r>
              <w:rPr>
                <w:rFonts w:hint="eastAsia" w:ascii="Times New Roman"/>
                <w:sz w:val="21"/>
                <w:szCs w:val="21"/>
              </w:rPr>
              <w:t>煤炭（万吨）</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5000</w:t>
            </w:r>
          </w:p>
        </w:tc>
        <w:tc>
          <w:tcPr>
            <w:tcW w:w="621" w:type="pct"/>
            <w:noWrap/>
            <w:vAlign w:val="center"/>
          </w:tcPr>
          <w:p>
            <w:pPr>
              <w:widowControl/>
              <w:jc w:val="center"/>
              <w:rPr>
                <w:rFonts w:ascii="Times New Roman"/>
                <w:color w:val="000000"/>
                <w:sz w:val="21"/>
                <w:szCs w:val="21"/>
              </w:rPr>
            </w:pPr>
            <w:r>
              <w:rPr>
                <w:rFonts w:hint="eastAsia"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pct"/>
            <w:vMerge w:val="continue"/>
            <w:vAlign w:val="center"/>
          </w:tcPr>
          <w:p>
            <w:pPr>
              <w:jc w:val="center"/>
              <w:rPr>
                <w:rFonts w:ascii="Times New Roman"/>
                <w:color w:val="000000"/>
                <w:sz w:val="21"/>
                <w:szCs w:val="21"/>
              </w:rPr>
            </w:pPr>
          </w:p>
        </w:tc>
        <w:tc>
          <w:tcPr>
            <w:tcW w:w="830" w:type="pct"/>
            <w:vMerge w:val="continue"/>
            <w:vAlign w:val="center"/>
          </w:tcPr>
          <w:p>
            <w:pPr>
              <w:widowControl/>
              <w:jc w:val="center"/>
              <w:rPr>
                <w:rFonts w:ascii="Times New Roman"/>
                <w:color w:val="000000"/>
                <w:sz w:val="21"/>
                <w:szCs w:val="21"/>
              </w:rPr>
            </w:pPr>
          </w:p>
        </w:tc>
        <w:tc>
          <w:tcPr>
            <w:tcW w:w="1661" w:type="pct"/>
            <w:noWrap/>
            <w:vAlign w:val="center"/>
          </w:tcPr>
          <w:p>
            <w:pPr>
              <w:widowControl/>
              <w:jc w:val="center"/>
              <w:rPr>
                <w:rFonts w:ascii="Times New Roman"/>
                <w:sz w:val="21"/>
                <w:szCs w:val="21"/>
              </w:rPr>
            </w:pPr>
            <w:r>
              <w:rPr>
                <w:rFonts w:hint="eastAsia" w:ascii="Times New Roman"/>
                <w:sz w:val="21"/>
                <w:szCs w:val="21"/>
              </w:rPr>
              <w:t>砖瓦用粘土（万立方米）</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200</w:t>
            </w:r>
          </w:p>
        </w:tc>
        <w:tc>
          <w:tcPr>
            <w:tcW w:w="621" w:type="pct"/>
            <w:noWrap/>
            <w:vAlign w:val="center"/>
          </w:tcPr>
          <w:p>
            <w:pPr>
              <w:widowControl/>
              <w:jc w:val="center"/>
              <w:rPr>
                <w:rFonts w:ascii="Times New Roman"/>
                <w:color w:val="000000"/>
                <w:sz w:val="21"/>
                <w:szCs w:val="21"/>
              </w:rPr>
            </w:pPr>
            <w:r>
              <w:rPr>
                <w:rFonts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39" w:type="pct"/>
            <w:vMerge w:val="continue"/>
            <w:vAlign w:val="center"/>
          </w:tcPr>
          <w:p>
            <w:pPr>
              <w:widowControl/>
              <w:jc w:val="center"/>
              <w:rPr>
                <w:rFonts w:ascii="Times New Roman"/>
                <w:color w:val="000000"/>
                <w:sz w:val="21"/>
                <w:szCs w:val="21"/>
              </w:rPr>
            </w:pPr>
          </w:p>
        </w:tc>
        <w:tc>
          <w:tcPr>
            <w:tcW w:w="830" w:type="pct"/>
            <w:vMerge w:val="continue"/>
            <w:vAlign w:val="center"/>
          </w:tcPr>
          <w:p>
            <w:pPr>
              <w:widowControl/>
              <w:jc w:val="center"/>
              <w:rPr>
                <w:rFonts w:ascii="Times New Roman"/>
                <w:color w:val="000000"/>
                <w:sz w:val="21"/>
                <w:szCs w:val="21"/>
              </w:rPr>
            </w:pPr>
          </w:p>
        </w:tc>
        <w:tc>
          <w:tcPr>
            <w:tcW w:w="1661" w:type="pct"/>
            <w:noWrap/>
            <w:vAlign w:val="center"/>
          </w:tcPr>
          <w:p>
            <w:pPr>
              <w:widowControl/>
              <w:jc w:val="center"/>
              <w:rPr>
                <w:rFonts w:ascii="Times New Roman"/>
                <w:sz w:val="21"/>
                <w:szCs w:val="21"/>
              </w:rPr>
            </w:pPr>
            <w:r>
              <w:rPr>
                <w:rFonts w:hint="eastAsia" w:ascii="Times New Roman"/>
                <w:sz w:val="21"/>
                <w:szCs w:val="21"/>
              </w:rPr>
              <w:t>建筑用砂石（万立方米）</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100</w:t>
            </w:r>
          </w:p>
        </w:tc>
        <w:tc>
          <w:tcPr>
            <w:tcW w:w="621" w:type="pct"/>
            <w:noWrap/>
            <w:vAlign w:val="center"/>
          </w:tcPr>
          <w:p>
            <w:pPr>
              <w:widowControl/>
              <w:jc w:val="center"/>
              <w:rPr>
                <w:rFonts w:ascii="Times New Roman"/>
                <w:color w:val="000000"/>
                <w:sz w:val="21"/>
                <w:szCs w:val="21"/>
              </w:rPr>
            </w:pPr>
            <w:r>
              <w:rPr>
                <w:rFonts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pct"/>
            <w:vMerge w:val="restart"/>
            <w:noWrap/>
            <w:vAlign w:val="center"/>
          </w:tcPr>
          <w:p>
            <w:pPr>
              <w:widowControl/>
              <w:jc w:val="center"/>
              <w:rPr>
                <w:rFonts w:ascii="Times New Roman"/>
                <w:color w:val="000000"/>
                <w:sz w:val="21"/>
                <w:szCs w:val="21"/>
              </w:rPr>
            </w:pPr>
            <w:r>
              <w:rPr>
                <w:rFonts w:ascii="Times New Roman"/>
                <w:color w:val="000000"/>
                <w:sz w:val="21"/>
                <w:szCs w:val="21"/>
              </w:rPr>
              <w:t>开采与保护</w:t>
            </w:r>
          </w:p>
        </w:tc>
        <w:tc>
          <w:tcPr>
            <w:tcW w:w="830" w:type="pct"/>
            <w:noWrap/>
            <w:vAlign w:val="center"/>
          </w:tcPr>
          <w:p>
            <w:pPr>
              <w:widowControl/>
              <w:jc w:val="center"/>
              <w:rPr>
                <w:rFonts w:ascii="Times New Roman"/>
                <w:color w:val="000000"/>
                <w:sz w:val="21"/>
                <w:szCs w:val="21"/>
              </w:rPr>
            </w:pPr>
            <w:r>
              <w:rPr>
                <w:rFonts w:hint="eastAsia" w:ascii="Times New Roman"/>
                <w:color w:val="000000"/>
                <w:sz w:val="21"/>
                <w:szCs w:val="21"/>
              </w:rPr>
              <w:t>矿山数量</w:t>
            </w:r>
          </w:p>
        </w:tc>
        <w:tc>
          <w:tcPr>
            <w:tcW w:w="1661" w:type="pct"/>
            <w:vAlign w:val="center"/>
          </w:tcPr>
          <w:p>
            <w:pPr>
              <w:widowControl/>
              <w:jc w:val="center"/>
              <w:rPr>
                <w:rFonts w:ascii="Times New Roman"/>
                <w:color w:val="000000"/>
                <w:sz w:val="21"/>
                <w:szCs w:val="21"/>
              </w:rPr>
            </w:pPr>
            <w:r>
              <w:rPr>
                <w:rFonts w:ascii="Times New Roman"/>
                <w:color w:val="000000"/>
                <w:sz w:val="21"/>
                <w:szCs w:val="21"/>
              </w:rPr>
              <w:t>矿山数量（个）</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≤15</w:t>
            </w:r>
          </w:p>
        </w:tc>
        <w:tc>
          <w:tcPr>
            <w:tcW w:w="621" w:type="pct"/>
            <w:noWrap/>
            <w:vAlign w:val="center"/>
          </w:tcPr>
          <w:p>
            <w:pPr>
              <w:widowControl/>
              <w:jc w:val="center"/>
              <w:rPr>
                <w:rFonts w:ascii="Times New Roman"/>
                <w:color w:val="000000"/>
                <w:sz w:val="21"/>
                <w:szCs w:val="21"/>
              </w:rPr>
            </w:pPr>
            <w:r>
              <w:rPr>
                <w:rFonts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39" w:type="pct"/>
            <w:vMerge w:val="continue"/>
            <w:vAlign w:val="center"/>
          </w:tcPr>
          <w:p>
            <w:pPr>
              <w:widowControl/>
              <w:jc w:val="center"/>
              <w:rPr>
                <w:rFonts w:ascii="Times New Roman"/>
                <w:color w:val="000000"/>
                <w:sz w:val="21"/>
                <w:szCs w:val="21"/>
              </w:rPr>
            </w:pPr>
          </w:p>
        </w:tc>
        <w:tc>
          <w:tcPr>
            <w:tcW w:w="830" w:type="pct"/>
            <w:vMerge w:val="restart"/>
            <w:vAlign w:val="center"/>
          </w:tcPr>
          <w:p>
            <w:pPr>
              <w:jc w:val="center"/>
              <w:rPr>
                <w:rFonts w:ascii="Times New Roman"/>
                <w:color w:val="000000"/>
                <w:sz w:val="21"/>
                <w:szCs w:val="21"/>
              </w:rPr>
            </w:pPr>
            <w:r>
              <w:rPr>
                <w:rFonts w:hint="eastAsia" w:ascii="Times New Roman"/>
                <w:color w:val="000000"/>
                <w:sz w:val="21"/>
                <w:szCs w:val="21"/>
              </w:rPr>
              <w:t>开采量</w:t>
            </w:r>
          </w:p>
        </w:tc>
        <w:tc>
          <w:tcPr>
            <w:tcW w:w="1661" w:type="pct"/>
            <w:noWrap/>
            <w:vAlign w:val="center"/>
          </w:tcPr>
          <w:p>
            <w:pPr>
              <w:widowControl/>
              <w:jc w:val="center"/>
              <w:rPr>
                <w:rFonts w:ascii="Times New Roman"/>
                <w:sz w:val="21"/>
                <w:szCs w:val="21"/>
              </w:rPr>
            </w:pPr>
            <w:r>
              <w:rPr>
                <w:rFonts w:ascii="Times New Roman"/>
                <w:color w:val="000000"/>
                <w:sz w:val="21"/>
                <w:szCs w:val="21"/>
              </w:rPr>
              <w:t>煤炭（</w:t>
            </w:r>
            <w:r>
              <w:rPr>
                <w:rFonts w:hint="eastAsia" w:ascii="Times New Roman"/>
                <w:sz w:val="21"/>
                <w:szCs w:val="21"/>
              </w:rPr>
              <w:t>万吨</w:t>
            </w:r>
            <w:r>
              <w:rPr>
                <w:rFonts w:ascii="Times New Roman"/>
                <w:color w:val="000000"/>
                <w:sz w:val="21"/>
                <w:szCs w:val="21"/>
              </w:rPr>
              <w:t>）</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200</w:t>
            </w:r>
          </w:p>
        </w:tc>
        <w:tc>
          <w:tcPr>
            <w:tcW w:w="621" w:type="pct"/>
            <w:noWrap/>
            <w:vAlign w:val="center"/>
          </w:tcPr>
          <w:p>
            <w:pPr>
              <w:widowControl/>
              <w:jc w:val="center"/>
              <w:rPr>
                <w:rFonts w:ascii="Times New Roman"/>
                <w:color w:val="000000"/>
                <w:sz w:val="21"/>
                <w:szCs w:val="21"/>
              </w:rPr>
            </w:pPr>
            <w:r>
              <w:rPr>
                <w:rFonts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39" w:type="pct"/>
            <w:vMerge w:val="continue"/>
            <w:vAlign w:val="center"/>
          </w:tcPr>
          <w:p>
            <w:pPr>
              <w:widowControl/>
              <w:jc w:val="center"/>
              <w:rPr>
                <w:rFonts w:ascii="Times New Roman"/>
                <w:color w:val="000000"/>
                <w:sz w:val="21"/>
                <w:szCs w:val="21"/>
              </w:rPr>
            </w:pPr>
          </w:p>
        </w:tc>
        <w:tc>
          <w:tcPr>
            <w:tcW w:w="830" w:type="pct"/>
            <w:vMerge w:val="continue"/>
            <w:vAlign w:val="center"/>
          </w:tcPr>
          <w:p>
            <w:pPr>
              <w:jc w:val="center"/>
              <w:rPr>
                <w:rFonts w:ascii="Times New Roman"/>
                <w:color w:val="000000"/>
                <w:sz w:val="21"/>
                <w:szCs w:val="21"/>
              </w:rPr>
            </w:pPr>
          </w:p>
        </w:tc>
        <w:tc>
          <w:tcPr>
            <w:tcW w:w="1661" w:type="pct"/>
            <w:noWrap/>
            <w:vAlign w:val="center"/>
          </w:tcPr>
          <w:p>
            <w:pPr>
              <w:widowControl/>
              <w:jc w:val="center"/>
              <w:rPr>
                <w:rFonts w:ascii="Times New Roman"/>
                <w:sz w:val="21"/>
                <w:szCs w:val="21"/>
              </w:rPr>
            </w:pPr>
            <w:r>
              <w:rPr>
                <w:rFonts w:hint="eastAsia" w:ascii="Times New Roman"/>
                <w:sz w:val="21"/>
                <w:szCs w:val="21"/>
              </w:rPr>
              <w:t>砖瓦用粘土（万立方米）</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100</w:t>
            </w:r>
          </w:p>
        </w:tc>
        <w:tc>
          <w:tcPr>
            <w:tcW w:w="621" w:type="pct"/>
            <w:noWrap/>
            <w:vAlign w:val="center"/>
          </w:tcPr>
          <w:p>
            <w:pPr>
              <w:widowControl/>
              <w:jc w:val="center"/>
              <w:rPr>
                <w:rFonts w:ascii="Times New Roman"/>
                <w:color w:val="000000"/>
                <w:sz w:val="21"/>
                <w:szCs w:val="21"/>
              </w:rPr>
            </w:pPr>
            <w:r>
              <w:rPr>
                <w:rFonts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39" w:type="pct"/>
            <w:vMerge w:val="continue"/>
            <w:vAlign w:val="center"/>
          </w:tcPr>
          <w:p>
            <w:pPr>
              <w:widowControl/>
              <w:jc w:val="center"/>
              <w:rPr>
                <w:rFonts w:ascii="Times New Roman"/>
                <w:color w:val="000000"/>
                <w:sz w:val="21"/>
                <w:szCs w:val="21"/>
              </w:rPr>
            </w:pPr>
          </w:p>
        </w:tc>
        <w:tc>
          <w:tcPr>
            <w:tcW w:w="830" w:type="pct"/>
            <w:vMerge w:val="continue"/>
            <w:vAlign w:val="center"/>
          </w:tcPr>
          <w:p>
            <w:pPr>
              <w:jc w:val="center"/>
              <w:rPr>
                <w:rFonts w:ascii="Times New Roman"/>
                <w:color w:val="000000"/>
                <w:sz w:val="21"/>
                <w:szCs w:val="21"/>
              </w:rPr>
            </w:pPr>
          </w:p>
        </w:tc>
        <w:tc>
          <w:tcPr>
            <w:tcW w:w="1661" w:type="pct"/>
            <w:noWrap/>
            <w:vAlign w:val="center"/>
          </w:tcPr>
          <w:p>
            <w:pPr>
              <w:widowControl/>
              <w:jc w:val="center"/>
              <w:rPr>
                <w:rFonts w:ascii="Times New Roman"/>
                <w:sz w:val="21"/>
                <w:szCs w:val="21"/>
              </w:rPr>
            </w:pPr>
            <w:r>
              <w:rPr>
                <w:rFonts w:hint="eastAsia" w:ascii="Times New Roman"/>
                <w:sz w:val="21"/>
                <w:szCs w:val="21"/>
              </w:rPr>
              <w:t>砖瓦用页岩（万吨）</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30</w:t>
            </w:r>
          </w:p>
        </w:tc>
        <w:tc>
          <w:tcPr>
            <w:tcW w:w="621" w:type="pct"/>
            <w:noWrap/>
            <w:vAlign w:val="center"/>
          </w:tcPr>
          <w:p>
            <w:pPr>
              <w:widowControl/>
              <w:jc w:val="center"/>
              <w:rPr>
                <w:rFonts w:ascii="Times New Roman"/>
                <w:color w:val="000000"/>
                <w:sz w:val="21"/>
                <w:szCs w:val="21"/>
              </w:rPr>
            </w:pPr>
            <w:r>
              <w:rPr>
                <w:rFonts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pct"/>
            <w:vMerge w:val="continue"/>
            <w:vAlign w:val="center"/>
          </w:tcPr>
          <w:p>
            <w:pPr>
              <w:widowControl/>
              <w:jc w:val="center"/>
              <w:rPr>
                <w:rFonts w:ascii="Times New Roman"/>
                <w:color w:val="000000"/>
                <w:sz w:val="21"/>
                <w:szCs w:val="21"/>
              </w:rPr>
            </w:pPr>
          </w:p>
        </w:tc>
        <w:tc>
          <w:tcPr>
            <w:tcW w:w="830" w:type="pct"/>
            <w:vMerge w:val="continue"/>
            <w:vAlign w:val="center"/>
          </w:tcPr>
          <w:p>
            <w:pPr>
              <w:jc w:val="center"/>
              <w:rPr>
                <w:rFonts w:ascii="Times New Roman"/>
                <w:color w:val="000000"/>
                <w:sz w:val="21"/>
                <w:szCs w:val="21"/>
              </w:rPr>
            </w:pPr>
          </w:p>
        </w:tc>
        <w:tc>
          <w:tcPr>
            <w:tcW w:w="1661" w:type="pct"/>
            <w:noWrap/>
            <w:vAlign w:val="center"/>
          </w:tcPr>
          <w:p>
            <w:pPr>
              <w:widowControl/>
              <w:jc w:val="center"/>
              <w:rPr>
                <w:rFonts w:ascii="Times New Roman"/>
                <w:sz w:val="21"/>
                <w:szCs w:val="21"/>
              </w:rPr>
            </w:pPr>
            <w:r>
              <w:rPr>
                <w:rFonts w:hint="eastAsia" w:ascii="Times New Roman"/>
                <w:sz w:val="21"/>
                <w:szCs w:val="21"/>
              </w:rPr>
              <w:t>建筑用砂石（万立方米）</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30</w:t>
            </w:r>
          </w:p>
        </w:tc>
        <w:tc>
          <w:tcPr>
            <w:tcW w:w="621" w:type="pct"/>
            <w:noWrap/>
            <w:vAlign w:val="center"/>
          </w:tcPr>
          <w:p>
            <w:pPr>
              <w:widowControl/>
              <w:jc w:val="center"/>
              <w:rPr>
                <w:rFonts w:ascii="Times New Roman"/>
                <w:color w:val="000000"/>
                <w:sz w:val="21"/>
                <w:szCs w:val="21"/>
              </w:rPr>
            </w:pPr>
            <w:r>
              <w:rPr>
                <w:rFonts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39" w:type="pct"/>
            <w:noWrap/>
            <w:vAlign w:val="center"/>
          </w:tcPr>
          <w:p>
            <w:pPr>
              <w:widowControl/>
              <w:jc w:val="center"/>
              <w:rPr>
                <w:rFonts w:ascii="Times New Roman"/>
                <w:color w:val="000000"/>
                <w:sz w:val="21"/>
                <w:szCs w:val="21"/>
              </w:rPr>
            </w:pPr>
            <w:r>
              <w:rPr>
                <w:rFonts w:ascii="Times New Roman"/>
                <w:color w:val="000000"/>
                <w:sz w:val="21"/>
                <w:szCs w:val="21"/>
              </w:rPr>
              <w:t>矿业优质高效发展与绿色矿业</w:t>
            </w:r>
          </w:p>
        </w:tc>
        <w:tc>
          <w:tcPr>
            <w:tcW w:w="2491" w:type="pct"/>
            <w:gridSpan w:val="2"/>
            <w:noWrap/>
            <w:vAlign w:val="center"/>
          </w:tcPr>
          <w:p>
            <w:pPr>
              <w:widowControl/>
              <w:jc w:val="center"/>
              <w:rPr>
                <w:rFonts w:ascii="Times New Roman"/>
                <w:color w:val="000000"/>
                <w:sz w:val="21"/>
                <w:szCs w:val="21"/>
              </w:rPr>
            </w:pPr>
            <w:r>
              <w:rPr>
                <w:rFonts w:ascii="Times New Roman"/>
                <w:color w:val="000000"/>
                <w:sz w:val="21"/>
                <w:szCs w:val="21"/>
              </w:rPr>
              <w:t>大中型矿山比例（%）</w:t>
            </w:r>
          </w:p>
        </w:tc>
        <w:tc>
          <w:tcPr>
            <w:tcW w:w="849" w:type="pct"/>
            <w:noWrap/>
            <w:vAlign w:val="center"/>
          </w:tcPr>
          <w:p>
            <w:pPr>
              <w:widowControl/>
              <w:jc w:val="center"/>
              <w:rPr>
                <w:rFonts w:ascii="Times New Roman"/>
                <w:color w:val="000000"/>
                <w:sz w:val="21"/>
                <w:szCs w:val="21"/>
              </w:rPr>
            </w:pPr>
            <w:r>
              <w:rPr>
                <w:rFonts w:ascii="Times New Roman"/>
                <w:color w:val="000000"/>
                <w:sz w:val="21"/>
                <w:szCs w:val="21"/>
              </w:rPr>
              <w:t>≥</w:t>
            </w:r>
            <w:r>
              <w:rPr>
                <w:rFonts w:hint="eastAsia" w:ascii="Times New Roman"/>
                <w:color w:val="000000"/>
                <w:sz w:val="21"/>
                <w:szCs w:val="21"/>
              </w:rPr>
              <w:t>45</w:t>
            </w:r>
            <w:r>
              <w:rPr>
                <w:rFonts w:ascii="Times New Roman"/>
                <w:color w:val="000000"/>
                <w:sz w:val="21"/>
                <w:szCs w:val="21"/>
              </w:rPr>
              <w:t>%</w:t>
            </w:r>
          </w:p>
        </w:tc>
        <w:tc>
          <w:tcPr>
            <w:tcW w:w="621" w:type="pct"/>
            <w:noWrap/>
            <w:vAlign w:val="center"/>
          </w:tcPr>
          <w:p>
            <w:pPr>
              <w:widowControl/>
              <w:jc w:val="center"/>
              <w:rPr>
                <w:rFonts w:ascii="Times New Roman"/>
                <w:color w:val="000000"/>
                <w:sz w:val="21"/>
                <w:szCs w:val="21"/>
              </w:rPr>
            </w:pPr>
            <w:r>
              <w:rPr>
                <w:rFonts w:ascii="Times New Roman"/>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39" w:type="pct"/>
            <w:noWrap/>
            <w:vAlign w:val="center"/>
          </w:tcPr>
          <w:p>
            <w:pPr>
              <w:widowControl/>
              <w:jc w:val="center"/>
              <w:rPr>
                <w:rFonts w:ascii="Times New Roman"/>
                <w:color w:val="000000"/>
                <w:sz w:val="21"/>
                <w:szCs w:val="21"/>
              </w:rPr>
            </w:pPr>
            <w:r>
              <w:rPr>
                <w:rFonts w:ascii="仿宋" w:hAnsi="仿宋"/>
                <w:color w:val="000000"/>
                <w:sz w:val="21"/>
                <w:szCs w:val="21"/>
              </w:rPr>
              <w:t>矿区生态保护修复</w:t>
            </w:r>
          </w:p>
        </w:tc>
        <w:tc>
          <w:tcPr>
            <w:tcW w:w="2491" w:type="pct"/>
            <w:gridSpan w:val="2"/>
            <w:noWrap/>
            <w:vAlign w:val="center"/>
          </w:tcPr>
          <w:p>
            <w:pPr>
              <w:widowControl/>
              <w:spacing w:line="340" w:lineRule="exact"/>
              <w:jc w:val="center"/>
              <w:rPr>
                <w:rFonts w:ascii="仿宋" w:hAnsi="仿宋"/>
                <w:color w:val="000000"/>
                <w:sz w:val="21"/>
                <w:szCs w:val="21"/>
              </w:rPr>
            </w:pPr>
            <w:r>
              <w:rPr>
                <w:rFonts w:ascii="仿宋" w:hAnsi="仿宋"/>
                <w:color w:val="000000"/>
                <w:sz w:val="21"/>
                <w:szCs w:val="21"/>
              </w:rPr>
              <w:t>历史遗留矿山地质环境治理恢复</w:t>
            </w:r>
          </w:p>
          <w:p>
            <w:pPr>
              <w:widowControl/>
              <w:jc w:val="center"/>
              <w:rPr>
                <w:rFonts w:ascii="Times New Roman"/>
                <w:color w:val="000000"/>
                <w:sz w:val="21"/>
                <w:szCs w:val="21"/>
              </w:rPr>
            </w:pPr>
            <w:r>
              <w:rPr>
                <w:rFonts w:ascii="仿宋" w:hAnsi="仿宋"/>
                <w:color w:val="000000"/>
                <w:sz w:val="21"/>
                <w:szCs w:val="21"/>
              </w:rPr>
              <w:t>（平方千米）</w:t>
            </w:r>
          </w:p>
        </w:tc>
        <w:tc>
          <w:tcPr>
            <w:tcW w:w="849" w:type="pct"/>
            <w:noWrap/>
            <w:vAlign w:val="center"/>
          </w:tcPr>
          <w:p>
            <w:pPr>
              <w:widowControl/>
              <w:jc w:val="center"/>
              <w:rPr>
                <w:rFonts w:ascii="Times New Roman"/>
                <w:color w:val="000000"/>
                <w:sz w:val="21"/>
                <w:szCs w:val="21"/>
              </w:rPr>
            </w:pPr>
            <w:r>
              <w:rPr>
                <w:rFonts w:hint="eastAsia" w:ascii="Times New Roman"/>
                <w:color w:val="000000"/>
                <w:sz w:val="21"/>
                <w:szCs w:val="21"/>
              </w:rPr>
              <w:t>3.79</w:t>
            </w:r>
            <w:r>
              <w:rPr>
                <w:rFonts w:ascii="Times New Roman"/>
                <w:color w:val="000000"/>
                <w:sz w:val="21"/>
                <w:szCs w:val="21"/>
              </w:rPr>
              <w:t>km</w:t>
            </w:r>
            <w:r>
              <w:rPr>
                <w:rFonts w:ascii="Times New Roman"/>
                <w:color w:val="000000"/>
                <w:sz w:val="21"/>
                <w:szCs w:val="21"/>
                <w:vertAlign w:val="superscript"/>
              </w:rPr>
              <w:t>2</w:t>
            </w:r>
          </w:p>
        </w:tc>
        <w:tc>
          <w:tcPr>
            <w:tcW w:w="621" w:type="pct"/>
            <w:noWrap/>
            <w:vAlign w:val="center"/>
          </w:tcPr>
          <w:p>
            <w:pPr>
              <w:widowControl/>
              <w:jc w:val="center"/>
              <w:rPr>
                <w:rFonts w:ascii="Times New Roman"/>
                <w:color w:val="000000"/>
                <w:sz w:val="21"/>
                <w:szCs w:val="21"/>
              </w:rPr>
            </w:pPr>
            <w:r>
              <w:rPr>
                <w:rFonts w:ascii="仿宋" w:hAnsi="仿宋"/>
                <w:color w:val="000000"/>
                <w:sz w:val="21"/>
                <w:szCs w:val="21"/>
              </w:rPr>
              <w:t>预期性</w:t>
            </w:r>
          </w:p>
        </w:tc>
      </w:tr>
    </w:tbl>
    <w:p>
      <w:pPr>
        <w:rPr>
          <w:rFonts w:ascii="Times New Roman"/>
        </w:rPr>
      </w:pPr>
    </w:p>
    <w:p>
      <w:pPr>
        <w:pStyle w:val="2"/>
        <w:spacing w:beforeLines="0" w:afterLines="0" w:line="560" w:lineRule="exact"/>
        <w:jc w:val="both"/>
        <w:rPr>
          <w:rFonts w:ascii="黑体" w:hAnsi="黑体" w:eastAsia="黑体"/>
          <w:b w:val="0"/>
          <w:sz w:val="36"/>
          <w:szCs w:val="36"/>
        </w:rPr>
      </w:pPr>
      <w:bookmarkStart w:id="24" w:name="_Toc109827046"/>
      <w:r>
        <w:rPr>
          <w:rFonts w:hint="eastAsia" w:ascii="黑体" w:hAnsi="黑体" w:eastAsia="黑体"/>
          <w:b w:val="0"/>
          <w:sz w:val="36"/>
          <w:szCs w:val="36"/>
        </w:rPr>
        <w:t>三、</w:t>
      </w:r>
      <w:r>
        <w:rPr>
          <w:rFonts w:ascii="黑体" w:hAnsi="黑体" w:eastAsia="黑体"/>
          <w:b w:val="0"/>
          <w:sz w:val="36"/>
          <w:szCs w:val="36"/>
        </w:rPr>
        <w:t>矿产勘查开发与保护布局</w:t>
      </w:r>
      <w:bookmarkEnd w:id="24"/>
    </w:p>
    <w:p>
      <w:pPr>
        <w:pStyle w:val="3"/>
        <w:spacing w:beforeLines="0" w:afterLines="0"/>
        <w:jc w:val="left"/>
        <w:rPr>
          <w:rFonts w:ascii="楷体" w:hAnsi="楷体" w:eastAsia="楷体"/>
          <w:sz w:val="32"/>
          <w:szCs w:val="32"/>
        </w:rPr>
      </w:pPr>
      <w:bookmarkStart w:id="25" w:name="_Toc109827047"/>
      <w:r>
        <w:rPr>
          <w:rFonts w:hint="eastAsia" w:ascii="楷体" w:hAnsi="楷体" w:eastAsia="楷体"/>
          <w:sz w:val="32"/>
          <w:szCs w:val="32"/>
        </w:rPr>
        <w:t>（</w:t>
      </w:r>
      <w:r>
        <w:rPr>
          <w:rFonts w:ascii="楷体" w:hAnsi="楷体" w:eastAsia="楷体"/>
          <w:sz w:val="32"/>
          <w:szCs w:val="32"/>
        </w:rPr>
        <w:t>一</w:t>
      </w:r>
      <w:r>
        <w:rPr>
          <w:rFonts w:hint="eastAsia" w:ascii="楷体" w:hAnsi="楷体" w:eastAsia="楷体"/>
          <w:sz w:val="32"/>
          <w:szCs w:val="32"/>
        </w:rPr>
        <w:t>）</w:t>
      </w:r>
      <w:r>
        <w:rPr>
          <w:rFonts w:ascii="楷体" w:hAnsi="楷体" w:eastAsia="楷体"/>
          <w:sz w:val="32"/>
          <w:szCs w:val="32"/>
        </w:rPr>
        <w:t>矿产资源勘查开采调控方向</w:t>
      </w:r>
      <w:bookmarkEnd w:id="25"/>
    </w:p>
    <w:p>
      <w:pPr>
        <w:ind w:firstLine="656" w:firstLineChars="200"/>
        <w:rPr>
          <w:rFonts w:ascii="Times New Roman"/>
          <w:sz w:val="32"/>
          <w:szCs w:val="32"/>
        </w:rPr>
      </w:pPr>
      <w:r>
        <w:rPr>
          <w:rFonts w:ascii="Times New Roman"/>
          <w:sz w:val="32"/>
          <w:szCs w:val="32"/>
        </w:rPr>
        <w:t>落实国家、自治区能源资源安全战略，结合</w:t>
      </w:r>
      <w:r>
        <w:rPr>
          <w:rFonts w:hint="eastAsia" w:ascii="Times New Roman"/>
          <w:sz w:val="32"/>
          <w:szCs w:val="32"/>
        </w:rPr>
        <w:t>伊宁市</w:t>
      </w:r>
      <w:r>
        <w:rPr>
          <w:rFonts w:ascii="Times New Roman"/>
          <w:sz w:val="32"/>
          <w:szCs w:val="32"/>
        </w:rPr>
        <w:t>实际，合理确定</w:t>
      </w:r>
      <w:r>
        <w:rPr>
          <w:rFonts w:hint="eastAsia" w:ascii="Times New Roman"/>
          <w:sz w:val="32"/>
          <w:szCs w:val="32"/>
        </w:rPr>
        <w:t>区域内</w:t>
      </w:r>
      <w:r>
        <w:rPr>
          <w:rFonts w:ascii="Times New Roman"/>
          <w:sz w:val="32"/>
          <w:szCs w:val="32"/>
        </w:rPr>
        <w:t>重点、限制、禁止勘查开发矿种。</w:t>
      </w:r>
      <w:r>
        <w:rPr>
          <w:rFonts w:hint="eastAsia" w:ascii="Times New Roman"/>
          <w:sz w:val="32"/>
          <w:szCs w:val="32"/>
        </w:rPr>
        <w:t>（专栏5）</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992" w:type="dxa"/>
            <w:shd w:val="clear" w:color="auto" w:fill="E7E6E6" w:themeFill="background2"/>
          </w:tcPr>
          <w:p>
            <w:pPr>
              <w:jc w:val="left"/>
              <w:rPr>
                <w:rFonts w:ascii="Times New Roman"/>
                <w:b/>
                <w:bCs/>
                <w:sz w:val="24"/>
              </w:rPr>
            </w:pPr>
            <w:r>
              <w:rPr>
                <w:rFonts w:ascii="Times New Roman"/>
                <w:b/>
                <w:bCs/>
                <w:sz w:val="24"/>
              </w:rPr>
              <w:t>专栏</w:t>
            </w:r>
            <w:r>
              <w:rPr>
                <w:rFonts w:hint="eastAsia" w:ascii="Times New Roman"/>
                <w:b/>
                <w:bCs/>
                <w:sz w:val="24"/>
              </w:rPr>
              <w:t xml:space="preserve">5                                 </w:t>
            </w:r>
            <w:r>
              <w:rPr>
                <w:rFonts w:ascii="Times New Roman"/>
                <w:b/>
                <w:bCs/>
                <w:sz w:val="24"/>
              </w:rPr>
              <w:t>重点、限制、禁止勘查开发矿种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8992" w:type="dxa"/>
          </w:tcPr>
          <w:p>
            <w:pPr>
              <w:jc w:val="left"/>
              <w:rPr>
                <w:rFonts w:ascii="Times New Roman"/>
                <w:sz w:val="21"/>
                <w:szCs w:val="21"/>
              </w:rPr>
            </w:pPr>
            <w:r>
              <w:rPr>
                <w:rFonts w:hint="eastAsia" w:ascii="Times New Roman"/>
                <w:b/>
                <w:bCs/>
                <w:sz w:val="21"/>
                <w:szCs w:val="21"/>
              </w:rPr>
              <w:t>重点勘查开采的矿种：</w:t>
            </w:r>
            <w:r>
              <w:rPr>
                <w:rFonts w:hint="eastAsia" w:ascii="Times New Roman"/>
                <w:sz w:val="21"/>
                <w:szCs w:val="21"/>
              </w:rPr>
              <w:t>煤、天然气、页岩气、地热等能源矿产，耐火粘土、页岩、石英砂岩等非金属矿产；</w:t>
            </w:r>
          </w:p>
          <w:p>
            <w:pPr>
              <w:jc w:val="left"/>
              <w:rPr>
                <w:rFonts w:ascii="Times New Roman"/>
                <w:sz w:val="21"/>
                <w:szCs w:val="21"/>
              </w:rPr>
            </w:pPr>
            <w:r>
              <w:rPr>
                <w:rFonts w:hint="eastAsia" w:ascii="Times New Roman"/>
                <w:b/>
                <w:bCs/>
                <w:sz w:val="21"/>
                <w:szCs w:val="21"/>
              </w:rPr>
              <w:t>限制勘查矿种</w:t>
            </w:r>
            <w:r>
              <w:rPr>
                <w:rFonts w:hint="eastAsia" w:ascii="Times New Roman"/>
                <w:sz w:val="21"/>
                <w:szCs w:val="21"/>
              </w:rPr>
              <w:t>：石棉、砂金等矿产；</w:t>
            </w:r>
          </w:p>
          <w:p>
            <w:pPr>
              <w:jc w:val="left"/>
              <w:rPr>
                <w:rFonts w:ascii="Times New Roman"/>
                <w:sz w:val="21"/>
                <w:szCs w:val="21"/>
              </w:rPr>
            </w:pPr>
            <w:r>
              <w:rPr>
                <w:rFonts w:hint="eastAsia" w:ascii="Times New Roman"/>
                <w:b/>
                <w:bCs/>
                <w:sz w:val="21"/>
                <w:szCs w:val="21"/>
              </w:rPr>
              <w:t>限制开采矿种</w:t>
            </w:r>
            <w:r>
              <w:rPr>
                <w:rFonts w:hint="eastAsia" w:ascii="Times New Roman"/>
                <w:sz w:val="21"/>
                <w:szCs w:val="21"/>
              </w:rPr>
              <w:t>：石棉、砂金、可耕地砖瓦用粘土等矿产；</w:t>
            </w:r>
          </w:p>
          <w:p>
            <w:pPr>
              <w:jc w:val="left"/>
              <w:rPr>
                <w:rFonts w:ascii="Times New Roman"/>
                <w:b/>
                <w:bCs/>
                <w:szCs w:val="28"/>
              </w:rPr>
            </w:pPr>
            <w:r>
              <w:rPr>
                <w:rFonts w:hint="eastAsia" w:ascii="Times New Roman"/>
                <w:b/>
                <w:bCs/>
                <w:sz w:val="21"/>
                <w:szCs w:val="21"/>
              </w:rPr>
              <w:t>禁止勘查开采矿种</w:t>
            </w:r>
            <w:r>
              <w:rPr>
                <w:rFonts w:hint="eastAsia" w:ascii="Times New Roman"/>
                <w:sz w:val="21"/>
                <w:szCs w:val="21"/>
              </w:rPr>
              <w:t>：灰分大于40%或含硫大于3%的煤、砂金以及砂铁等矿产。</w:t>
            </w:r>
          </w:p>
        </w:tc>
      </w:tr>
    </w:tbl>
    <w:p>
      <w:pPr>
        <w:spacing w:before="381" w:beforeLines="100"/>
        <w:ind w:firstLine="656" w:firstLineChars="200"/>
        <w:rPr>
          <w:rFonts w:ascii="Times New Roman"/>
          <w:sz w:val="32"/>
          <w:szCs w:val="32"/>
        </w:rPr>
      </w:pPr>
      <w:r>
        <w:rPr>
          <w:rFonts w:hint="eastAsia" w:ascii="Times New Roman"/>
          <w:sz w:val="32"/>
          <w:szCs w:val="32"/>
        </w:rPr>
        <w:t>限制开采供过于求和造成环境污染的矿产。对于区内煤、地热、页岩气等能源矿产需要加大调查评价和勘查力度，积极提升资源供给能力。对于服务民生的非金属矿产以及水气矿产，根据地区经济发展需要，推进调查评价和勘查开发的开展，助力乡村振兴、文化旅游产业发展。</w:t>
      </w:r>
    </w:p>
    <w:p>
      <w:pPr>
        <w:ind w:firstLine="656" w:firstLineChars="200"/>
        <w:rPr>
          <w:rFonts w:ascii="Times New Roman"/>
        </w:rPr>
      </w:pPr>
      <w:r>
        <w:rPr>
          <w:rFonts w:hint="eastAsia" w:ascii="Times New Roman"/>
          <w:sz w:val="32"/>
          <w:szCs w:val="32"/>
        </w:rPr>
        <w:t>对于资源储量规模丰富、供给能力过剩的矿产，要大力推进上下游产业联合、重组，发展深加工项目，消化过剩产能。</w:t>
      </w:r>
    </w:p>
    <w:p>
      <w:pPr>
        <w:pStyle w:val="3"/>
        <w:spacing w:beforeLines="0" w:afterLines="0"/>
        <w:jc w:val="left"/>
        <w:rPr>
          <w:rFonts w:ascii="楷体" w:hAnsi="楷体" w:eastAsia="楷体"/>
          <w:sz w:val="32"/>
          <w:szCs w:val="32"/>
        </w:rPr>
      </w:pPr>
      <w:bookmarkStart w:id="26" w:name="_Toc109827048"/>
      <w:r>
        <w:rPr>
          <w:rFonts w:hint="eastAsia" w:ascii="楷体" w:hAnsi="楷体" w:eastAsia="楷体"/>
          <w:sz w:val="32"/>
          <w:szCs w:val="32"/>
        </w:rPr>
        <w:t>（二）</w:t>
      </w:r>
      <w:r>
        <w:rPr>
          <w:rFonts w:ascii="楷体" w:hAnsi="楷体" w:eastAsia="楷体"/>
          <w:sz w:val="32"/>
          <w:szCs w:val="32"/>
        </w:rPr>
        <w:t>矿产资源产业重点发展区域</w:t>
      </w:r>
      <w:bookmarkEnd w:id="26"/>
    </w:p>
    <w:p>
      <w:pPr>
        <w:ind w:firstLine="659" w:firstLineChars="200"/>
        <w:rPr>
          <w:rFonts w:ascii="Times New Roman"/>
          <w:sz w:val="32"/>
          <w:szCs w:val="32"/>
        </w:rPr>
      </w:pPr>
      <w:r>
        <w:rPr>
          <w:rFonts w:ascii="Times New Roman"/>
          <w:b/>
          <w:bCs/>
          <w:sz w:val="32"/>
          <w:szCs w:val="32"/>
        </w:rPr>
        <w:t>矿产资源开发及相关产业发展重点区域</w:t>
      </w:r>
    </w:p>
    <w:p>
      <w:pPr>
        <w:ind w:firstLine="656" w:firstLineChars="200"/>
        <w:rPr>
          <w:rFonts w:ascii="Times New Roman"/>
          <w:sz w:val="32"/>
          <w:szCs w:val="32"/>
        </w:rPr>
      </w:pPr>
      <w:r>
        <w:rPr>
          <w:rFonts w:hint="eastAsia" w:ascii="Times New Roman"/>
          <w:sz w:val="32"/>
          <w:szCs w:val="32"/>
        </w:rPr>
        <w:t>重点落实国家和自治区优化开发主体功能区域政策及国家产业政策，促进资源整合，优化布局，节约、集约利用资源，提高资源供给力。</w:t>
      </w:r>
    </w:p>
    <w:p>
      <w:pPr>
        <w:ind w:firstLine="656" w:firstLineChars="200"/>
        <w:rPr>
          <w:rFonts w:ascii="Times New Roman"/>
          <w:sz w:val="32"/>
          <w:szCs w:val="32"/>
        </w:rPr>
      </w:pPr>
      <w:r>
        <w:rPr>
          <w:rFonts w:hint="eastAsia" w:ascii="Times New Roman"/>
          <w:sz w:val="32"/>
          <w:szCs w:val="32"/>
        </w:rPr>
        <w:t>根据伊宁市矿产资源分布情况以及下游产业链分布情况，规划铁厂沟侧沟砂石粘土重点发展区域，在兼顾生态环境的同时，依托该区丰富的三类矿产资源，进行集中开采，节约、集约利用资源，提高资源供给力。（专栏6）</w:t>
      </w:r>
    </w:p>
    <w:tbl>
      <w:tblPr>
        <w:tblStyle w:val="3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shd w:val="clear" w:color="auto" w:fill="E7E6E6" w:themeFill="background2"/>
          </w:tcPr>
          <w:p>
            <w:pPr>
              <w:spacing w:line="240" w:lineRule="auto"/>
              <w:rPr>
                <w:rFonts w:ascii="Times New Roman"/>
                <w:b/>
                <w:bCs/>
                <w:sz w:val="24"/>
                <w:highlight w:val="yellow"/>
              </w:rPr>
            </w:pPr>
            <w:r>
              <w:rPr>
                <w:rFonts w:ascii="Times New Roman"/>
                <w:b/>
                <w:bCs/>
                <w:sz w:val="24"/>
              </w:rPr>
              <w:t>专栏</w:t>
            </w:r>
            <w:r>
              <w:rPr>
                <w:rFonts w:hint="eastAsia" w:ascii="Times New Roman"/>
                <w:b/>
                <w:bCs/>
                <w:sz w:val="24"/>
              </w:rPr>
              <w:t>6</w:t>
            </w:r>
            <w:r>
              <w:rPr>
                <w:rFonts w:ascii="Times New Roman"/>
                <w:b/>
                <w:bCs/>
                <w:sz w:val="24"/>
              </w:rPr>
              <w:t xml:space="preserve">                                               重点区域发展方向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tcPr>
          <w:p>
            <w:pPr>
              <w:ind w:firstLine="442" w:firstLineChars="202"/>
              <w:rPr>
                <w:rFonts w:ascii="Times New Roman"/>
                <w:b/>
                <w:bCs/>
                <w:sz w:val="21"/>
                <w:szCs w:val="21"/>
              </w:rPr>
            </w:pPr>
            <w:r>
              <w:rPr>
                <w:rFonts w:ascii="Times New Roman"/>
                <w:b/>
                <w:bCs/>
                <w:sz w:val="21"/>
                <w:szCs w:val="21"/>
              </w:rPr>
              <w:t>1.</w:t>
            </w:r>
            <w:r>
              <w:rPr>
                <w:rFonts w:hint="eastAsia" w:ascii="Times New Roman"/>
                <w:b/>
                <w:bCs/>
                <w:sz w:val="21"/>
                <w:szCs w:val="21"/>
              </w:rPr>
              <w:t>伊宁市北山坡煤、地热等能源矿产重点发展区域</w:t>
            </w:r>
          </w:p>
          <w:p>
            <w:pPr>
              <w:spacing w:line="300" w:lineRule="auto"/>
              <w:ind w:firstLine="436" w:firstLineChars="200"/>
              <w:rPr>
                <w:rFonts w:ascii="Times New Roman"/>
                <w:sz w:val="21"/>
                <w:szCs w:val="21"/>
              </w:rPr>
            </w:pPr>
            <w:r>
              <w:rPr>
                <w:rFonts w:ascii="Times New Roman"/>
                <w:sz w:val="21"/>
                <w:szCs w:val="21"/>
              </w:rPr>
              <w:t>发展方向：依托</w:t>
            </w:r>
            <w:r>
              <w:rPr>
                <w:rFonts w:hint="eastAsia" w:ascii="Times New Roman"/>
                <w:sz w:val="21"/>
                <w:szCs w:val="21"/>
              </w:rPr>
              <w:t>区内</w:t>
            </w:r>
            <w:r>
              <w:rPr>
                <w:rFonts w:ascii="Times New Roman"/>
                <w:sz w:val="21"/>
                <w:szCs w:val="21"/>
              </w:rPr>
              <w:t>丰富的煤炭</w:t>
            </w:r>
            <w:r>
              <w:rPr>
                <w:rFonts w:hint="eastAsia" w:ascii="Times New Roman"/>
                <w:sz w:val="21"/>
                <w:szCs w:val="21"/>
              </w:rPr>
              <w:t>矿产资源</w:t>
            </w:r>
            <w:r>
              <w:rPr>
                <w:rFonts w:ascii="Times New Roman"/>
                <w:sz w:val="21"/>
                <w:szCs w:val="21"/>
              </w:rPr>
              <w:t>，</w:t>
            </w:r>
            <w:r>
              <w:rPr>
                <w:rFonts w:hint="eastAsia" w:ascii="Times New Roman"/>
                <w:sz w:val="21"/>
                <w:szCs w:val="21"/>
              </w:rPr>
              <w:t>积极推进煤炭开采，科学部署开采时序，支持核准的大型煤矿企业落地，激发煤炭资源潜力，争取建设发展燃煤自备电厂，促进煤化工及下游产品精深加工，使煤炭资源优势向电力优势、供给优势转变；落实自治区规划在伊北煤矿区设置的开采规划区块，落实伊犁州规划重点开采区</w:t>
            </w:r>
            <w:r>
              <w:rPr>
                <w:rFonts w:ascii="Times New Roman"/>
                <w:sz w:val="21"/>
                <w:szCs w:val="21"/>
              </w:rPr>
              <w:t>，</w:t>
            </w:r>
            <w:r>
              <w:rPr>
                <w:rFonts w:hint="eastAsia" w:ascii="Times New Roman"/>
                <w:sz w:val="21"/>
                <w:szCs w:val="21"/>
              </w:rPr>
              <w:t>探索区内页岩气、地热等非常规能源的潜力。</w:t>
            </w:r>
          </w:p>
          <w:p>
            <w:pPr>
              <w:spacing w:line="300" w:lineRule="auto"/>
              <w:ind w:firstLine="436" w:firstLineChars="200"/>
              <w:rPr>
                <w:rFonts w:ascii="Times New Roman"/>
                <w:sz w:val="21"/>
                <w:szCs w:val="21"/>
              </w:rPr>
            </w:pPr>
            <w:r>
              <w:rPr>
                <w:rFonts w:ascii="Times New Roman"/>
                <w:sz w:val="21"/>
                <w:szCs w:val="21"/>
              </w:rPr>
              <w:t>勘查方向：开展</w:t>
            </w:r>
            <w:r>
              <w:rPr>
                <w:rFonts w:hint="eastAsia" w:ascii="Times New Roman"/>
                <w:sz w:val="21"/>
                <w:szCs w:val="21"/>
              </w:rPr>
              <w:t>该区内煤、地热、页岩气等能源勘查工作</w:t>
            </w:r>
            <w:r>
              <w:rPr>
                <w:rFonts w:ascii="Times New Roman"/>
                <w:sz w:val="21"/>
                <w:szCs w:val="21"/>
              </w:rPr>
              <w:t>。</w:t>
            </w:r>
          </w:p>
          <w:p>
            <w:pPr>
              <w:spacing w:line="300" w:lineRule="auto"/>
              <w:ind w:firstLine="436" w:firstLineChars="200"/>
              <w:rPr>
                <w:rFonts w:ascii="Times New Roman"/>
                <w:sz w:val="21"/>
                <w:szCs w:val="21"/>
              </w:rPr>
            </w:pPr>
            <w:r>
              <w:rPr>
                <w:rFonts w:ascii="Times New Roman"/>
                <w:sz w:val="21"/>
                <w:szCs w:val="21"/>
              </w:rPr>
              <w:t>开发方向：</w:t>
            </w:r>
            <w:r>
              <w:rPr>
                <w:rFonts w:hint="eastAsia" w:ascii="Times New Roman"/>
                <w:sz w:val="21"/>
                <w:szCs w:val="21"/>
              </w:rPr>
              <w:t>落实上级规划在该区的开采规划区块，积极配合实施“净矿”出让。加速推进核准煤矿企业落地，把资源优势转换为经济优势。</w:t>
            </w:r>
          </w:p>
          <w:p>
            <w:pPr>
              <w:spacing w:line="300" w:lineRule="auto"/>
              <w:ind w:firstLine="442" w:firstLineChars="202"/>
              <w:rPr>
                <w:rFonts w:ascii="Times New Roman"/>
                <w:b/>
                <w:bCs/>
                <w:sz w:val="21"/>
              </w:rPr>
            </w:pPr>
            <w:r>
              <w:rPr>
                <w:rFonts w:hint="eastAsia" w:ascii="Times New Roman"/>
                <w:b/>
                <w:bCs/>
                <w:sz w:val="21"/>
              </w:rPr>
              <w:t>2</w:t>
            </w:r>
            <w:r>
              <w:rPr>
                <w:rFonts w:ascii="Times New Roman"/>
                <w:b/>
                <w:bCs/>
                <w:sz w:val="21"/>
              </w:rPr>
              <w:t>.</w:t>
            </w:r>
            <w:r>
              <w:rPr>
                <w:rFonts w:hint="eastAsia" w:ascii="Times New Roman"/>
                <w:b/>
                <w:bCs/>
                <w:sz w:val="21"/>
              </w:rPr>
              <w:t>伊宁市巴彦岱镇铁厂沟砂石粘土等非金属建材重点发展区</w:t>
            </w:r>
          </w:p>
          <w:p>
            <w:pPr>
              <w:spacing w:line="300" w:lineRule="auto"/>
              <w:ind w:firstLine="436" w:firstLineChars="200"/>
              <w:rPr>
                <w:rFonts w:ascii="Times New Roman"/>
                <w:sz w:val="21"/>
                <w:szCs w:val="21"/>
              </w:rPr>
            </w:pPr>
            <w:r>
              <w:rPr>
                <w:rFonts w:hint="eastAsia" w:ascii="Times New Roman"/>
                <w:sz w:val="21"/>
                <w:szCs w:val="21"/>
              </w:rPr>
              <w:t>发展方向：立足伊宁市交通区位优势和砂石、水泥建材资源优势，充分发挥科技作用，加快产业优化升级，依托伊宁市工业园区，开发新型节能环保建材和绿色装饰材料，发展多功能复合一体化、轻质化、空心化的新型墙体材料，全面提升建材产业资源综合利用效率，生产中高档、多功能、新型建材产品，建设新型建材产业示范基地，积极推进相关生产线项目建设。</w:t>
            </w:r>
          </w:p>
          <w:p>
            <w:pPr>
              <w:spacing w:line="300" w:lineRule="auto"/>
              <w:ind w:firstLine="436" w:firstLineChars="200"/>
              <w:rPr>
                <w:rFonts w:ascii="Times New Roman"/>
                <w:sz w:val="21"/>
                <w:szCs w:val="21"/>
              </w:rPr>
            </w:pPr>
            <w:r>
              <w:rPr>
                <w:rFonts w:hint="eastAsia" w:ascii="Times New Roman"/>
                <w:sz w:val="21"/>
                <w:szCs w:val="21"/>
              </w:rPr>
              <w:t>勘查方向：积极推动区内石英砂岩、耐火粘土、页岩等二类矿产的勘查工作。</w:t>
            </w:r>
          </w:p>
          <w:p>
            <w:pPr>
              <w:spacing w:line="300" w:lineRule="auto"/>
              <w:ind w:firstLine="436" w:firstLineChars="200"/>
              <w:rPr>
                <w:rFonts w:ascii="Times New Roman"/>
                <w:sz w:val="21"/>
                <w:szCs w:val="21"/>
              </w:rPr>
            </w:pPr>
            <w:r>
              <w:rPr>
                <w:rFonts w:hint="eastAsia" w:ascii="Times New Roman"/>
                <w:sz w:val="21"/>
                <w:szCs w:val="21"/>
              </w:rPr>
              <w:t>开发方向：进行砂石粘土集中开采，根据矿山资源储量，服务年限，准入条件，引入大型企业进行大中型矿山建设，推行绿色矿山建设，监管矿山生态环境修复与保护。</w:t>
            </w:r>
          </w:p>
        </w:tc>
      </w:tr>
    </w:tbl>
    <w:p>
      <w:pPr>
        <w:ind w:firstLine="659" w:firstLineChars="200"/>
        <w:rPr>
          <w:rFonts w:ascii="Times New Roman"/>
          <w:b/>
          <w:bCs/>
          <w:sz w:val="32"/>
          <w:szCs w:val="32"/>
        </w:rPr>
      </w:pPr>
      <w:r>
        <w:rPr>
          <w:rFonts w:ascii="Times New Roman"/>
          <w:b/>
          <w:bCs/>
          <w:sz w:val="32"/>
          <w:szCs w:val="32"/>
        </w:rPr>
        <w:t>矿产资源产业结构调整和矿业转型升级</w:t>
      </w:r>
    </w:p>
    <w:p>
      <w:pPr>
        <w:ind w:firstLine="656" w:firstLineChars="200"/>
        <w:rPr>
          <w:rFonts w:ascii="Times New Roman"/>
          <w:sz w:val="32"/>
          <w:szCs w:val="32"/>
        </w:rPr>
      </w:pPr>
      <w:r>
        <w:rPr>
          <w:rFonts w:hint="eastAsia" w:ascii="Times New Roman"/>
          <w:sz w:val="32"/>
          <w:szCs w:val="32"/>
        </w:rPr>
        <w:t>对已取得采矿权但其开采规模与矿床储量规模明显不协调的矿山企业要加大整改力度。积极引导具备生产技术条件的合法小型矿山，通过联营、合作等形式，走集约化、规模化经营之路，逐步实现矿山总数相对减少，开发水平相对提高。对不符合生产条件、生产能力过小、破坏浪费资源、污染破坏环境的矿山依法关闭。</w:t>
      </w:r>
    </w:p>
    <w:p>
      <w:pPr>
        <w:ind w:firstLine="656" w:firstLineChars="200"/>
        <w:rPr>
          <w:rFonts w:ascii="Times New Roman"/>
          <w:sz w:val="32"/>
          <w:szCs w:val="32"/>
        </w:rPr>
      </w:pPr>
      <w:r>
        <w:rPr>
          <w:rFonts w:hint="eastAsia" w:ascii="Times New Roman"/>
          <w:sz w:val="32"/>
          <w:szCs w:val="32"/>
        </w:rPr>
        <w:t>坚持“适应消费结构变化和市场要求，提高产品</w:t>
      </w:r>
      <w:r>
        <w:rPr>
          <w:rFonts w:hint="eastAsia" w:ascii="Times New Roman"/>
          <w:sz w:val="32"/>
          <w:szCs w:val="32"/>
          <w:lang w:eastAsia="zh-CN"/>
        </w:rPr>
        <w:t>档次</w:t>
      </w:r>
      <w:r>
        <w:rPr>
          <w:rFonts w:hint="eastAsia" w:ascii="Times New Roman"/>
          <w:sz w:val="32"/>
          <w:szCs w:val="32"/>
        </w:rPr>
        <w:t>，发展精深加工，集约高效”的原则。积极引进和利用国内外先进技术、工艺和设备，提高矿产品精深加工和资源综合利用水平，减少出售原矿和初级产品的比重。</w:t>
      </w:r>
    </w:p>
    <w:p>
      <w:pPr>
        <w:ind w:firstLine="656" w:firstLineChars="200"/>
        <w:rPr>
          <w:rFonts w:ascii="Times New Roman"/>
          <w:sz w:val="32"/>
          <w:szCs w:val="32"/>
        </w:rPr>
      </w:pPr>
      <w:r>
        <w:rPr>
          <w:rFonts w:hint="eastAsia" w:ascii="Times New Roman"/>
          <w:sz w:val="32"/>
          <w:szCs w:val="32"/>
        </w:rPr>
        <w:t>非金属的开发鼓励现有普通粘土砖产品向空心砖产品转型。鼓励现有普通砖窑向节能隧道窑工艺转型</w:t>
      </w:r>
      <w:bookmarkStart w:id="81" w:name="_GoBack"/>
      <w:bookmarkEnd w:id="81"/>
      <w:r>
        <w:rPr>
          <w:rFonts w:hint="eastAsia" w:ascii="Times New Roman"/>
          <w:sz w:val="32"/>
          <w:szCs w:val="32"/>
        </w:rPr>
        <w:t>，鼓励新型节能建筑材料生产技术工艺的开发引进。限制现代河床采砂，鼓励机制砂行业发展。逐步发展适应市场需求的高强度、轻质、多功能新型建材，建设具有本地特色的非金属支柱产业和产品基地，变资源优势为经济优势。</w:t>
      </w:r>
    </w:p>
    <w:p>
      <w:pPr>
        <w:ind w:firstLine="656" w:firstLineChars="200"/>
        <w:rPr>
          <w:rFonts w:ascii="Times New Roman"/>
          <w:sz w:val="32"/>
          <w:szCs w:val="32"/>
        </w:rPr>
      </w:pPr>
      <w:r>
        <w:rPr>
          <w:rFonts w:ascii="Times New Roman"/>
          <w:sz w:val="32"/>
          <w:szCs w:val="32"/>
        </w:rPr>
        <w:t>加快推进绿色矿山建设是加快转变矿业发展方式的现实途径。充分发挥科技创新对绿色矿山建设的支撑作用，通过科技进步、劳动者素质提高和管理创新，减轻对生态环境的压力，积极运用新型适用技术改造传统生产流程，通过清洁生产实现资源节约、环境保护。</w:t>
      </w:r>
    </w:p>
    <w:p>
      <w:pPr>
        <w:ind w:firstLine="656" w:firstLineChars="200"/>
        <w:rPr>
          <w:rFonts w:ascii="Times New Roman"/>
          <w:sz w:val="32"/>
          <w:szCs w:val="32"/>
        </w:rPr>
      </w:pPr>
      <w:r>
        <w:rPr>
          <w:rFonts w:ascii="Times New Roman"/>
          <w:sz w:val="32"/>
          <w:szCs w:val="32"/>
        </w:rPr>
        <w:t>运用市场机制优化配置资源，进一步改善矿业投资环境，开放矿业权市场，依据矿产资源规划，运用市场机制优化配置矿产资源，调整和改善资源开发结构及布局，吸引区内外有实力的企业投资开发地区矿产资源，利用区内外资金、技术，不断提高地区矿产品的竞争力，同时通过市场配置资源，增强矿业权人对矿产资源的珍惜和保护意识，使矿产资源得到最大限度</w:t>
      </w:r>
      <w:r>
        <w:rPr>
          <w:rFonts w:hint="eastAsia" w:ascii="Times New Roman"/>
          <w:sz w:val="32"/>
          <w:szCs w:val="32"/>
        </w:rPr>
        <w:t>地</w:t>
      </w:r>
      <w:r>
        <w:rPr>
          <w:rFonts w:ascii="Times New Roman"/>
          <w:sz w:val="32"/>
          <w:szCs w:val="32"/>
        </w:rPr>
        <w:t>开发利用。</w:t>
      </w:r>
    </w:p>
    <w:p>
      <w:pPr>
        <w:pStyle w:val="3"/>
        <w:spacing w:beforeLines="0" w:afterLines="0"/>
        <w:jc w:val="left"/>
        <w:rPr>
          <w:rFonts w:ascii="楷体" w:hAnsi="楷体" w:eastAsia="楷体"/>
          <w:sz w:val="32"/>
          <w:szCs w:val="32"/>
        </w:rPr>
      </w:pPr>
      <w:bookmarkStart w:id="27" w:name="_Toc109827049"/>
      <w:bookmarkStart w:id="28" w:name="_Toc89241209"/>
      <w:bookmarkStart w:id="29" w:name="_Toc81992879"/>
      <w:bookmarkStart w:id="30" w:name="_Toc90501707"/>
      <w:bookmarkStart w:id="31" w:name="_Toc92570646"/>
      <w:r>
        <w:rPr>
          <w:rFonts w:hint="eastAsia" w:ascii="楷体" w:hAnsi="楷体" w:eastAsia="楷体"/>
          <w:sz w:val="32"/>
          <w:szCs w:val="32"/>
        </w:rPr>
        <w:t>（三）勘查开采与保护布局</w:t>
      </w:r>
      <w:bookmarkEnd w:id="27"/>
    </w:p>
    <w:p>
      <w:pPr>
        <w:ind w:firstLine="659" w:firstLineChars="200"/>
        <w:rPr>
          <w:rFonts w:ascii="Times New Roman"/>
          <w:sz w:val="32"/>
          <w:szCs w:val="32"/>
        </w:rPr>
      </w:pPr>
      <w:r>
        <w:rPr>
          <w:rFonts w:hint="eastAsia" w:ascii="Times New Roman"/>
          <w:b/>
          <w:sz w:val="32"/>
          <w:szCs w:val="32"/>
        </w:rPr>
        <w:t>优化调整原则。</w:t>
      </w:r>
      <w:r>
        <w:rPr>
          <w:rFonts w:hint="eastAsia" w:ascii="Times New Roman"/>
          <w:sz w:val="32"/>
          <w:szCs w:val="32"/>
        </w:rPr>
        <w:t>建立协调有序的生态空间划定工作机制，强化部门联动，上下结合，充分与主体功能区规划、生态功能区划及土地利用现状、城乡发展布局、矿产资源勘查开发利用布局等相衔接，与经济社会发展需求和当前监管能力相适应。以国家法律法规为准绳，严守三条控制线，严格落实国土空间管控，严控不合理开发建设活动对生态空间的破坏。</w:t>
      </w:r>
    </w:p>
    <w:p>
      <w:pPr>
        <w:ind w:firstLine="659" w:firstLineChars="200"/>
        <w:rPr>
          <w:rFonts w:ascii="仿宋" w:hAnsi="仿宋" w:cs="仿宋"/>
          <w:b/>
          <w:bCs/>
          <w:sz w:val="32"/>
          <w:szCs w:val="32"/>
        </w:rPr>
      </w:pPr>
      <w:r>
        <w:rPr>
          <w:rFonts w:hint="eastAsia" w:ascii="仿宋" w:hAnsi="仿宋" w:cs="仿宋"/>
          <w:b/>
          <w:bCs/>
          <w:sz w:val="32"/>
          <w:szCs w:val="32"/>
        </w:rPr>
        <w:t>国家规划矿区。</w:t>
      </w:r>
      <w:r>
        <w:rPr>
          <w:rFonts w:hint="eastAsia" w:ascii="Times New Roman"/>
          <w:sz w:val="32"/>
          <w:szCs w:val="32"/>
        </w:rPr>
        <w:t>落实国家资源安全战略部署，设置1处国家规划区作为重点监管区域，实行统一规划，优化布局，提高门槛，优化资源配置，推动优质资源的规模开发集约利用，确保资源稳定供给。（专栏7）</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Layout w:type="fixed"/>
        <w:tblCellMar>
          <w:top w:w="0" w:type="dxa"/>
          <w:left w:w="108" w:type="dxa"/>
          <w:bottom w:w="0" w:type="dxa"/>
          <w:right w:w="108" w:type="dxa"/>
        </w:tblCellMar>
      </w:tblPr>
      <w:tblGrid>
        <w:gridCol w:w="816"/>
        <w:gridCol w:w="2127"/>
        <w:gridCol w:w="1418"/>
        <w:gridCol w:w="1984"/>
        <w:gridCol w:w="1700"/>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CellMar>
            <w:top w:w="0" w:type="dxa"/>
            <w:left w:w="108" w:type="dxa"/>
            <w:bottom w:w="0" w:type="dxa"/>
            <w:right w:w="108" w:type="dxa"/>
          </w:tblCellMar>
        </w:tblPrEx>
        <w:trPr>
          <w:trHeight w:val="339" w:hRule="atLeast"/>
          <w:tblHeader/>
          <w:jc w:val="center"/>
        </w:trPr>
        <w:tc>
          <w:tcPr>
            <w:tcW w:w="5000" w:type="pct"/>
            <w:gridSpan w:val="6"/>
            <w:shd w:val="clear" w:color="auto" w:fill="E7E6E6" w:themeFill="background2"/>
            <w:noWrap/>
            <w:vAlign w:val="center"/>
          </w:tcPr>
          <w:p>
            <w:pPr>
              <w:widowControl/>
              <w:adjustRightInd/>
              <w:snapToGrid/>
              <w:rPr>
                <w:rFonts w:ascii="Times New Roman"/>
                <w:b/>
                <w:bCs/>
                <w:color w:val="000000"/>
                <w:sz w:val="24"/>
              </w:rPr>
            </w:pPr>
            <w:r>
              <w:rPr>
                <w:rFonts w:ascii="Times New Roman"/>
                <w:b/>
                <w:bCs/>
                <w:color w:val="000000"/>
                <w:sz w:val="24"/>
              </w:rPr>
              <w:t>专栏</w:t>
            </w:r>
            <w:r>
              <w:rPr>
                <w:rFonts w:hint="eastAsia" w:ascii="Times New Roman"/>
                <w:b/>
                <w:bCs/>
                <w:color w:val="000000"/>
                <w:sz w:val="24"/>
              </w:rPr>
              <w:t>7                                                  国家规划矿区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CellMar>
            <w:top w:w="0" w:type="dxa"/>
            <w:left w:w="108" w:type="dxa"/>
            <w:bottom w:w="0" w:type="dxa"/>
            <w:right w:w="108" w:type="dxa"/>
          </w:tblCellMar>
        </w:tblPrEx>
        <w:trPr>
          <w:trHeight w:val="147" w:hRule="atLeast"/>
          <w:tblHeader/>
          <w:jc w:val="center"/>
        </w:trPr>
        <w:tc>
          <w:tcPr>
            <w:tcW w:w="443" w:type="pct"/>
            <w:shd w:val="clear" w:color="auto" w:fill="FFFFFF"/>
            <w:noWrap/>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序号</w:t>
            </w:r>
          </w:p>
        </w:tc>
        <w:tc>
          <w:tcPr>
            <w:tcW w:w="1154" w:type="pct"/>
            <w:shd w:val="clear" w:color="auto" w:fill="FFFFFF"/>
            <w:noWrap/>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名称</w:t>
            </w:r>
          </w:p>
        </w:tc>
        <w:tc>
          <w:tcPr>
            <w:tcW w:w="769" w:type="pct"/>
            <w:shd w:val="clear" w:color="auto" w:fill="FFFFFF"/>
            <w:noWrap/>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行政范围</w:t>
            </w:r>
          </w:p>
        </w:tc>
        <w:tc>
          <w:tcPr>
            <w:tcW w:w="1076" w:type="pct"/>
            <w:shd w:val="clear" w:color="auto" w:fill="FFFFFF"/>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面积</w:t>
            </w:r>
          </w:p>
        </w:tc>
        <w:tc>
          <w:tcPr>
            <w:tcW w:w="922" w:type="pct"/>
            <w:shd w:val="clear" w:color="auto" w:fill="FFFFFF"/>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矿种</w:t>
            </w:r>
          </w:p>
        </w:tc>
        <w:tc>
          <w:tcPr>
            <w:tcW w:w="636" w:type="pct"/>
            <w:shd w:val="clear" w:color="auto" w:fill="FFFFFF"/>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CellMar>
            <w:top w:w="0" w:type="dxa"/>
            <w:left w:w="108" w:type="dxa"/>
            <w:bottom w:w="0" w:type="dxa"/>
            <w:right w:w="108" w:type="dxa"/>
          </w:tblCellMar>
        </w:tblPrEx>
        <w:trPr>
          <w:trHeight w:val="287" w:hRule="atLeast"/>
          <w:jc w:val="center"/>
        </w:trPr>
        <w:tc>
          <w:tcPr>
            <w:tcW w:w="443" w:type="pct"/>
            <w:shd w:val="clear" w:color="auto" w:fill="FFFFFF"/>
            <w:noWrap/>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1</w:t>
            </w:r>
          </w:p>
        </w:tc>
        <w:tc>
          <w:tcPr>
            <w:tcW w:w="1154" w:type="pct"/>
            <w:shd w:val="clear" w:color="auto" w:fill="FFFFFF"/>
            <w:noWrap/>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伊宁煤炭国家规划区（北区）</w:t>
            </w:r>
          </w:p>
        </w:tc>
        <w:tc>
          <w:tcPr>
            <w:tcW w:w="769"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伊宁市</w:t>
            </w:r>
          </w:p>
        </w:tc>
        <w:tc>
          <w:tcPr>
            <w:tcW w:w="107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552.45km</w:t>
            </w:r>
            <w:r>
              <w:rPr>
                <w:rFonts w:hint="eastAsia" w:ascii="Times New Roman"/>
                <w:snapToGrid/>
                <w:spacing w:val="0"/>
                <w:sz w:val="21"/>
                <w:szCs w:val="21"/>
                <w:vertAlign w:val="superscript"/>
              </w:rPr>
              <w:t>2</w:t>
            </w:r>
          </w:p>
        </w:tc>
        <w:tc>
          <w:tcPr>
            <w:tcW w:w="922"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煤炭</w:t>
            </w:r>
          </w:p>
        </w:tc>
        <w:tc>
          <w:tcPr>
            <w:tcW w:w="636" w:type="pct"/>
            <w:shd w:val="clear" w:color="auto" w:fill="FFFFFF"/>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辖区面积</w:t>
            </w:r>
            <w:r>
              <w:rPr>
                <w:rFonts w:hint="eastAsia" w:ascii="Times New Roman"/>
                <w:snapToGrid/>
                <w:spacing w:val="0"/>
                <w:sz w:val="21"/>
                <w:szCs w:val="21"/>
              </w:rPr>
              <w:t>84.05km</w:t>
            </w:r>
            <w:r>
              <w:rPr>
                <w:rFonts w:hint="eastAsia" w:ascii="Times New Roman"/>
                <w:snapToGrid/>
                <w:spacing w:val="0"/>
                <w:sz w:val="21"/>
                <w:szCs w:val="21"/>
                <w:vertAlign w:val="superscript"/>
              </w:rPr>
              <w:t>2</w:t>
            </w:r>
          </w:p>
        </w:tc>
      </w:tr>
    </w:tbl>
    <w:p>
      <w:pPr>
        <w:ind w:firstLine="659" w:firstLineChars="200"/>
        <w:rPr>
          <w:rFonts w:ascii="仿宋" w:hAnsi="仿宋" w:cs="仿宋"/>
          <w:bCs/>
          <w:sz w:val="32"/>
          <w:szCs w:val="32"/>
        </w:rPr>
      </w:pPr>
      <w:r>
        <w:rPr>
          <w:rFonts w:hint="eastAsia" w:ascii="仿宋" w:hAnsi="仿宋" w:cs="仿宋"/>
          <w:b/>
          <w:bCs/>
          <w:sz w:val="32"/>
          <w:szCs w:val="32"/>
        </w:rPr>
        <w:t>重点开采区。</w:t>
      </w:r>
      <w:r>
        <w:rPr>
          <w:rFonts w:ascii="Times New Roman"/>
          <w:sz w:val="32"/>
        </w:rPr>
        <w:t>在全面落实上级规划的基础上，部署</w:t>
      </w:r>
      <w:r>
        <w:rPr>
          <w:rFonts w:hint="eastAsia" w:ascii="Times New Roman"/>
          <w:sz w:val="32"/>
        </w:rPr>
        <w:t>1</w:t>
      </w:r>
      <w:r>
        <w:rPr>
          <w:rFonts w:ascii="Times New Roman"/>
          <w:sz w:val="32"/>
        </w:rPr>
        <w:t>个重点开采区。重点开采</w:t>
      </w:r>
      <w:r>
        <w:rPr>
          <w:rFonts w:hint="eastAsia" w:ascii="Times New Roman"/>
          <w:sz w:val="32"/>
        </w:rPr>
        <w:t>区</w:t>
      </w:r>
      <w:r>
        <w:rPr>
          <w:rFonts w:ascii="Times New Roman"/>
          <w:sz w:val="32"/>
        </w:rPr>
        <w:t>内新建矿山必须符合国家、自治区、</w:t>
      </w:r>
      <w:r>
        <w:rPr>
          <w:rFonts w:hint="eastAsia" w:ascii="Times New Roman"/>
          <w:sz w:val="32"/>
        </w:rPr>
        <w:t>伊犁州</w:t>
      </w:r>
      <w:r>
        <w:rPr>
          <w:rFonts w:ascii="Times New Roman"/>
          <w:sz w:val="32"/>
        </w:rPr>
        <w:t>产业政策和规划，达到国家、自治区有关矿山企业准入条件；矿山采矿规模不低于本规划确定的矿山最低开采规模，矿山占有矿石资源储量与矿山开采规模及矿山服务年限相匹配，具备与矿山开采规模相配套的人才、资金、技术和管理资质条件。统筹安排重点开采区内的矿产资源勘查开发活动，争取国家相关优惠政策，引导和支持各类生产要素聚集，</w:t>
      </w:r>
      <w:r>
        <w:rPr>
          <w:rFonts w:hint="eastAsia" w:ascii="Times New Roman"/>
          <w:sz w:val="32"/>
          <w:lang w:eastAsia="zh-CN"/>
        </w:rPr>
        <w:t>加大</w:t>
      </w:r>
      <w:r>
        <w:rPr>
          <w:rFonts w:ascii="Times New Roman"/>
          <w:sz w:val="32"/>
        </w:rPr>
        <w:t>矿产资源整合开发力度，优化布局和矿山企业结构，促进规模开采和集约利用。</w:t>
      </w:r>
      <w:r>
        <w:rPr>
          <w:rFonts w:hint="eastAsia" w:ascii="Times New Roman"/>
          <w:sz w:val="32"/>
          <w:szCs w:val="32"/>
        </w:rPr>
        <w:t>（专栏8）</w:t>
      </w:r>
    </w:p>
    <w:tbl>
      <w:tblPr>
        <w:tblStyle w:val="10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225"/>
        <w:gridCol w:w="2033"/>
        <w:gridCol w:w="1554"/>
        <w:gridCol w:w="1416"/>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Header/>
          <w:jc w:val="center"/>
        </w:trPr>
        <w:tc>
          <w:tcPr>
            <w:tcW w:w="5000" w:type="pct"/>
            <w:gridSpan w:val="6"/>
            <w:shd w:val="clear" w:color="auto" w:fill="E7E6E6" w:themeFill="background2"/>
            <w:vAlign w:val="center"/>
          </w:tcPr>
          <w:p>
            <w:pPr>
              <w:spacing w:before="38" w:beforeLines="10" w:after="38" w:afterLines="10" w:line="360" w:lineRule="exact"/>
              <w:rPr>
                <w:rFonts w:ascii="Times New Roman"/>
                <w:b/>
                <w:bCs/>
                <w:color w:val="000000" w:themeColor="text1"/>
                <w:sz w:val="24"/>
                <w14:textFill>
                  <w14:solidFill>
                    <w14:schemeClr w14:val="tx1"/>
                  </w14:solidFill>
                </w14:textFill>
              </w:rPr>
            </w:pPr>
            <w:r>
              <w:rPr>
                <w:rFonts w:ascii="Times New Roman"/>
                <w:b/>
                <w:bCs/>
                <w:color w:val="000000" w:themeColor="text1"/>
                <w:sz w:val="24"/>
                <w14:textFill>
                  <w14:solidFill>
                    <w14:schemeClr w14:val="tx1"/>
                  </w14:solidFill>
                </w14:textFill>
              </w:rPr>
              <w:t>专栏</w:t>
            </w:r>
            <w:r>
              <w:rPr>
                <w:rFonts w:hint="eastAsia" w:ascii="Times New Roman"/>
                <w:b/>
                <w:bCs/>
                <w:color w:val="000000" w:themeColor="text1"/>
                <w:sz w:val="24"/>
                <w14:textFill>
                  <w14:solidFill>
                    <w14:schemeClr w14:val="tx1"/>
                  </w14:solidFill>
                </w14:textFill>
              </w:rPr>
              <w:t>8</w:t>
            </w:r>
            <w:r>
              <w:rPr>
                <w:rFonts w:ascii="Times New Roman"/>
                <w:b/>
                <w:bCs/>
                <w:color w:val="000000" w:themeColor="text1"/>
                <w:sz w:val="24"/>
                <w14:textFill>
                  <w14:solidFill>
                    <w14:schemeClr w14:val="tx1"/>
                  </w14:solidFill>
                </w14:textFill>
              </w:rPr>
              <w:t xml:space="preserve">                                                重点开采区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Header/>
          <w:jc w:val="center"/>
        </w:trPr>
        <w:tc>
          <w:tcPr>
            <w:tcW w:w="443" w:type="pct"/>
            <w:vAlign w:val="center"/>
          </w:tcPr>
          <w:p>
            <w:pPr>
              <w:spacing w:before="38" w:beforeLines="10" w:after="38" w:afterLines="10" w:line="360" w:lineRule="exact"/>
              <w:jc w:val="center"/>
              <w:rPr>
                <w:rFonts w:ascii="Times New Roman"/>
                <w:b/>
                <w:color w:val="000000" w:themeColor="text1"/>
                <w:sz w:val="21"/>
                <w:szCs w:val="21"/>
                <w14:textFill>
                  <w14:solidFill>
                    <w14:schemeClr w14:val="tx1"/>
                  </w14:solidFill>
                </w14:textFill>
              </w:rPr>
            </w:pPr>
            <w:r>
              <w:rPr>
                <w:rFonts w:ascii="Times New Roman"/>
                <w:b/>
                <w:color w:val="000000" w:themeColor="text1"/>
                <w:sz w:val="21"/>
                <w:szCs w:val="21"/>
                <w14:textFill>
                  <w14:solidFill>
                    <w14:schemeClr w14:val="tx1"/>
                  </w14:solidFill>
                </w14:textFill>
              </w:rPr>
              <w:t>序号</w:t>
            </w:r>
          </w:p>
        </w:tc>
        <w:tc>
          <w:tcPr>
            <w:tcW w:w="1207" w:type="pct"/>
            <w:vAlign w:val="center"/>
          </w:tcPr>
          <w:p>
            <w:pPr>
              <w:spacing w:before="38" w:beforeLines="10" w:after="38" w:afterLines="10" w:line="360" w:lineRule="exact"/>
              <w:jc w:val="center"/>
              <w:rPr>
                <w:rFonts w:ascii="Times New Roman"/>
                <w:b/>
                <w:color w:val="000000" w:themeColor="text1"/>
                <w:sz w:val="21"/>
                <w:szCs w:val="21"/>
                <w14:textFill>
                  <w14:solidFill>
                    <w14:schemeClr w14:val="tx1"/>
                  </w14:solidFill>
                </w14:textFill>
              </w:rPr>
            </w:pPr>
            <w:r>
              <w:rPr>
                <w:rFonts w:ascii="Times New Roman"/>
                <w:b/>
                <w:color w:val="000000" w:themeColor="text1"/>
                <w:sz w:val="21"/>
                <w:szCs w:val="21"/>
                <w14:textFill>
                  <w14:solidFill>
                    <w14:schemeClr w14:val="tx1"/>
                  </w14:solidFill>
                </w14:textFill>
              </w:rPr>
              <w:t>名称</w:t>
            </w:r>
          </w:p>
        </w:tc>
        <w:tc>
          <w:tcPr>
            <w:tcW w:w="1103" w:type="pct"/>
            <w:vAlign w:val="center"/>
          </w:tcPr>
          <w:p>
            <w:pPr>
              <w:spacing w:before="38" w:beforeLines="10" w:after="38" w:afterLines="10" w:line="360" w:lineRule="exact"/>
              <w:jc w:val="center"/>
              <w:rPr>
                <w:rFonts w:ascii="Times New Roman"/>
                <w:b/>
                <w:color w:val="000000" w:themeColor="text1"/>
                <w:sz w:val="21"/>
                <w:szCs w:val="21"/>
                <w14:textFill>
                  <w14:solidFill>
                    <w14:schemeClr w14:val="tx1"/>
                  </w14:solidFill>
                </w14:textFill>
              </w:rPr>
            </w:pPr>
            <w:r>
              <w:rPr>
                <w:rFonts w:ascii="Times New Roman"/>
                <w:b/>
                <w:color w:val="000000" w:themeColor="text1"/>
                <w:sz w:val="21"/>
                <w:szCs w:val="21"/>
                <w14:textFill>
                  <w14:solidFill>
                    <w14:schemeClr w14:val="tx1"/>
                  </w14:solidFill>
                </w14:textFill>
              </w:rPr>
              <w:t>行政范围</w:t>
            </w:r>
          </w:p>
        </w:tc>
        <w:tc>
          <w:tcPr>
            <w:tcW w:w="843" w:type="pct"/>
            <w:vAlign w:val="center"/>
          </w:tcPr>
          <w:p>
            <w:pPr>
              <w:spacing w:before="38" w:beforeLines="10" w:after="38" w:afterLines="10" w:line="360" w:lineRule="exact"/>
              <w:jc w:val="center"/>
              <w:rPr>
                <w:rFonts w:ascii="Times New Roman"/>
                <w:b/>
                <w:color w:val="000000" w:themeColor="text1"/>
                <w:sz w:val="21"/>
                <w:szCs w:val="21"/>
                <w14:textFill>
                  <w14:solidFill>
                    <w14:schemeClr w14:val="tx1"/>
                  </w14:solidFill>
                </w14:textFill>
              </w:rPr>
            </w:pPr>
            <w:r>
              <w:rPr>
                <w:rFonts w:ascii="Times New Roman"/>
                <w:b/>
                <w:color w:val="000000" w:themeColor="text1"/>
                <w:sz w:val="21"/>
                <w:szCs w:val="21"/>
                <w14:textFill>
                  <w14:solidFill>
                    <w14:schemeClr w14:val="tx1"/>
                  </w14:solidFill>
                </w14:textFill>
              </w:rPr>
              <w:t>面积</w:t>
            </w:r>
          </w:p>
        </w:tc>
        <w:tc>
          <w:tcPr>
            <w:tcW w:w="768" w:type="pct"/>
            <w:vAlign w:val="center"/>
          </w:tcPr>
          <w:p>
            <w:pPr>
              <w:spacing w:before="38" w:beforeLines="10" w:after="38" w:afterLines="10" w:line="360" w:lineRule="exact"/>
              <w:jc w:val="center"/>
              <w:rPr>
                <w:rFonts w:ascii="Times New Roman"/>
                <w:b/>
                <w:color w:val="000000" w:themeColor="text1"/>
                <w:sz w:val="21"/>
                <w:szCs w:val="21"/>
                <w14:textFill>
                  <w14:solidFill>
                    <w14:schemeClr w14:val="tx1"/>
                  </w14:solidFill>
                </w14:textFill>
              </w:rPr>
            </w:pPr>
            <w:r>
              <w:rPr>
                <w:rFonts w:ascii="Times New Roman"/>
                <w:b/>
                <w:color w:val="000000" w:themeColor="text1"/>
                <w:sz w:val="21"/>
                <w:szCs w:val="21"/>
                <w14:textFill>
                  <w14:solidFill>
                    <w14:schemeClr w14:val="tx1"/>
                  </w14:solidFill>
                </w14:textFill>
              </w:rPr>
              <w:t>矿种</w:t>
            </w:r>
          </w:p>
        </w:tc>
        <w:tc>
          <w:tcPr>
            <w:tcW w:w="636" w:type="pct"/>
            <w:vAlign w:val="center"/>
          </w:tcPr>
          <w:p>
            <w:pPr>
              <w:spacing w:before="38" w:beforeLines="10" w:after="38" w:afterLines="10" w:line="360" w:lineRule="exact"/>
              <w:jc w:val="center"/>
              <w:rPr>
                <w:rFonts w:ascii="Times New Roman"/>
                <w:b/>
                <w:color w:val="000000" w:themeColor="text1"/>
                <w:sz w:val="21"/>
                <w:szCs w:val="21"/>
                <w14:textFill>
                  <w14:solidFill>
                    <w14:schemeClr w14:val="tx1"/>
                  </w14:solidFill>
                </w14:textFill>
              </w:rPr>
            </w:pPr>
            <w:r>
              <w:rPr>
                <w:rFonts w:ascii="Times New Roman"/>
                <w:b/>
                <w:color w:val="000000" w:themeColor="text1"/>
                <w:sz w:val="21"/>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443" w:type="pct"/>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w:t>
            </w:r>
          </w:p>
        </w:tc>
        <w:tc>
          <w:tcPr>
            <w:tcW w:w="1207" w:type="pct"/>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伊宁煤炭重点</w:t>
            </w:r>
          </w:p>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开采区</w:t>
            </w:r>
          </w:p>
        </w:tc>
        <w:tc>
          <w:tcPr>
            <w:tcW w:w="1103" w:type="pct"/>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伊宁市</w:t>
            </w:r>
          </w:p>
        </w:tc>
        <w:tc>
          <w:tcPr>
            <w:tcW w:w="843" w:type="pct"/>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552</w:t>
            </w:r>
            <w:r>
              <w:rPr>
                <w:rFonts w:ascii="Times New Roman"/>
                <w:color w:val="000000" w:themeColor="text1"/>
                <w:sz w:val="21"/>
                <w:szCs w:val="21"/>
                <w14:textFill>
                  <w14:solidFill>
                    <w14:schemeClr w14:val="tx1"/>
                  </w14:solidFill>
                </w14:textFill>
              </w:rPr>
              <w:t>.</w:t>
            </w:r>
            <w:r>
              <w:rPr>
                <w:rFonts w:hint="eastAsia" w:ascii="Times New Roman"/>
                <w:color w:val="000000" w:themeColor="text1"/>
                <w:sz w:val="21"/>
                <w:szCs w:val="21"/>
                <w14:textFill>
                  <w14:solidFill>
                    <w14:schemeClr w14:val="tx1"/>
                  </w14:solidFill>
                </w14:textFill>
              </w:rPr>
              <w:t>45</w:t>
            </w:r>
            <w:r>
              <w:rPr>
                <w:rFonts w:hint="eastAsia" w:ascii="Times New Roman"/>
                <w:snapToGrid/>
                <w:spacing w:val="0"/>
                <w:sz w:val="21"/>
                <w:szCs w:val="21"/>
              </w:rPr>
              <w:t>km</w:t>
            </w:r>
            <w:r>
              <w:rPr>
                <w:rFonts w:hint="eastAsia" w:ascii="Times New Roman"/>
                <w:snapToGrid/>
                <w:spacing w:val="0"/>
                <w:sz w:val="21"/>
                <w:szCs w:val="21"/>
                <w:vertAlign w:val="superscript"/>
              </w:rPr>
              <w:t>2</w:t>
            </w:r>
          </w:p>
        </w:tc>
        <w:tc>
          <w:tcPr>
            <w:tcW w:w="768" w:type="pct"/>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煤炭</w:t>
            </w:r>
          </w:p>
        </w:tc>
        <w:tc>
          <w:tcPr>
            <w:tcW w:w="636" w:type="pct"/>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ascii="Times New Roman"/>
                <w:snapToGrid/>
                <w:spacing w:val="0"/>
                <w:sz w:val="21"/>
                <w:szCs w:val="21"/>
              </w:rPr>
              <w:t>辖区面积</w:t>
            </w:r>
            <w:r>
              <w:rPr>
                <w:rFonts w:hint="eastAsia" w:ascii="Times New Roman"/>
                <w:snapToGrid/>
                <w:spacing w:val="0"/>
                <w:sz w:val="21"/>
                <w:szCs w:val="21"/>
              </w:rPr>
              <w:t>84.05km</w:t>
            </w:r>
            <w:r>
              <w:rPr>
                <w:rFonts w:hint="eastAsia" w:ascii="Times New Roman"/>
                <w:snapToGrid/>
                <w:spacing w:val="0"/>
                <w:sz w:val="21"/>
                <w:szCs w:val="21"/>
                <w:vertAlign w:val="superscript"/>
              </w:rPr>
              <w:t>2</w:t>
            </w:r>
          </w:p>
        </w:tc>
      </w:tr>
    </w:tbl>
    <w:p>
      <w:pPr>
        <w:ind w:firstLine="659" w:firstLineChars="200"/>
        <w:rPr>
          <w:rFonts w:ascii="Times New Roman"/>
          <w:sz w:val="32"/>
          <w:szCs w:val="32"/>
        </w:rPr>
      </w:pPr>
      <w:r>
        <w:rPr>
          <w:rFonts w:hint="eastAsia" w:ascii="仿宋" w:hAnsi="仿宋" w:cs="仿宋"/>
          <w:b/>
          <w:bCs/>
          <w:sz w:val="32"/>
          <w:szCs w:val="32"/>
        </w:rPr>
        <w:t>勘查规划区块。</w:t>
      </w:r>
      <w:r>
        <w:rPr>
          <w:rFonts w:hint="eastAsia" w:ascii="Times New Roman"/>
          <w:sz w:val="32"/>
          <w:szCs w:val="32"/>
        </w:rPr>
        <w:t>根据勘查开发总体布局、成矿地质条件、资源特点、矿业权设置现状、地形地貌和资源潜力评价成矿预测信息等已知勘查信息及因素，依据勘查区矿业权设置方案等相关资料，在符合探矿权设置的前提下，进行探矿权规划区块设置，落实自治区规划，在国家规划矿区（伊宁煤矿区北区）设置1个煤矿勘查区块。按上级规划的年度计划，有序投放，精准出让。（专栏9）</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544"/>
        <w:gridCol w:w="1418"/>
        <w:gridCol w:w="1559"/>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2" w:type="dxa"/>
            <w:gridSpan w:val="5"/>
            <w:shd w:val="clear" w:color="auto" w:fill="E7E6E6" w:themeFill="background2"/>
          </w:tcPr>
          <w:p>
            <w:pPr>
              <w:spacing w:before="38" w:beforeLines="10" w:after="38" w:afterLines="10" w:line="360" w:lineRule="exact"/>
              <w:rPr>
                <w:rFonts w:ascii="Times New Roman"/>
                <w:b/>
                <w:bCs/>
                <w:color w:val="000000" w:themeColor="text1"/>
                <w:sz w:val="24"/>
                <w14:textFill>
                  <w14:solidFill>
                    <w14:schemeClr w14:val="tx1"/>
                  </w14:solidFill>
                </w14:textFill>
              </w:rPr>
            </w:pPr>
            <w:r>
              <w:rPr>
                <w:rFonts w:hint="eastAsia" w:ascii="Times New Roman"/>
                <w:b/>
                <w:bCs/>
                <w:color w:val="000000" w:themeColor="text1"/>
                <w:sz w:val="24"/>
                <w14:textFill>
                  <w14:solidFill>
                    <w14:schemeClr w14:val="tx1"/>
                  </w14:solidFill>
                </w14:textFill>
              </w:rPr>
              <w:t>专栏9</w:t>
            </w:r>
            <w:r>
              <w:rPr>
                <w:rFonts w:ascii="Times New Roman"/>
                <w:b/>
                <w:bCs/>
                <w:color w:val="000000" w:themeColor="text1"/>
                <w:sz w:val="24"/>
                <w14:textFill>
                  <w14:solidFill>
                    <w14:schemeClr w14:val="tx1"/>
                  </w14:solidFill>
                </w14:textFill>
              </w:rPr>
              <w:t xml:space="preserve">                                    </w:t>
            </w:r>
            <w:r>
              <w:rPr>
                <w:rFonts w:hint="eastAsia" w:ascii="Times New Roman"/>
                <w:b/>
                <w:bCs/>
                <w:color w:val="000000" w:themeColor="text1"/>
                <w:sz w:val="24"/>
                <w14:textFill>
                  <w14:solidFill>
                    <w14:schemeClr w14:val="tx1"/>
                  </w14:solidFill>
                </w14:textFill>
              </w:rPr>
              <w:t>伊宁市拟设探矿权一览表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675" w:type="dxa"/>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序号</w:t>
            </w:r>
          </w:p>
        </w:tc>
        <w:tc>
          <w:tcPr>
            <w:tcW w:w="3544" w:type="dxa"/>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区块</w:t>
            </w:r>
            <w:r>
              <w:rPr>
                <w:rFonts w:ascii="Times New Roman"/>
                <w:color w:val="000000" w:themeColor="text1"/>
                <w:sz w:val="21"/>
                <w:szCs w:val="21"/>
                <w14:textFill>
                  <w14:solidFill>
                    <w14:schemeClr w14:val="tx1"/>
                  </w14:solidFill>
                </w14:textFill>
              </w:rPr>
              <w:t>名称</w:t>
            </w:r>
          </w:p>
        </w:tc>
        <w:tc>
          <w:tcPr>
            <w:tcW w:w="1418" w:type="dxa"/>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勘查主矿种</w:t>
            </w:r>
          </w:p>
        </w:tc>
        <w:tc>
          <w:tcPr>
            <w:tcW w:w="1559" w:type="dxa"/>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区块面积</w:t>
            </w:r>
          </w:p>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t>km</w:t>
            </w:r>
            <w:r>
              <w:rPr>
                <w:rFonts w:ascii="Times New Roman"/>
                <w:color w:val="000000" w:themeColor="text1"/>
                <w:sz w:val="21"/>
                <w:szCs w:val="21"/>
                <w:vertAlign w:val="superscript"/>
                <w14:textFill>
                  <w14:solidFill>
                    <w14:schemeClr w14:val="tx1"/>
                  </w14:solidFill>
                </w14:textFill>
              </w:rPr>
              <w:t>2</w:t>
            </w:r>
            <w:r>
              <w:rPr>
                <w:rFonts w:hint="eastAsia" w:ascii="Times New Roman"/>
                <w:color w:val="000000" w:themeColor="text1"/>
                <w:sz w:val="21"/>
                <w:szCs w:val="21"/>
                <w14:textFill>
                  <w14:solidFill>
                    <w14:schemeClr w14:val="tx1"/>
                  </w14:solidFill>
                </w14:textFill>
              </w:rPr>
              <w:t>）</w:t>
            </w:r>
          </w:p>
        </w:tc>
        <w:tc>
          <w:tcPr>
            <w:tcW w:w="1796" w:type="dxa"/>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1</w:t>
            </w:r>
          </w:p>
        </w:tc>
        <w:tc>
          <w:tcPr>
            <w:tcW w:w="3544" w:type="dxa"/>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伊宁矿区北区干沟井田勘查后备区</w:t>
            </w:r>
          </w:p>
        </w:tc>
        <w:tc>
          <w:tcPr>
            <w:tcW w:w="1418" w:type="dxa"/>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煤炭</w:t>
            </w:r>
          </w:p>
        </w:tc>
        <w:tc>
          <w:tcPr>
            <w:tcW w:w="1559" w:type="dxa"/>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4.34</w:t>
            </w:r>
          </w:p>
        </w:tc>
        <w:tc>
          <w:tcPr>
            <w:tcW w:w="1796" w:type="dxa"/>
            <w:vAlign w:val="center"/>
          </w:tcPr>
          <w:p>
            <w:pPr>
              <w:spacing w:before="38" w:beforeLines="10" w:after="38" w:afterLines="10" w:line="360" w:lineRule="exact"/>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落实自治区规划</w:t>
            </w:r>
          </w:p>
        </w:tc>
      </w:tr>
    </w:tbl>
    <w:p>
      <w:pPr>
        <w:ind w:firstLine="659" w:firstLineChars="200"/>
        <w:rPr>
          <w:rFonts w:ascii="Times New Roman"/>
          <w:sz w:val="32"/>
          <w:szCs w:val="32"/>
        </w:rPr>
      </w:pPr>
      <w:r>
        <w:rPr>
          <w:rFonts w:hint="eastAsia" w:ascii="仿宋" w:hAnsi="仿宋" w:cs="仿宋"/>
          <w:b/>
          <w:bCs/>
          <w:sz w:val="32"/>
          <w:szCs w:val="32"/>
        </w:rPr>
        <w:t>开采规划区块。</w:t>
      </w:r>
      <w:r>
        <w:rPr>
          <w:rFonts w:hint="eastAsia" w:ascii="Times New Roman"/>
          <w:sz w:val="32"/>
          <w:szCs w:val="32"/>
        </w:rPr>
        <w:t>本轮新设置10个开采规划区块，其中包括落实国家规划矿区内7个煤矿开采规划区块，以及3个砖瓦用页岩开采规划区块，其余三类矿产设置均在砂石粘土类集中开采区内，做到有序投放，严禁大矿小开，一矿多开。</w:t>
      </w:r>
      <w:r>
        <w:rPr>
          <w:rFonts w:ascii="Times New Roman"/>
          <w:sz w:val="32"/>
          <w:szCs w:val="32"/>
        </w:rPr>
        <w:t>全面规范矿产资源开发利用管理秩序，切实提高矿产资源开发利用水平。</w:t>
      </w:r>
      <w:r>
        <w:rPr>
          <w:rFonts w:hint="eastAsia" w:ascii="Times New Roman"/>
          <w:sz w:val="32"/>
          <w:szCs w:val="32"/>
        </w:rPr>
        <w:t>（专栏10）</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827"/>
        <w:gridCol w:w="1420"/>
        <w:gridCol w:w="134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E7E6E6" w:themeFill="background2"/>
            <w:vAlign w:val="center"/>
          </w:tcPr>
          <w:p>
            <w:pPr>
              <w:spacing w:before="38" w:beforeLines="10" w:after="38" w:afterLines="10" w:line="360" w:lineRule="exact"/>
              <w:rPr>
                <w:rFonts w:ascii="Times New Roman" w:eastAsia="仿宋_GB2312"/>
                <w:sz w:val="21"/>
                <w:szCs w:val="21"/>
              </w:rPr>
            </w:pPr>
            <w:r>
              <w:rPr>
                <w:rFonts w:hint="eastAsia" w:ascii="Times New Roman"/>
                <w:b/>
                <w:bCs/>
                <w:color w:val="000000" w:themeColor="text1"/>
                <w:sz w:val="24"/>
                <w14:textFill>
                  <w14:solidFill>
                    <w14:schemeClr w14:val="tx1"/>
                  </w14:solidFill>
                </w14:textFill>
              </w:rPr>
              <w:t>专栏10</w:t>
            </w:r>
            <w:r>
              <w:rPr>
                <w:rFonts w:ascii="Times New Roman"/>
                <w:b/>
                <w:bCs/>
                <w:color w:val="000000" w:themeColor="text1"/>
                <w:sz w:val="24"/>
                <w14:textFill>
                  <w14:solidFill>
                    <w14:schemeClr w14:val="tx1"/>
                  </w14:solidFill>
                </w14:textFill>
              </w:rPr>
              <w:t xml:space="preserve">                                         </w:t>
            </w:r>
            <w:r>
              <w:rPr>
                <w:rFonts w:hint="eastAsia" w:ascii="Times New Roman"/>
                <w:b/>
                <w:bCs/>
                <w:color w:val="000000" w:themeColor="text1"/>
                <w:sz w:val="24"/>
                <w14:textFill>
                  <w14:solidFill>
                    <w14:schemeClr w14:val="tx1"/>
                  </w14:solidFill>
                </w14:textFill>
              </w:rPr>
              <w:t>伊宁市拟设采矿权一览表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spacing w:line="240" w:lineRule="auto"/>
              <w:jc w:val="center"/>
              <w:rPr>
                <w:sz w:val="18"/>
                <w:szCs w:val="18"/>
              </w:rPr>
            </w:pPr>
            <w:r>
              <w:rPr>
                <w:rFonts w:hint="eastAsia" w:ascii="Times New Roman" w:eastAsia="仿宋_GB2312"/>
                <w:sz w:val="21"/>
                <w:szCs w:val="21"/>
              </w:rPr>
              <w:t>序号</w:t>
            </w:r>
          </w:p>
        </w:tc>
        <w:tc>
          <w:tcPr>
            <w:tcW w:w="2076" w:type="pct"/>
            <w:vAlign w:val="center"/>
          </w:tcPr>
          <w:p>
            <w:pPr>
              <w:spacing w:line="240" w:lineRule="auto"/>
              <w:jc w:val="center"/>
              <w:rPr>
                <w:sz w:val="18"/>
                <w:szCs w:val="18"/>
              </w:rPr>
            </w:pPr>
            <w:r>
              <w:rPr>
                <w:rFonts w:hint="eastAsia" w:ascii="Times New Roman" w:eastAsia="仿宋_GB2312"/>
                <w:sz w:val="21"/>
                <w:szCs w:val="21"/>
              </w:rPr>
              <w:t>区块</w:t>
            </w:r>
            <w:r>
              <w:rPr>
                <w:rFonts w:ascii="Times New Roman" w:eastAsia="仿宋_GB2312"/>
                <w:sz w:val="21"/>
                <w:szCs w:val="21"/>
              </w:rPr>
              <w:t>名称</w:t>
            </w:r>
          </w:p>
        </w:tc>
        <w:tc>
          <w:tcPr>
            <w:tcW w:w="770" w:type="pct"/>
            <w:vAlign w:val="center"/>
          </w:tcPr>
          <w:p>
            <w:pPr>
              <w:spacing w:line="240" w:lineRule="auto"/>
              <w:jc w:val="center"/>
              <w:rPr>
                <w:rFonts w:ascii="仿宋" w:hAnsi="仿宋"/>
                <w:sz w:val="21"/>
                <w:szCs w:val="21"/>
              </w:rPr>
            </w:pPr>
            <w:r>
              <w:rPr>
                <w:rFonts w:hint="eastAsia" w:ascii="仿宋" w:hAnsi="仿宋"/>
                <w:sz w:val="21"/>
                <w:szCs w:val="21"/>
              </w:rPr>
              <w:t>开采</w:t>
            </w:r>
          </w:p>
          <w:p>
            <w:pPr>
              <w:spacing w:line="240" w:lineRule="auto"/>
              <w:jc w:val="center"/>
              <w:rPr>
                <w:sz w:val="18"/>
                <w:szCs w:val="18"/>
              </w:rPr>
            </w:pPr>
            <w:r>
              <w:rPr>
                <w:rFonts w:hint="eastAsia" w:ascii="仿宋" w:hAnsi="仿宋"/>
                <w:sz w:val="21"/>
                <w:szCs w:val="21"/>
              </w:rPr>
              <w:t>主矿种</w:t>
            </w:r>
          </w:p>
        </w:tc>
        <w:tc>
          <w:tcPr>
            <w:tcW w:w="728"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区块面积</w:t>
            </w:r>
          </w:p>
          <w:p>
            <w:pPr>
              <w:spacing w:line="240" w:lineRule="auto"/>
              <w:jc w:val="center"/>
              <w:rPr>
                <w:sz w:val="18"/>
                <w:szCs w:val="18"/>
              </w:rPr>
            </w:pPr>
            <w:r>
              <w:rPr>
                <w:rFonts w:ascii="Times New Roman" w:eastAsia="仿宋_GB2312"/>
                <w:sz w:val="21"/>
                <w:szCs w:val="21"/>
              </w:rPr>
              <w:t>（</w:t>
            </w:r>
            <w:r>
              <w:rPr>
                <w:rFonts w:hint="eastAsia" w:ascii="Times New Roman" w:eastAsia="仿宋_GB2312"/>
                <w:sz w:val="21"/>
                <w:szCs w:val="21"/>
              </w:rPr>
              <w:t>k</w:t>
            </w:r>
            <w:r>
              <w:rPr>
                <w:rFonts w:ascii="Times New Roman" w:eastAsia="仿宋_GB2312"/>
                <w:sz w:val="21"/>
                <w:szCs w:val="21"/>
              </w:rPr>
              <w:t>m</w:t>
            </w:r>
            <w:r>
              <w:rPr>
                <w:rFonts w:ascii="Times New Roman" w:eastAsia="仿宋_GB2312"/>
                <w:sz w:val="21"/>
                <w:szCs w:val="21"/>
                <w:vertAlign w:val="superscript"/>
              </w:rPr>
              <w:t>2</w:t>
            </w:r>
            <w:r>
              <w:rPr>
                <w:rFonts w:ascii="Times New Roman" w:eastAsia="仿宋_GB2312"/>
                <w:sz w:val="21"/>
                <w:szCs w:val="21"/>
              </w:rPr>
              <w:t>）</w:t>
            </w:r>
          </w:p>
        </w:tc>
        <w:tc>
          <w:tcPr>
            <w:tcW w:w="983" w:type="pct"/>
            <w:vAlign w:val="center"/>
          </w:tcPr>
          <w:p>
            <w:pPr>
              <w:spacing w:line="240" w:lineRule="auto"/>
              <w:jc w:val="center"/>
              <w:rPr>
                <w:sz w:val="18"/>
                <w:szCs w:val="18"/>
              </w:rPr>
            </w:pPr>
            <w:r>
              <w:rPr>
                <w:rFonts w:hint="eastAsia" w:asci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w:t>
            </w:r>
          </w:p>
        </w:tc>
        <w:tc>
          <w:tcPr>
            <w:tcW w:w="2076"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伊犁伊宁矿区北区南台子井田</w:t>
            </w:r>
          </w:p>
        </w:tc>
        <w:tc>
          <w:tcPr>
            <w:tcW w:w="77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728" w:type="pct"/>
            <w:vAlign w:val="center"/>
          </w:tcPr>
          <w:p>
            <w:pPr>
              <w:spacing w:before="38" w:beforeLines="10" w:after="38" w:afterLines="10" w:line="240" w:lineRule="auto"/>
              <w:jc w:val="center"/>
              <w:rPr>
                <w:rFonts w:ascii="Times New Roman" w:eastAsia="仿宋_GB2312"/>
                <w:sz w:val="21"/>
                <w:szCs w:val="21"/>
              </w:rPr>
            </w:pPr>
            <w:r>
              <w:rPr>
                <w:rFonts w:hint="eastAsia" w:ascii="Times New Roman" w:eastAsia="仿宋_GB2312"/>
                <w:sz w:val="21"/>
                <w:szCs w:val="21"/>
              </w:rPr>
              <w:t>26.58</w:t>
            </w:r>
          </w:p>
        </w:tc>
        <w:tc>
          <w:tcPr>
            <w:tcW w:w="98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44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2</w:t>
            </w:r>
          </w:p>
        </w:tc>
        <w:tc>
          <w:tcPr>
            <w:tcW w:w="2076"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伊犁伊宁矿区北区铁厂沟井田</w:t>
            </w:r>
          </w:p>
        </w:tc>
        <w:tc>
          <w:tcPr>
            <w:tcW w:w="77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728" w:type="pct"/>
            <w:vAlign w:val="center"/>
          </w:tcPr>
          <w:p>
            <w:pPr>
              <w:spacing w:before="38" w:beforeLines="10" w:after="38" w:afterLines="10" w:line="240" w:lineRule="auto"/>
              <w:jc w:val="center"/>
              <w:rPr>
                <w:rFonts w:ascii="Times New Roman" w:eastAsia="仿宋_GB2312"/>
                <w:sz w:val="21"/>
                <w:szCs w:val="21"/>
              </w:rPr>
            </w:pPr>
            <w:r>
              <w:rPr>
                <w:rFonts w:hint="eastAsia" w:ascii="Times New Roman" w:eastAsia="仿宋_GB2312"/>
                <w:sz w:val="21"/>
                <w:szCs w:val="21"/>
              </w:rPr>
              <w:t>6.10</w:t>
            </w:r>
          </w:p>
        </w:tc>
        <w:tc>
          <w:tcPr>
            <w:tcW w:w="98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3</w:t>
            </w:r>
          </w:p>
        </w:tc>
        <w:tc>
          <w:tcPr>
            <w:tcW w:w="2076"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伊犁伊宁矿区北区干沟井田</w:t>
            </w:r>
          </w:p>
        </w:tc>
        <w:tc>
          <w:tcPr>
            <w:tcW w:w="77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728" w:type="pct"/>
            <w:vAlign w:val="center"/>
          </w:tcPr>
          <w:p>
            <w:pPr>
              <w:spacing w:before="38" w:beforeLines="10" w:after="38" w:afterLines="10" w:line="240" w:lineRule="auto"/>
              <w:jc w:val="center"/>
              <w:rPr>
                <w:rFonts w:ascii="Times New Roman" w:eastAsia="仿宋_GB2312"/>
                <w:sz w:val="21"/>
                <w:szCs w:val="21"/>
              </w:rPr>
            </w:pPr>
            <w:r>
              <w:rPr>
                <w:rFonts w:hint="eastAsia" w:ascii="Times New Roman" w:eastAsia="仿宋_GB2312"/>
                <w:sz w:val="21"/>
                <w:szCs w:val="21"/>
              </w:rPr>
              <w:t>6.92</w:t>
            </w:r>
          </w:p>
        </w:tc>
        <w:tc>
          <w:tcPr>
            <w:tcW w:w="98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4</w:t>
            </w:r>
          </w:p>
        </w:tc>
        <w:tc>
          <w:tcPr>
            <w:tcW w:w="2076"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伊犁伊宁矿区北区界梁子南井田</w:t>
            </w:r>
          </w:p>
        </w:tc>
        <w:tc>
          <w:tcPr>
            <w:tcW w:w="77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728" w:type="pct"/>
            <w:vAlign w:val="center"/>
          </w:tcPr>
          <w:p>
            <w:pPr>
              <w:spacing w:before="38" w:beforeLines="10" w:after="38" w:afterLines="10" w:line="240" w:lineRule="auto"/>
              <w:jc w:val="center"/>
              <w:rPr>
                <w:rFonts w:ascii="Times New Roman" w:eastAsia="仿宋_GB2312"/>
                <w:sz w:val="21"/>
                <w:szCs w:val="21"/>
              </w:rPr>
            </w:pPr>
            <w:r>
              <w:rPr>
                <w:rFonts w:hint="eastAsia" w:ascii="Times New Roman" w:eastAsia="仿宋_GB2312"/>
                <w:sz w:val="21"/>
                <w:szCs w:val="21"/>
              </w:rPr>
              <w:t>17.05</w:t>
            </w:r>
          </w:p>
        </w:tc>
        <w:tc>
          <w:tcPr>
            <w:tcW w:w="98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5</w:t>
            </w:r>
          </w:p>
        </w:tc>
        <w:tc>
          <w:tcPr>
            <w:tcW w:w="2076"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伊犁伊宁矿区北区界梁子北井田</w:t>
            </w:r>
          </w:p>
        </w:tc>
        <w:tc>
          <w:tcPr>
            <w:tcW w:w="77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728" w:type="pct"/>
            <w:vAlign w:val="center"/>
          </w:tcPr>
          <w:p>
            <w:pPr>
              <w:spacing w:before="38" w:beforeLines="10" w:after="38" w:afterLines="10" w:line="240" w:lineRule="auto"/>
              <w:jc w:val="center"/>
              <w:rPr>
                <w:rFonts w:ascii="Times New Roman" w:eastAsia="仿宋_GB2312"/>
                <w:sz w:val="21"/>
                <w:szCs w:val="21"/>
              </w:rPr>
            </w:pPr>
            <w:r>
              <w:rPr>
                <w:rFonts w:hint="eastAsia" w:ascii="Times New Roman" w:eastAsia="仿宋_GB2312"/>
                <w:sz w:val="21"/>
                <w:szCs w:val="21"/>
              </w:rPr>
              <w:t>13.32</w:t>
            </w:r>
          </w:p>
        </w:tc>
        <w:tc>
          <w:tcPr>
            <w:tcW w:w="98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6</w:t>
            </w:r>
          </w:p>
        </w:tc>
        <w:tc>
          <w:tcPr>
            <w:tcW w:w="2076"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伊犁伊宁矿区北区伊北井田</w:t>
            </w:r>
          </w:p>
        </w:tc>
        <w:tc>
          <w:tcPr>
            <w:tcW w:w="77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728" w:type="pct"/>
            <w:vAlign w:val="center"/>
          </w:tcPr>
          <w:p>
            <w:pPr>
              <w:spacing w:before="38" w:beforeLines="10" w:after="38" w:afterLines="10" w:line="240" w:lineRule="auto"/>
              <w:jc w:val="center"/>
              <w:rPr>
                <w:rFonts w:ascii="Times New Roman" w:eastAsia="仿宋_GB2312"/>
                <w:sz w:val="21"/>
                <w:szCs w:val="21"/>
              </w:rPr>
            </w:pPr>
            <w:r>
              <w:rPr>
                <w:rFonts w:hint="eastAsia" w:ascii="Times New Roman" w:eastAsia="仿宋_GB2312"/>
                <w:sz w:val="21"/>
                <w:szCs w:val="21"/>
              </w:rPr>
              <w:t>6.21</w:t>
            </w:r>
          </w:p>
        </w:tc>
        <w:tc>
          <w:tcPr>
            <w:tcW w:w="98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7</w:t>
            </w:r>
          </w:p>
        </w:tc>
        <w:tc>
          <w:tcPr>
            <w:tcW w:w="2076"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伊犁伊宁矿区北区窄梁子井田</w:t>
            </w:r>
          </w:p>
        </w:tc>
        <w:tc>
          <w:tcPr>
            <w:tcW w:w="77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煤炭</w:t>
            </w:r>
          </w:p>
        </w:tc>
        <w:tc>
          <w:tcPr>
            <w:tcW w:w="728" w:type="pct"/>
            <w:vAlign w:val="center"/>
          </w:tcPr>
          <w:p>
            <w:pPr>
              <w:spacing w:before="38" w:beforeLines="10" w:after="38" w:afterLines="10" w:line="240" w:lineRule="auto"/>
              <w:jc w:val="center"/>
              <w:rPr>
                <w:rFonts w:ascii="Times New Roman" w:eastAsia="仿宋_GB2312"/>
                <w:sz w:val="21"/>
                <w:szCs w:val="21"/>
              </w:rPr>
            </w:pPr>
            <w:r>
              <w:rPr>
                <w:rFonts w:hint="eastAsia" w:ascii="Times New Roman" w:eastAsia="仿宋_GB2312"/>
                <w:sz w:val="21"/>
                <w:szCs w:val="21"/>
              </w:rPr>
              <w:t>8.21</w:t>
            </w:r>
          </w:p>
        </w:tc>
        <w:tc>
          <w:tcPr>
            <w:tcW w:w="98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落实自治区规划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8</w:t>
            </w:r>
          </w:p>
        </w:tc>
        <w:tc>
          <w:tcPr>
            <w:tcW w:w="2076"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新疆伊宁市铁厂沟1号页岩矿</w:t>
            </w:r>
          </w:p>
        </w:tc>
        <w:tc>
          <w:tcPr>
            <w:tcW w:w="77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砖瓦用页岩</w:t>
            </w:r>
          </w:p>
        </w:tc>
        <w:tc>
          <w:tcPr>
            <w:tcW w:w="728" w:type="pct"/>
            <w:vAlign w:val="center"/>
          </w:tcPr>
          <w:p>
            <w:pPr>
              <w:spacing w:before="38" w:beforeLines="10" w:after="38" w:afterLines="10" w:line="240" w:lineRule="auto"/>
              <w:jc w:val="center"/>
              <w:rPr>
                <w:rFonts w:ascii="Times New Roman" w:eastAsia="仿宋_GB2312"/>
                <w:sz w:val="21"/>
                <w:szCs w:val="21"/>
              </w:rPr>
            </w:pPr>
            <w:r>
              <w:rPr>
                <w:rFonts w:hint="eastAsia" w:ascii="Times New Roman" w:eastAsia="仿宋_GB2312"/>
                <w:sz w:val="21"/>
                <w:szCs w:val="21"/>
              </w:rPr>
              <w:t>0.10</w:t>
            </w:r>
          </w:p>
        </w:tc>
        <w:tc>
          <w:tcPr>
            <w:tcW w:w="98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9</w:t>
            </w:r>
          </w:p>
        </w:tc>
        <w:tc>
          <w:tcPr>
            <w:tcW w:w="2076"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新疆伊宁市铁厂沟2号页岩矿</w:t>
            </w:r>
          </w:p>
        </w:tc>
        <w:tc>
          <w:tcPr>
            <w:tcW w:w="77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砖瓦用页岩</w:t>
            </w:r>
          </w:p>
        </w:tc>
        <w:tc>
          <w:tcPr>
            <w:tcW w:w="728" w:type="pct"/>
            <w:vAlign w:val="center"/>
          </w:tcPr>
          <w:p>
            <w:pPr>
              <w:spacing w:before="38" w:beforeLines="10" w:after="38" w:afterLines="10" w:line="240" w:lineRule="auto"/>
              <w:jc w:val="center"/>
              <w:rPr>
                <w:rFonts w:ascii="Times New Roman" w:eastAsia="仿宋_GB2312"/>
                <w:sz w:val="21"/>
                <w:szCs w:val="21"/>
              </w:rPr>
            </w:pPr>
            <w:r>
              <w:rPr>
                <w:rFonts w:hint="eastAsia" w:ascii="Times New Roman" w:eastAsia="仿宋_GB2312"/>
                <w:sz w:val="21"/>
                <w:szCs w:val="21"/>
              </w:rPr>
              <w:t>0.11</w:t>
            </w:r>
          </w:p>
        </w:tc>
        <w:tc>
          <w:tcPr>
            <w:tcW w:w="98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44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10</w:t>
            </w:r>
          </w:p>
        </w:tc>
        <w:tc>
          <w:tcPr>
            <w:tcW w:w="2076"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新疆伊宁市铁厂沟3号页岩矿</w:t>
            </w:r>
          </w:p>
        </w:tc>
        <w:tc>
          <w:tcPr>
            <w:tcW w:w="770"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砖瓦用页岩</w:t>
            </w:r>
          </w:p>
        </w:tc>
        <w:tc>
          <w:tcPr>
            <w:tcW w:w="728" w:type="pct"/>
            <w:vAlign w:val="center"/>
          </w:tcPr>
          <w:p>
            <w:pPr>
              <w:spacing w:before="38" w:beforeLines="10" w:after="38" w:afterLines="10" w:line="240" w:lineRule="auto"/>
              <w:jc w:val="center"/>
              <w:rPr>
                <w:rFonts w:ascii="Times New Roman" w:eastAsia="仿宋_GB2312"/>
                <w:sz w:val="21"/>
                <w:szCs w:val="21"/>
              </w:rPr>
            </w:pPr>
            <w:r>
              <w:rPr>
                <w:rFonts w:hint="eastAsia" w:ascii="Times New Roman" w:eastAsia="仿宋_GB2312"/>
                <w:sz w:val="21"/>
                <w:szCs w:val="21"/>
              </w:rPr>
              <w:t>0.31</w:t>
            </w:r>
          </w:p>
        </w:tc>
        <w:tc>
          <w:tcPr>
            <w:tcW w:w="983" w:type="pct"/>
            <w:vAlign w:val="center"/>
          </w:tcPr>
          <w:p>
            <w:pPr>
              <w:spacing w:line="240" w:lineRule="auto"/>
              <w:jc w:val="center"/>
              <w:rPr>
                <w:rFonts w:ascii="Times New Roman" w:eastAsia="仿宋_GB2312"/>
                <w:sz w:val="21"/>
                <w:szCs w:val="21"/>
              </w:rPr>
            </w:pPr>
            <w:r>
              <w:rPr>
                <w:rFonts w:hint="eastAsia" w:ascii="Times New Roman" w:eastAsia="仿宋_GB2312"/>
                <w:sz w:val="21"/>
                <w:szCs w:val="21"/>
              </w:rPr>
              <w:t>空白区新设</w:t>
            </w:r>
          </w:p>
        </w:tc>
      </w:tr>
    </w:tbl>
    <w:p>
      <w:pPr>
        <w:spacing w:line="560" w:lineRule="exact"/>
        <w:ind w:firstLine="659" w:firstLineChars="200"/>
        <w:rPr>
          <w:rFonts w:ascii="Times New Roman"/>
          <w:sz w:val="32"/>
          <w:szCs w:val="32"/>
        </w:rPr>
      </w:pPr>
      <w:r>
        <w:rPr>
          <w:rFonts w:ascii="Times New Roman"/>
          <w:b/>
          <w:bCs/>
          <w:sz w:val="32"/>
        </w:rPr>
        <w:t>砂石粘土类矿产资源集中开采区。</w:t>
      </w:r>
      <w:r>
        <w:rPr>
          <w:rFonts w:ascii="Times New Roman"/>
          <w:sz w:val="32"/>
        </w:rPr>
        <w:t>“十四五”期间，</w:t>
      </w:r>
      <w:r>
        <w:rPr>
          <w:rFonts w:hint="eastAsia" w:ascii="Times New Roman"/>
          <w:sz w:val="32"/>
        </w:rPr>
        <w:t>伊宁市</w:t>
      </w:r>
      <w:r>
        <w:rPr>
          <w:rFonts w:ascii="Times New Roman"/>
          <w:sz w:val="32"/>
        </w:rPr>
        <w:t>基础建设部署较多，加大了地区对砂石粘土类矿产资源的需求。</w:t>
      </w:r>
      <w:r>
        <w:rPr>
          <w:rFonts w:hint="eastAsia" w:ascii="Times New Roman"/>
          <w:sz w:val="32"/>
          <w:szCs w:val="32"/>
        </w:rPr>
        <w:t>综合考虑产业布局、城市发展和基础设施建设等因素，以及环境、林业、土地利用等要求，划定集中开采区，促进规模集约开发，便于</w:t>
      </w:r>
      <w:r>
        <w:rPr>
          <w:rFonts w:ascii="Times New Roman"/>
          <w:sz w:val="32"/>
          <w:szCs w:val="32"/>
        </w:rPr>
        <w:t>进一步</w:t>
      </w:r>
      <w:r>
        <w:rPr>
          <w:rFonts w:hint="eastAsia" w:ascii="Times New Roman"/>
          <w:sz w:val="32"/>
          <w:szCs w:val="32"/>
        </w:rPr>
        <w:t>规伊宁市</w:t>
      </w:r>
      <w:r>
        <w:rPr>
          <w:rFonts w:ascii="Times New Roman"/>
          <w:sz w:val="32"/>
          <w:szCs w:val="32"/>
        </w:rPr>
        <w:t>矿产资源矿业权管理，</w:t>
      </w:r>
      <w:r>
        <w:rPr>
          <w:rFonts w:hint="eastAsia" w:ascii="Times New Roman"/>
          <w:sz w:val="32"/>
          <w:szCs w:val="32"/>
        </w:rPr>
        <w:t>使伊宁市</w:t>
      </w:r>
      <w:r>
        <w:rPr>
          <w:rFonts w:ascii="Times New Roman"/>
          <w:sz w:val="32"/>
          <w:szCs w:val="32"/>
        </w:rPr>
        <w:t>优势资源持续健康发展，提高矿产资源对经济社会可持续发展的保障能力，</w:t>
      </w:r>
      <w:r>
        <w:rPr>
          <w:rFonts w:hint="eastAsia" w:ascii="Times New Roman"/>
          <w:sz w:val="32"/>
          <w:szCs w:val="32"/>
        </w:rPr>
        <w:t>设置1</w:t>
      </w:r>
      <w:r>
        <w:rPr>
          <w:rFonts w:ascii="Times New Roman"/>
          <w:sz w:val="32"/>
          <w:szCs w:val="32"/>
        </w:rPr>
        <w:t>个</w:t>
      </w:r>
      <w:r>
        <w:rPr>
          <w:rFonts w:hint="eastAsia" w:ascii="Times New Roman"/>
          <w:sz w:val="32"/>
          <w:szCs w:val="32"/>
        </w:rPr>
        <w:t>砂石粘土</w:t>
      </w:r>
      <w:r>
        <w:rPr>
          <w:rFonts w:ascii="Times New Roman"/>
          <w:sz w:val="32"/>
          <w:szCs w:val="32"/>
        </w:rPr>
        <w:t>集中开采区。</w:t>
      </w:r>
      <w:r>
        <w:rPr>
          <w:rFonts w:hint="eastAsia" w:ascii="Times New Roman"/>
          <w:sz w:val="32"/>
          <w:szCs w:val="32"/>
        </w:rPr>
        <w:t>（专栏11）</w:t>
      </w:r>
    </w:p>
    <w:tbl>
      <w:tblPr>
        <w:tblStyle w:val="35"/>
        <w:tblW w:w="5000" w:type="pct"/>
        <w:tblInd w:w="0" w:type="dxa"/>
        <w:tblLayout w:type="autofit"/>
        <w:tblCellMar>
          <w:top w:w="0" w:type="dxa"/>
          <w:left w:w="108" w:type="dxa"/>
          <w:bottom w:w="0" w:type="dxa"/>
          <w:right w:w="108" w:type="dxa"/>
        </w:tblCellMar>
      </w:tblPr>
      <w:tblGrid>
        <w:gridCol w:w="675"/>
        <w:gridCol w:w="5029"/>
        <w:gridCol w:w="1420"/>
        <w:gridCol w:w="2094"/>
      </w:tblGrid>
      <w:tr>
        <w:tblPrEx>
          <w:tblCellMar>
            <w:top w:w="0" w:type="dxa"/>
            <w:left w:w="108" w:type="dxa"/>
            <w:bottom w:w="0" w:type="dxa"/>
            <w:right w:w="108" w:type="dxa"/>
          </w:tblCellMar>
        </w:tblPrEx>
        <w:trPr>
          <w:trHeight w:val="284" w:hRule="atLeast"/>
          <w:tblHeader/>
        </w:trPr>
        <w:tc>
          <w:tcPr>
            <w:tcW w:w="5000" w:type="pct"/>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widowControl/>
              <w:adjustRightInd/>
              <w:snapToGrid/>
              <w:spacing w:line="340" w:lineRule="exact"/>
              <w:rPr>
                <w:rFonts w:ascii="Times New Roman"/>
                <w:b/>
                <w:snapToGrid/>
                <w:color w:val="000000"/>
                <w:spacing w:val="0"/>
                <w:sz w:val="24"/>
              </w:rPr>
            </w:pPr>
            <w:r>
              <w:rPr>
                <w:rFonts w:ascii="Times New Roman"/>
                <w:b/>
                <w:bCs/>
                <w:color w:val="000000" w:themeColor="text1"/>
                <w:sz w:val="24"/>
                <w14:textFill>
                  <w14:solidFill>
                    <w14:schemeClr w14:val="tx1"/>
                  </w14:solidFill>
                </w14:textFill>
              </w:rPr>
              <w:t>专栏</w:t>
            </w:r>
            <w:r>
              <w:rPr>
                <w:rFonts w:hint="eastAsia" w:ascii="Times New Roman"/>
                <w:b/>
                <w:bCs/>
                <w:color w:val="000000" w:themeColor="text1"/>
                <w:sz w:val="24"/>
                <w14:textFill>
                  <w14:solidFill>
                    <w14:schemeClr w14:val="tx1"/>
                  </w14:solidFill>
                </w14:textFill>
              </w:rPr>
              <w:t>11</w:t>
            </w:r>
            <w:r>
              <w:rPr>
                <w:rFonts w:ascii="Times New Roman"/>
                <w:b/>
                <w:bCs/>
                <w:color w:val="000000" w:themeColor="text1"/>
                <w:sz w:val="24"/>
                <w14:textFill>
                  <w14:solidFill>
                    <w14:schemeClr w14:val="tx1"/>
                  </w14:solidFill>
                </w14:textFill>
              </w:rPr>
              <w:t xml:space="preserve">                                      砂石粘土类矿产集中开采区</w:t>
            </w:r>
            <w:r>
              <w:rPr>
                <w:rFonts w:ascii="Times New Roman"/>
                <w:b/>
                <w:bCs/>
                <w:sz w:val="24"/>
              </w:rPr>
              <w:t xml:space="preserve"> </w:t>
            </w:r>
          </w:p>
        </w:tc>
      </w:tr>
      <w:tr>
        <w:tblPrEx>
          <w:tblCellMar>
            <w:top w:w="0" w:type="dxa"/>
            <w:left w:w="108" w:type="dxa"/>
            <w:bottom w:w="0" w:type="dxa"/>
            <w:right w:w="108" w:type="dxa"/>
          </w:tblCellMar>
        </w:tblPrEx>
        <w:trPr>
          <w:trHeight w:val="226" w:hRule="atLeast"/>
          <w:tblHead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340" w:lineRule="exact"/>
              <w:jc w:val="center"/>
              <w:rPr>
                <w:rFonts w:ascii="Times New Roman"/>
                <w:b/>
                <w:snapToGrid/>
                <w:color w:val="000000"/>
                <w:spacing w:val="0"/>
                <w:sz w:val="21"/>
                <w:szCs w:val="21"/>
              </w:rPr>
            </w:pPr>
            <w:r>
              <w:rPr>
                <w:rFonts w:ascii="Times New Roman"/>
                <w:b/>
                <w:snapToGrid/>
                <w:color w:val="000000"/>
                <w:spacing w:val="0"/>
                <w:sz w:val="21"/>
                <w:szCs w:val="21"/>
              </w:rPr>
              <w:t>序号</w:t>
            </w:r>
          </w:p>
        </w:tc>
        <w:tc>
          <w:tcPr>
            <w:tcW w:w="272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340" w:lineRule="exact"/>
              <w:jc w:val="center"/>
              <w:rPr>
                <w:rFonts w:ascii="Times New Roman"/>
                <w:b/>
                <w:snapToGrid/>
                <w:color w:val="000000"/>
                <w:spacing w:val="0"/>
                <w:sz w:val="21"/>
                <w:szCs w:val="21"/>
              </w:rPr>
            </w:pPr>
            <w:r>
              <w:rPr>
                <w:rFonts w:ascii="Times New Roman"/>
                <w:b/>
                <w:snapToGrid/>
                <w:color w:val="000000"/>
                <w:spacing w:val="0"/>
                <w:sz w:val="21"/>
                <w:szCs w:val="21"/>
              </w:rPr>
              <w:t>名称</w:t>
            </w:r>
          </w:p>
        </w:tc>
        <w:tc>
          <w:tcPr>
            <w:tcW w:w="770"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340" w:lineRule="exact"/>
              <w:jc w:val="center"/>
              <w:rPr>
                <w:rFonts w:ascii="Times New Roman"/>
                <w:b/>
                <w:snapToGrid/>
                <w:color w:val="000000"/>
                <w:spacing w:val="0"/>
                <w:sz w:val="21"/>
                <w:szCs w:val="21"/>
              </w:rPr>
            </w:pPr>
            <w:r>
              <w:rPr>
                <w:rFonts w:ascii="Times New Roman"/>
                <w:b/>
                <w:snapToGrid/>
                <w:color w:val="000000"/>
                <w:spacing w:val="0"/>
                <w:sz w:val="21"/>
                <w:szCs w:val="21"/>
              </w:rPr>
              <w:t>面积（</w:t>
            </w:r>
            <w:r>
              <w:rPr>
                <w:rFonts w:hint="eastAsia" w:ascii="Times New Roman"/>
                <w:b/>
                <w:snapToGrid/>
                <w:color w:val="000000"/>
                <w:spacing w:val="0"/>
                <w:sz w:val="21"/>
                <w:szCs w:val="21"/>
              </w:rPr>
              <w:t>k</w:t>
            </w:r>
            <w:r>
              <w:rPr>
                <w:rFonts w:ascii="Times New Roman"/>
                <w:b/>
                <w:snapToGrid/>
                <w:color w:val="000000"/>
                <w:spacing w:val="0"/>
                <w:sz w:val="21"/>
                <w:szCs w:val="21"/>
              </w:rPr>
              <w:t>m</w:t>
            </w:r>
            <w:r>
              <w:rPr>
                <w:rFonts w:ascii="Times New Roman"/>
                <w:b/>
                <w:snapToGrid/>
                <w:color w:val="000000"/>
                <w:spacing w:val="0"/>
                <w:sz w:val="21"/>
                <w:szCs w:val="21"/>
                <w:vertAlign w:val="superscript"/>
              </w:rPr>
              <w:t>2</w:t>
            </w:r>
            <w:r>
              <w:rPr>
                <w:rFonts w:ascii="Times New Roman"/>
                <w:b/>
                <w:snapToGrid/>
                <w:color w:val="000000"/>
                <w:spacing w:val="0"/>
                <w:sz w:val="21"/>
                <w:szCs w:val="21"/>
              </w:rPr>
              <w:t>）</w:t>
            </w:r>
          </w:p>
        </w:tc>
        <w:tc>
          <w:tcPr>
            <w:tcW w:w="1136" w:type="pct"/>
            <w:tcBorders>
              <w:top w:val="single" w:color="auto" w:sz="4" w:space="0"/>
              <w:left w:val="nil"/>
              <w:bottom w:val="single" w:color="auto" w:sz="4" w:space="0"/>
              <w:right w:val="single" w:color="auto" w:sz="4" w:space="0"/>
            </w:tcBorders>
            <w:shd w:val="clear" w:color="auto" w:fill="auto"/>
            <w:vAlign w:val="center"/>
          </w:tcPr>
          <w:p>
            <w:pPr>
              <w:spacing w:line="340" w:lineRule="exact"/>
              <w:jc w:val="center"/>
              <w:rPr>
                <w:rFonts w:ascii="Times New Roman"/>
                <w:b/>
                <w:snapToGrid/>
                <w:color w:val="000000"/>
                <w:spacing w:val="0"/>
                <w:sz w:val="21"/>
                <w:szCs w:val="21"/>
              </w:rPr>
            </w:pPr>
            <w:r>
              <w:rPr>
                <w:rFonts w:ascii="Times New Roman"/>
                <w:b/>
                <w:snapToGrid/>
                <w:color w:val="000000"/>
                <w:spacing w:val="0"/>
                <w:sz w:val="21"/>
                <w:szCs w:val="21"/>
              </w:rPr>
              <w:t>矿种</w:t>
            </w:r>
          </w:p>
        </w:tc>
      </w:tr>
      <w:tr>
        <w:tblPrEx>
          <w:tblCellMar>
            <w:top w:w="0" w:type="dxa"/>
            <w:left w:w="108" w:type="dxa"/>
            <w:bottom w:w="0" w:type="dxa"/>
            <w:right w:w="108" w:type="dxa"/>
          </w:tblCellMar>
        </w:tblPrEx>
        <w:trPr>
          <w:trHeight w:val="284" w:hRule="atLeast"/>
          <w:tblHead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340" w:lineRule="exact"/>
              <w:jc w:val="center"/>
              <w:rPr>
                <w:rFonts w:ascii="Times New Roman"/>
                <w:bCs/>
                <w:snapToGrid/>
                <w:color w:val="000000"/>
                <w:spacing w:val="0"/>
                <w:sz w:val="21"/>
                <w:szCs w:val="21"/>
              </w:rPr>
            </w:pPr>
            <w:r>
              <w:rPr>
                <w:rFonts w:hint="eastAsia" w:ascii="Times New Roman"/>
                <w:bCs/>
                <w:snapToGrid/>
                <w:color w:val="000000"/>
                <w:spacing w:val="0"/>
                <w:sz w:val="21"/>
                <w:szCs w:val="21"/>
              </w:rPr>
              <w:t>1</w:t>
            </w:r>
          </w:p>
        </w:tc>
        <w:tc>
          <w:tcPr>
            <w:tcW w:w="272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340" w:lineRule="exact"/>
              <w:jc w:val="center"/>
              <w:rPr>
                <w:rFonts w:ascii="Times New Roman"/>
                <w:bCs/>
                <w:snapToGrid/>
                <w:color w:val="000000"/>
                <w:spacing w:val="0"/>
                <w:sz w:val="21"/>
                <w:szCs w:val="21"/>
              </w:rPr>
            </w:pPr>
            <w:r>
              <w:rPr>
                <w:rFonts w:hint="eastAsia" w:ascii="Times New Roman"/>
                <w:snapToGrid/>
                <w:spacing w:val="0"/>
                <w:sz w:val="24"/>
              </w:rPr>
              <w:t>伊宁市铁厂沟侧沟砖瓦用粘土集中开采区</w:t>
            </w:r>
            <w:r>
              <w:rPr>
                <w:rFonts w:hint="eastAsia" w:ascii="Times New Roman"/>
                <w:bCs/>
                <w:snapToGrid/>
                <w:color w:val="000000"/>
                <w:spacing w:val="0"/>
                <w:sz w:val="21"/>
                <w:szCs w:val="21"/>
              </w:rPr>
              <w:t xml:space="preserve">                  </w:t>
            </w:r>
          </w:p>
        </w:tc>
        <w:tc>
          <w:tcPr>
            <w:tcW w:w="770"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340" w:lineRule="exact"/>
              <w:jc w:val="center"/>
              <w:rPr>
                <w:rFonts w:ascii="Times New Roman"/>
                <w:bCs/>
                <w:snapToGrid/>
                <w:color w:val="000000"/>
                <w:spacing w:val="0"/>
                <w:sz w:val="21"/>
                <w:szCs w:val="21"/>
              </w:rPr>
            </w:pPr>
            <w:r>
              <w:rPr>
                <w:rFonts w:hint="eastAsia" w:ascii="Times New Roman"/>
                <w:bCs/>
                <w:snapToGrid/>
                <w:color w:val="000000"/>
                <w:spacing w:val="0"/>
                <w:sz w:val="21"/>
                <w:szCs w:val="21"/>
              </w:rPr>
              <w:t>22.58</w:t>
            </w:r>
          </w:p>
        </w:tc>
        <w:tc>
          <w:tcPr>
            <w:tcW w:w="1136" w:type="pct"/>
            <w:tcBorders>
              <w:top w:val="single" w:color="auto" w:sz="4" w:space="0"/>
              <w:left w:val="nil"/>
              <w:bottom w:val="single" w:color="auto" w:sz="4" w:space="0"/>
              <w:right w:val="single" w:color="auto" w:sz="4" w:space="0"/>
            </w:tcBorders>
            <w:shd w:val="clear" w:color="auto" w:fill="auto"/>
          </w:tcPr>
          <w:p>
            <w:pPr>
              <w:spacing w:line="340" w:lineRule="exact"/>
              <w:jc w:val="center"/>
              <w:rPr>
                <w:rFonts w:ascii="Times New Roman"/>
                <w:b/>
                <w:snapToGrid/>
                <w:color w:val="000000"/>
                <w:spacing w:val="0"/>
                <w:sz w:val="21"/>
                <w:szCs w:val="21"/>
              </w:rPr>
            </w:pPr>
            <w:r>
              <w:rPr>
                <w:rFonts w:ascii="Times New Roman"/>
                <w:bCs/>
                <w:snapToGrid/>
                <w:color w:val="000000"/>
                <w:spacing w:val="0"/>
                <w:sz w:val="21"/>
                <w:szCs w:val="21"/>
              </w:rPr>
              <w:t>砂石粘土矿</w:t>
            </w:r>
          </w:p>
        </w:tc>
      </w:tr>
    </w:tbl>
    <w:p>
      <w:pPr>
        <w:spacing w:line="560" w:lineRule="exact"/>
        <w:ind w:firstLine="659" w:firstLineChars="200"/>
        <w:rPr>
          <w:rFonts w:ascii="Times New Roman"/>
          <w:sz w:val="32"/>
        </w:rPr>
      </w:pPr>
      <w:r>
        <w:rPr>
          <w:rFonts w:ascii="Times New Roman"/>
          <w:b/>
          <w:bCs/>
          <w:sz w:val="32"/>
        </w:rPr>
        <w:t>砂石粘土类采矿权投放总量。</w:t>
      </w:r>
      <w:r>
        <w:rPr>
          <w:rFonts w:ascii="Times New Roman"/>
          <w:sz w:val="32"/>
        </w:rPr>
        <w:t>按照</w:t>
      </w:r>
      <w:r>
        <w:rPr>
          <w:rFonts w:hint="eastAsia" w:ascii="Times New Roman"/>
          <w:sz w:val="32"/>
        </w:rPr>
        <w:t>自治区、伊犁州</w:t>
      </w:r>
      <w:r>
        <w:rPr>
          <w:rFonts w:ascii="Times New Roman"/>
          <w:sz w:val="32"/>
        </w:rPr>
        <w:t>的要求，全面规范矿产资源开发利用管理秩序，切实提高矿产资源开发利用水平。2021-2025年间，预期年净增砂石粘土类矿产资源采矿权数不超过2个。</w:t>
      </w:r>
    </w:p>
    <w:p>
      <w:pPr>
        <w:spacing w:line="560" w:lineRule="exact"/>
        <w:ind w:firstLine="659" w:firstLineChars="200"/>
        <w:rPr>
          <w:rFonts w:ascii="Times New Roman"/>
          <w:sz w:val="32"/>
        </w:rPr>
      </w:pPr>
      <w:r>
        <w:rPr>
          <w:rFonts w:hint="eastAsia" w:ascii="仿宋" w:hAnsi="仿宋"/>
          <w:b/>
          <w:bCs/>
          <w:sz w:val="32"/>
          <w:szCs w:val="32"/>
        </w:rPr>
        <w:t>砂石粘土类准入条件。</w:t>
      </w:r>
      <w:r>
        <w:rPr>
          <w:rFonts w:hint="eastAsia" w:ascii="仿宋" w:hAnsi="仿宋"/>
          <w:sz w:val="32"/>
          <w:szCs w:val="32"/>
        </w:rPr>
        <w:t>必须符合国家、自治区产业政策，符合县（市）级矿产资源总体规划和其他相关规定要求。具备法律、法规规定的与其从事矿业活动相适应的资金、技术、装备等资质条件。新建矿山企业开采规模不低于本规划确定的矿山开采最低规模，矿山开采规模必须与占有的矿产资源储量相适应。要有符合规定的矿产资源开发利用方案，要有经过批准的环境影响评价报告，地质环境保护与治理恢复方案报告。可耕地用砖瓦用粘土矿为限制开采的矿种，</w:t>
      </w:r>
      <w:r>
        <w:rPr>
          <w:rFonts w:hint="eastAsia" w:ascii="Times New Roman"/>
          <w:sz w:val="32"/>
        </w:rPr>
        <w:t>对矿山活动造成的环境污染和破坏，有能力进行治理和恢复。采矿权必须通过市场方式有偿取得。新设采矿权应符合文物、环保、林草、水利、交通等相关部门管理要求。</w:t>
      </w:r>
    </w:p>
    <w:p>
      <w:pPr>
        <w:spacing w:line="560" w:lineRule="exact"/>
        <w:ind w:firstLine="659" w:firstLineChars="200"/>
        <w:rPr>
          <w:rFonts w:ascii="Times New Roman"/>
          <w:sz w:val="32"/>
        </w:rPr>
      </w:pPr>
      <w:r>
        <w:rPr>
          <w:rFonts w:ascii="Times New Roman"/>
          <w:b/>
          <w:sz w:val="32"/>
        </w:rPr>
        <w:t>砂石粘土类最低开采规模。</w:t>
      </w:r>
      <w:r>
        <w:rPr>
          <w:rFonts w:hint="eastAsia" w:ascii="Times New Roman"/>
          <w:sz w:val="32"/>
        </w:rPr>
        <w:t>按伊犁州要求砂石料矿最低生产规模1</w:t>
      </w:r>
      <w:r>
        <w:rPr>
          <w:rFonts w:ascii="Times New Roman"/>
          <w:sz w:val="32"/>
        </w:rPr>
        <w:t>5万立方米/年</w:t>
      </w:r>
      <w:r>
        <w:rPr>
          <w:rFonts w:hint="eastAsia" w:ascii="Times New Roman"/>
          <w:sz w:val="32"/>
        </w:rPr>
        <w:t>，砖瓦用粘土矿10万立方米/年，</w:t>
      </w:r>
      <w:r>
        <w:rPr>
          <w:rFonts w:ascii="Times New Roman"/>
          <w:sz w:val="32"/>
        </w:rPr>
        <w:t>开采回采率95%</w:t>
      </w:r>
      <w:r>
        <w:rPr>
          <w:rFonts w:hint="eastAsia" w:ascii="Times New Roman"/>
          <w:sz w:val="32"/>
        </w:rPr>
        <w:t>，</w:t>
      </w:r>
      <w:r>
        <w:rPr>
          <w:rFonts w:ascii="Times New Roman"/>
          <w:sz w:val="32"/>
        </w:rPr>
        <w:t>指标应达到规定要求。</w:t>
      </w:r>
    </w:p>
    <w:p>
      <w:pPr>
        <w:pStyle w:val="2"/>
        <w:spacing w:beforeLines="0" w:afterLines="0" w:line="560" w:lineRule="exact"/>
        <w:jc w:val="both"/>
        <w:rPr>
          <w:rFonts w:ascii="Times New Roman"/>
          <w:sz w:val="36"/>
          <w:szCs w:val="36"/>
        </w:rPr>
      </w:pPr>
      <w:bookmarkStart w:id="32" w:name="_Toc109827050"/>
      <w:r>
        <w:rPr>
          <w:rFonts w:ascii="黑体" w:hAnsi="黑体" w:eastAsia="黑体"/>
          <w:b w:val="0"/>
          <w:sz w:val="36"/>
          <w:szCs w:val="36"/>
        </w:rPr>
        <w:t>四、加强矿产资源勘查开发利用与保护</w:t>
      </w:r>
      <w:bookmarkEnd w:id="28"/>
      <w:bookmarkEnd w:id="29"/>
      <w:bookmarkEnd w:id="30"/>
      <w:bookmarkEnd w:id="31"/>
      <w:bookmarkEnd w:id="32"/>
    </w:p>
    <w:p>
      <w:pPr>
        <w:pStyle w:val="3"/>
        <w:spacing w:beforeLines="0" w:afterLines="0"/>
        <w:jc w:val="left"/>
        <w:rPr>
          <w:rFonts w:ascii="楷体" w:hAnsi="楷体" w:eastAsia="楷体"/>
          <w:sz w:val="32"/>
          <w:szCs w:val="32"/>
        </w:rPr>
      </w:pPr>
      <w:bookmarkStart w:id="33" w:name="_Toc90501708"/>
      <w:bookmarkStart w:id="34" w:name="_Toc89241210"/>
      <w:bookmarkStart w:id="35" w:name="_Toc92570647"/>
      <w:bookmarkStart w:id="36" w:name="_Toc81992880"/>
      <w:bookmarkStart w:id="37" w:name="_Toc109827051"/>
      <w:r>
        <w:rPr>
          <w:rFonts w:ascii="楷体" w:hAnsi="楷体" w:eastAsia="楷体"/>
          <w:sz w:val="32"/>
          <w:szCs w:val="32"/>
        </w:rPr>
        <w:t>（一）合理确定开发强度</w:t>
      </w:r>
      <w:bookmarkEnd w:id="33"/>
      <w:bookmarkEnd w:id="34"/>
      <w:bookmarkEnd w:id="35"/>
      <w:bookmarkEnd w:id="36"/>
      <w:bookmarkEnd w:id="37"/>
    </w:p>
    <w:p>
      <w:pPr>
        <w:spacing w:line="560" w:lineRule="exact"/>
        <w:ind w:firstLine="659" w:firstLineChars="200"/>
        <w:rPr>
          <w:rFonts w:ascii="Times New Roman"/>
          <w:sz w:val="32"/>
          <w:szCs w:val="32"/>
        </w:rPr>
      </w:pPr>
      <w:bookmarkStart w:id="38" w:name="_Toc3849"/>
      <w:r>
        <w:rPr>
          <w:rFonts w:ascii="Times New Roman"/>
          <w:b/>
          <w:bCs/>
          <w:sz w:val="32"/>
          <w:szCs w:val="32"/>
        </w:rPr>
        <w:t>合理调控矿产资源开发利用总量</w:t>
      </w:r>
      <w:bookmarkEnd w:id="38"/>
      <w:r>
        <w:rPr>
          <w:rFonts w:ascii="Times New Roman"/>
          <w:b/>
          <w:bCs/>
          <w:sz w:val="32"/>
          <w:szCs w:val="32"/>
        </w:rPr>
        <w:t>。</w:t>
      </w:r>
      <w:r>
        <w:rPr>
          <w:rFonts w:ascii="Times New Roman"/>
          <w:sz w:val="32"/>
          <w:szCs w:val="32"/>
        </w:rPr>
        <w:t>坚持矿产资源开采总量与经济社会发展需求相适应。鼓励开采国内、区内紧缺和市场需求量较大的矿产，限制开采供过于求和严重破坏生态环境的矿产，对优势矿产出口实行限产保值。保持煤炭、特色非金属等矿产储量稳中有增。鼓励开发清洁能源，助力“碳达峰、碳中和”目标实现。推断在“十四五”期间，对砂石粘土类矿产资源及其他建材类非金属矿的需求量仍然较大。</w:t>
      </w:r>
    </w:p>
    <w:p>
      <w:pPr>
        <w:spacing w:line="560" w:lineRule="exact"/>
        <w:ind w:firstLine="659" w:firstLineChars="200"/>
        <w:rPr>
          <w:rFonts w:ascii="Times New Roman"/>
          <w:sz w:val="32"/>
          <w:szCs w:val="32"/>
        </w:rPr>
      </w:pPr>
      <w:bookmarkStart w:id="39" w:name="_Toc23333"/>
      <w:r>
        <w:rPr>
          <w:rFonts w:ascii="Times New Roman"/>
          <w:b/>
          <w:bCs/>
          <w:sz w:val="32"/>
          <w:szCs w:val="32"/>
        </w:rPr>
        <w:t>合理确定矿山数量</w:t>
      </w:r>
      <w:bookmarkEnd w:id="39"/>
      <w:r>
        <w:rPr>
          <w:rFonts w:ascii="Times New Roman"/>
          <w:b/>
          <w:bCs/>
          <w:sz w:val="32"/>
          <w:szCs w:val="32"/>
        </w:rPr>
        <w:t>。</w:t>
      </w:r>
      <w:r>
        <w:rPr>
          <w:rFonts w:hint="eastAsia" w:ascii="Times New Roman"/>
          <w:sz w:val="32"/>
          <w:szCs w:val="32"/>
        </w:rPr>
        <w:t>截至</w:t>
      </w:r>
      <w:r>
        <w:rPr>
          <w:rFonts w:ascii="Times New Roman"/>
          <w:sz w:val="32"/>
          <w:szCs w:val="32"/>
        </w:rPr>
        <w:t>2020年</w:t>
      </w:r>
      <w:r>
        <w:rPr>
          <w:rFonts w:hint="eastAsia" w:ascii="Times New Roman"/>
          <w:sz w:val="32"/>
          <w:szCs w:val="32"/>
        </w:rPr>
        <w:t>底，伊宁市</w:t>
      </w:r>
      <w:r>
        <w:rPr>
          <w:rFonts w:ascii="Times New Roman"/>
          <w:sz w:val="32"/>
          <w:szCs w:val="32"/>
        </w:rPr>
        <w:t>矿山总数为</w:t>
      </w:r>
      <w:r>
        <w:rPr>
          <w:rFonts w:hint="eastAsia" w:ascii="Times New Roman"/>
          <w:sz w:val="32"/>
          <w:szCs w:val="32"/>
        </w:rPr>
        <w:t>15</w:t>
      </w:r>
      <w:r>
        <w:rPr>
          <w:rFonts w:ascii="Times New Roman"/>
          <w:sz w:val="32"/>
          <w:szCs w:val="32"/>
        </w:rPr>
        <w:t>个，规划期内应通过资源整合、兼并重组</w:t>
      </w:r>
      <w:r>
        <w:rPr>
          <w:rFonts w:hint="eastAsia" w:ascii="Times New Roman"/>
          <w:sz w:val="32"/>
          <w:szCs w:val="32"/>
        </w:rPr>
        <w:t>、技改</w:t>
      </w:r>
      <w:r>
        <w:rPr>
          <w:rFonts w:ascii="Times New Roman"/>
          <w:sz w:val="32"/>
          <w:szCs w:val="32"/>
        </w:rPr>
        <w:t>等措施，推动矿山扩大规模、延伸产业链，提高综合利用水平和规模效益，</w:t>
      </w:r>
      <w:r>
        <w:rPr>
          <w:rFonts w:hint="eastAsia" w:ascii="Times New Roman"/>
          <w:sz w:val="32"/>
          <w:szCs w:val="32"/>
        </w:rPr>
        <w:t>同时推进大中型矿山的投放，</w:t>
      </w:r>
      <w:r>
        <w:rPr>
          <w:rFonts w:ascii="Times New Roman"/>
          <w:sz w:val="32"/>
          <w:szCs w:val="32"/>
        </w:rPr>
        <w:t>力争到2025年全区大中型矿山的比例达</w:t>
      </w:r>
      <w:r>
        <w:rPr>
          <w:rFonts w:hint="eastAsia" w:ascii="Times New Roman"/>
          <w:sz w:val="32"/>
          <w:szCs w:val="32"/>
        </w:rPr>
        <w:t>45</w:t>
      </w:r>
      <w:r>
        <w:rPr>
          <w:rFonts w:ascii="Times New Roman"/>
          <w:sz w:val="32"/>
          <w:szCs w:val="32"/>
        </w:rPr>
        <w:t>%以上。</w:t>
      </w:r>
    </w:p>
    <w:p>
      <w:pPr>
        <w:pStyle w:val="3"/>
        <w:spacing w:beforeLines="0" w:afterLines="0"/>
        <w:jc w:val="left"/>
        <w:rPr>
          <w:rFonts w:ascii="Times New Roman" w:hAnsi="Times New Roman"/>
          <w:szCs w:val="32"/>
        </w:rPr>
      </w:pPr>
      <w:bookmarkStart w:id="40" w:name="_Toc81992881"/>
      <w:bookmarkStart w:id="41" w:name="_Toc92570648"/>
      <w:bookmarkStart w:id="42" w:name="_Toc90501709"/>
      <w:bookmarkStart w:id="43" w:name="_Toc87903987"/>
      <w:bookmarkStart w:id="44" w:name="_Toc109827052"/>
      <w:bookmarkStart w:id="45" w:name="_Toc89241211"/>
      <w:bookmarkStart w:id="46" w:name="_Toc89241212"/>
      <w:bookmarkStart w:id="47" w:name="_Toc87903988"/>
      <w:bookmarkStart w:id="48" w:name="_Toc81992882"/>
      <w:bookmarkStart w:id="49" w:name="_Toc109827053"/>
      <w:bookmarkStart w:id="50" w:name="_Toc92570649"/>
      <w:bookmarkStart w:id="51" w:name="_Toc90501710"/>
      <w:r>
        <w:rPr>
          <w:rFonts w:hint="eastAsia" w:ascii="楷体" w:hAnsi="楷体" w:eastAsia="楷体"/>
          <w:sz w:val="32"/>
          <w:szCs w:val="32"/>
        </w:rPr>
        <w:t>（二）</w:t>
      </w:r>
      <w:r>
        <w:rPr>
          <w:rFonts w:ascii="楷体" w:hAnsi="楷体" w:eastAsia="楷体"/>
          <w:sz w:val="32"/>
          <w:szCs w:val="32"/>
        </w:rPr>
        <w:t>优化开发利用结构</w:t>
      </w:r>
      <w:bookmarkEnd w:id="40"/>
      <w:bookmarkEnd w:id="41"/>
      <w:bookmarkEnd w:id="42"/>
      <w:bookmarkEnd w:id="43"/>
      <w:bookmarkEnd w:id="44"/>
      <w:bookmarkEnd w:id="45"/>
    </w:p>
    <w:p>
      <w:pPr>
        <w:spacing w:line="560" w:lineRule="exact"/>
        <w:ind w:firstLine="659" w:firstLineChars="200"/>
        <w:rPr>
          <w:rFonts w:ascii="Times New Roman"/>
          <w:sz w:val="32"/>
          <w:szCs w:val="32"/>
        </w:rPr>
      </w:pPr>
      <w:r>
        <w:rPr>
          <w:rFonts w:ascii="Times New Roman"/>
          <w:b/>
          <w:bCs/>
          <w:sz w:val="32"/>
          <w:szCs w:val="32"/>
        </w:rPr>
        <w:t>主要矿种最低开采规模标准。</w:t>
      </w:r>
      <w:r>
        <w:rPr>
          <w:rFonts w:ascii="Times New Roman"/>
          <w:sz w:val="32"/>
          <w:szCs w:val="32"/>
        </w:rPr>
        <w:t>根据地质勘查程度、资源禀赋条件、开发利用水平和经济社会发展现状，制定有差异的开采规模和标准。矿山最低开采经济规模按矿山企业占有资源储量或矿区资源储量的多少分大、中、小型矿山，分别限定最低矿山开采规模。对已取得采矿证而开采规模又与矿区储量规模显著不协调，</w:t>
      </w:r>
      <w:r>
        <w:rPr>
          <w:rFonts w:hint="eastAsia" w:ascii="Times New Roman"/>
          <w:sz w:val="32"/>
          <w:szCs w:val="32"/>
          <w:lang w:eastAsia="zh-CN"/>
        </w:rPr>
        <w:t>既</w:t>
      </w:r>
      <w:r>
        <w:rPr>
          <w:rFonts w:ascii="Times New Roman"/>
          <w:sz w:val="32"/>
          <w:szCs w:val="32"/>
        </w:rPr>
        <w:t>达不到本规划限定的最低经济开采规模的矿山，要限期整改、联合，走规模化、集约化之路。为充分合理利用现有资源，坚持矿山开采规模与储量规模相匹配，严禁大矿小开、一矿多开，破坏和浪费矿产资源。</w:t>
      </w:r>
      <w:r>
        <w:rPr>
          <w:rFonts w:hint="eastAsia" w:ascii="Times New Roman"/>
          <w:sz w:val="32"/>
          <w:szCs w:val="32"/>
        </w:rPr>
        <w:t>（专栏12）</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Layout w:type="fixed"/>
        <w:tblCellMar>
          <w:top w:w="0" w:type="dxa"/>
          <w:left w:w="108" w:type="dxa"/>
          <w:bottom w:w="0" w:type="dxa"/>
          <w:right w:w="108" w:type="dxa"/>
        </w:tblCellMar>
      </w:tblPr>
      <w:tblGrid>
        <w:gridCol w:w="2360"/>
        <w:gridCol w:w="1255"/>
        <w:gridCol w:w="1431"/>
        <w:gridCol w:w="1025"/>
        <w:gridCol w:w="1064"/>
        <w:gridCol w:w="104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CellMar>
            <w:top w:w="0" w:type="dxa"/>
            <w:left w:w="108" w:type="dxa"/>
            <w:bottom w:w="0" w:type="dxa"/>
            <w:right w:w="108" w:type="dxa"/>
          </w:tblCellMar>
        </w:tblPrEx>
        <w:trPr>
          <w:trHeight w:val="159" w:hRule="atLeast"/>
          <w:tblHeader/>
          <w:jc w:val="center"/>
        </w:trPr>
        <w:tc>
          <w:tcPr>
            <w:tcW w:w="5000" w:type="pct"/>
            <w:gridSpan w:val="7"/>
            <w:shd w:val="clear" w:color="auto" w:fill="E7E6E6" w:themeFill="background2"/>
          </w:tcPr>
          <w:p>
            <w:pPr>
              <w:widowControl/>
              <w:adjustRightInd/>
              <w:snapToGrid/>
              <w:jc w:val="left"/>
              <w:rPr>
                <w:rFonts w:ascii="Times New Roman"/>
                <w:snapToGrid/>
                <w:spacing w:val="0"/>
                <w:sz w:val="24"/>
              </w:rPr>
            </w:pPr>
            <w:bookmarkStart w:id="52" w:name="_Toc14280"/>
            <w:r>
              <w:rPr>
                <w:rFonts w:ascii="Times New Roman"/>
                <w:b/>
                <w:bCs/>
                <w:color w:val="000000"/>
                <w:sz w:val="24"/>
              </w:rPr>
              <w:t>专栏</w:t>
            </w:r>
            <w:r>
              <w:rPr>
                <w:rFonts w:hint="eastAsia" w:ascii="Times New Roman"/>
                <w:b/>
                <w:bCs/>
                <w:color w:val="000000"/>
                <w:sz w:val="24"/>
              </w:rPr>
              <w:t>12                               伊宁市</w:t>
            </w:r>
            <w:r>
              <w:rPr>
                <w:rFonts w:ascii="Times New Roman"/>
                <w:b/>
                <w:bCs/>
                <w:color w:val="000000"/>
                <w:sz w:val="24"/>
              </w:rPr>
              <w:t>主要矿种最低开采规模设计标准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blHeader/>
          <w:jc w:val="center"/>
        </w:trPr>
        <w:tc>
          <w:tcPr>
            <w:tcW w:w="1280" w:type="pct"/>
            <w:shd w:val="clear" w:color="auto" w:fill="FFFFFF"/>
            <w:noWrap/>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矿产名称</w:t>
            </w:r>
          </w:p>
        </w:tc>
        <w:tc>
          <w:tcPr>
            <w:tcW w:w="681" w:type="pct"/>
            <w:shd w:val="clear" w:color="auto" w:fill="FFFFFF"/>
            <w:noWrap/>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单位/年</w:t>
            </w:r>
          </w:p>
        </w:tc>
        <w:tc>
          <w:tcPr>
            <w:tcW w:w="776" w:type="pct"/>
            <w:shd w:val="clear" w:color="auto" w:fill="FFFFFF"/>
            <w:noWrap/>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大型</w:t>
            </w:r>
          </w:p>
        </w:tc>
        <w:tc>
          <w:tcPr>
            <w:tcW w:w="556" w:type="pct"/>
            <w:shd w:val="clear" w:color="auto" w:fill="FFFFFF"/>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中型</w:t>
            </w:r>
          </w:p>
        </w:tc>
        <w:tc>
          <w:tcPr>
            <w:tcW w:w="577" w:type="pct"/>
            <w:shd w:val="clear" w:color="auto" w:fill="FFFFFF"/>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小型</w:t>
            </w:r>
          </w:p>
        </w:tc>
        <w:tc>
          <w:tcPr>
            <w:tcW w:w="564" w:type="pct"/>
            <w:shd w:val="clear" w:color="auto" w:fill="FFFFFF"/>
          </w:tcPr>
          <w:p>
            <w:pPr>
              <w:widowControl/>
              <w:adjustRightInd/>
              <w:snapToGrid/>
              <w:spacing w:line="240" w:lineRule="auto"/>
              <w:jc w:val="center"/>
              <w:rPr>
                <w:rFonts w:ascii="Times New Roman"/>
                <w:snapToGrid/>
                <w:spacing w:val="0"/>
                <w:sz w:val="21"/>
                <w:szCs w:val="21"/>
              </w:rPr>
            </w:pPr>
            <w:r>
              <w:rPr>
                <w:rFonts w:hint="eastAsia" w:ascii="Times New Roman"/>
                <w:snapToGrid/>
                <w:spacing w:val="0"/>
                <w:sz w:val="21"/>
                <w:szCs w:val="21"/>
              </w:rPr>
              <w:t>最低服务年限</w:t>
            </w:r>
          </w:p>
        </w:tc>
        <w:tc>
          <w:tcPr>
            <w:tcW w:w="566" w:type="pct"/>
            <w:shd w:val="clear" w:color="auto" w:fill="FFFFFF"/>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280" w:type="pct"/>
            <w:vMerge w:val="restart"/>
            <w:shd w:val="clear" w:color="auto" w:fill="FFFFFF"/>
            <w:noWrap/>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煤（地下开采/露天开采）</w:t>
            </w:r>
          </w:p>
        </w:tc>
        <w:tc>
          <w:tcPr>
            <w:tcW w:w="681" w:type="pct"/>
            <w:vMerge w:val="restart"/>
            <w:shd w:val="clear" w:color="auto" w:fill="FFFFFF"/>
            <w:noWrap/>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原煤万吨</w:t>
            </w:r>
          </w:p>
        </w:tc>
        <w:tc>
          <w:tcPr>
            <w:tcW w:w="77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120/400</w:t>
            </w:r>
          </w:p>
        </w:tc>
        <w:tc>
          <w:tcPr>
            <w:tcW w:w="55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w:t>
            </w:r>
          </w:p>
        </w:tc>
        <w:tc>
          <w:tcPr>
            <w:tcW w:w="577"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w:t>
            </w:r>
          </w:p>
        </w:tc>
        <w:tc>
          <w:tcPr>
            <w:tcW w:w="564" w:type="pct"/>
            <w:shd w:val="clear" w:color="auto" w:fill="FFFFFF"/>
          </w:tcPr>
          <w:p>
            <w:pPr>
              <w:widowControl/>
              <w:adjustRightInd/>
              <w:snapToGrid/>
              <w:jc w:val="center"/>
              <w:rPr>
                <w:rFonts w:ascii="Times New Roman"/>
                <w:snapToGrid/>
                <w:spacing w:val="0"/>
                <w:sz w:val="21"/>
                <w:szCs w:val="21"/>
              </w:rPr>
            </w:pPr>
          </w:p>
        </w:tc>
        <w:tc>
          <w:tcPr>
            <w:tcW w:w="56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80" w:type="pct"/>
            <w:vMerge w:val="continue"/>
            <w:shd w:val="clear" w:color="auto" w:fill="FFFFFF"/>
            <w:noWrap/>
            <w:vAlign w:val="center"/>
          </w:tcPr>
          <w:p>
            <w:pPr>
              <w:widowControl/>
              <w:adjustRightInd/>
              <w:snapToGrid/>
              <w:jc w:val="center"/>
              <w:rPr>
                <w:rFonts w:ascii="Times New Roman"/>
                <w:snapToGrid/>
                <w:spacing w:val="0"/>
                <w:sz w:val="21"/>
                <w:szCs w:val="21"/>
              </w:rPr>
            </w:pPr>
          </w:p>
        </w:tc>
        <w:tc>
          <w:tcPr>
            <w:tcW w:w="681" w:type="pct"/>
            <w:vMerge w:val="continue"/>
            <w:shd w:val="clear" w:color="auto" w:fill="FFFFFF"/>
            <w:noWrap/>
            <w:vAlign w:val="center"/>
          </w:tcPr>
          <w:p>
            <w:pPr>
              <w:widowControl/>
              <w:adjustRightInd/>
              <w:snapToGrid/>
              <w:jc w:val="center"/>
              <w:rPr>
                <w:rFonts w:ascii="Times New Roman"/>
                <w:snapToGrid/>
                <w:spacing w:val="0"/>
                <w:sz w:val="21"/>
                <w:szCs w:val="21"/>
              </w:rPr>
            </w:pPr>
          </w:p>
        </w:tc>
        <w:tc>
          <w:tcPr>
            <w:tcW w:w="77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120/400</w:t>
            </w:r>
          </w:p>
        </w:tc>
        <w:tc>
          <w:tcPr>
            <w:tcW w:w="55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45/100</w:t>
            </w:r>
          </w:p>
        </w:tc>
        <w:tc>
          <w:tcPr>
            <w:tcW w:w="577"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30/100</w:t>
            </w:r>
          </w:p>
        </w:tc>
        <w:tc>
          <w:tcPr>
            <w:tcW w:w="564" w:type="pct"/>
            <w:shd w:val="clear" w:color="auto" w:fill="FFFFFF"/>
          </w:tcPr>
          <w:p>
            <w:pPr>
              <w:widowControl/>
              <w:adjustRightInd/>
              <w:snapToGrid/>
              <w:jc w:val="center"/>
              <w:rPr>
                <w:rFonts w:ascii="Times New Roman"/>
                <w:snapToGrid/>
                <w:spacing w:val="0"/>
                <w:sz w:val="21"/>
                <w:szCs w:val="21"/>
              </w:rPr>
            </w:pPr>
          </w:p>
        </w:tc>
        <w:tc>
          <w:tcPr>
            <w:tcW w:w="56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改扩建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80" w:type="pct"/>
            <w:shd w:val="clear" w:color="auto" w:fill="FFFFFF"/>
            <w:noWrap/>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砖瓦用粘土</w:t>
            </w:r>
          </w:p>
        </w:tc>
        <w:tc>
          <w:tcPr>
            <w:tcW w:w="681" w:type="pct"/>
            <w:shd w:val="clear" w:color="auto" w:fill="FFFFFF"/>
            <w:noWrap/>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万立方米</w:t>
            </w:r>
          </w:p>
        </w:tc>
        <w:tc>
          <w:tcPr>
            <w:tcW w:w="776" w:type="pct"/>
            <w:shd w:val="clear" w:color="auto" w:fill="FFFFFF"/>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30</w:t>
            </w:r>
          </w:p>
        </w:tc>
        <w:tc>
          <w:tcPr>
            <w:tcW w:w="55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13</w:t>
            </w:r>
          </w:p>
        </w:tc>
        <w:tc>
          <w:tcPr>
            <w:tcW w:w="577"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10</w:t>
            </w:r>
          </w:p>
        </w:tc>
        <w:tc>
          <w:tcPr>
            <w:tcW w:w="564" w:type="pct"/>
            <w:shd w:val="clear" w:color="auto" w:fill="FFFFFF"/>
          </w:tcPr>
          <w:p>
            <w:pPr>
              <w:widowControl/>
              <w:adjustRightInd/>
              <w:snapToGrid/>
              <w:jc w:val="center"/>
              <w:rPr>
                <w:rFonts w:ascii="Times New Roman"/>
                <w:snapToGrid/>
                <w:spacing w:val="0"/>
                <w:sz w:val="21"/>
                <w:szCs w:val="21"/>
              </w:rPr>
            </w:pPr>
            <w:r>
              <w:rPr>
                <w:rFonts w:hint="eastAsia" w:ascii="Times New Roman"/>
                <w:snapToGrid/>
                <w:spacing w:val="0"/>
                <w:sz w:val="21"/>
                <w:szCs w:val="21"/>
              </w:rPr>
              <w:t>1</w:t>
            </w:r>
            <w:r>
              <w:rPr>
                <w:rFonts w:ascii="Times New Roman"/>
                <w:snapToGrid/>
                <w:spacing w:val="0"/>
                <w:sz w:val="21"/>
                <w:szCs w:val="21"/>
              </w:rPr>
              <w:t>0</w:t>
            </w:r>
            <w:r>
              <w:rPr>
                <w:rFonts w:hint="eastAsia" w:ascii="Times New Roman"/>
                <w:snapToGrid/>
                <w:spacing w:val="0"/>
                <w:sz w:val="21"/>
                <w:szCs w:val="21"/>
              </w:rPr>
              <w:t>年</w:t>
            </w:r>
          </w:p>
        </w:tc>
        <w:tc>
          <w:tcPr>
            <w:tcW w:w="566" w:type="pct"/>
            <w:shd w:val="clear" w:color="auto" w:fill="FFFFFF"/>
            <w:vAlign w:val="center"/>
          </w:tcPr>
          <w:p>
            <w:pPr>
              <w:widowControl/>
              <w:adjustRightInd/>
              <w:snapToGrid/>
              <w:jc w:val="center"/>
              <w:rPr>
                <w:rFonts w:ascii="Times New Roman"/>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80" w:type="pct"/>
            <w:shd w:val="clear" w:color="auto" w:fill="FFFFFF"/>
            <w:noWrap/>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建筑用砂</w:t>
            </w:r>
          </w:p>
        </w:tc>
        <w:tc>
          <w:tcPr>
            <w:tcW w:w="681" w:type="pct"/>
            <w:shd w:val="clear" w:color="auto" w:fill="FFFFFF"/>
            <w:noWrap/>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万立方米</w:t>
            </w:r>
          </w:p>
        </w:tc>
        <w:tc>
          <w:tcPr>
            <w:tcW w:w="776" w:type="pct"/>
            <w:shd w:val="clear" w:color="auto" w:fill="FFFFFF"/>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30</w:t>
            </w:r>
          </w:p>
        </w:tc>
        <w:tc>
          <w:tcPr>
            <w:tcW w:w="55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15</w:t>
            </w:r>
          </w:p>
        </w:tc>
        <w:tc>
          <w:tcPr>
            <w:tcW w:w="577" w:type="pct"/>
            <w:shd w:val="clear" w:color="auto" w:fill="FFFFFF"/>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w:t>
            </w:r>
          </w:p>
        </w:tc>
        <w:tc>
          <w:tcPr>
            <w:tcW w:w="564" w:type="pct"/>
            <w:shd w:val="clear" w:color="auto" w:fill="FFFFFF"/>
          </w:tcPr>
          <w:p>
            <w:pPr>
              <w:widowControl/>
              <w:adjustRightInd/>
              <w:snapToGrid/>
              <w:jc w:val="center"/>
              <w:rPr>
                <w:rFonts w:ascii="Times New Roman"/>
                <w:snapToGrid/>
                <w:spacing w:val="0"/>
                <w:sz w:val="21"/>
                <w:szCs w:val="21"/>
              </w:rPr>
            </w:pPr>
            <w:r>
              <w:rPr>
                <w:rFonts w:hint="eastAsia" w:ascii="Times New Roman"/>
                <w:snapToGrid/>
                <w:spacing w:val="0"/>
                <w:sz w:val="21"/>
                <w:szCs w:val="21"/>
              </w:rPr>
              <w:t>1</w:t>
            </w:r>
            <w:r>
              <w:rPr>
                <w:rFonts w:ascii="Times New Roman"/>
                <w:snapToGrid/>
                <w:spacing w:val="0"/>
                <w:sz w:val="21"/>
                <w:szCs w:val="21"/>
              </w:rPr>
              <w:t>0</w:t>
            </w:r>
            <w:r>
              <w:rPr>
                <w:rFonts w:hint="eastAsia" w:ascii="Times New Roman"/>
                <w:snapToGrid/>
                <w:spacing w:val="0"/>
                <w:sz w:val="21"/>
                <w:szCs w:val="21"/>
              </w:rPr>
              <w:t>年</w:t>
            </w:r>
          </w:p>
        </w:tc>
        <w:tc>
          <w:tcPr>
            <w:tcW w:w="566" w:type="pct"/>
            <w:shd w:val="clear" w:color="auto" w:fill="FFFFFF"/>
            <w:vAlign w:val="center"/>
          </w:tcPr>
          <w:p>
            <w:pPr>
              <w:widowControl/>
              <w:adjustRightInd/>
              <w:snapToGrid/>
              <w:jc w:val="center"/>
              <w:rPr>
                <w:rFonts w:ascii="Times New Roman"/>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280" w:type="pct"/>
            <w:shd w:val="clear" w:color="auto" w:fill="FFFFFF"/>
            <w:noWrap/>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砖瓦用页岩</w:t>
            </w:r>
          </w:p>
        </w:tc>
        <w:tc>
          <w:tcPr>
            <w:tcW w:w="681" w:type="pct"/>
            <w:shd w:val="clear" w:color="auto" w:fill="FFFFFF"/>
            <w:noWrap/>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万吨</w:t>
            </w:r>
          </w:p>
        </w:tc>
        <w:tc>
          <w:tcPr>
            <w:tcW w:w="77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30</w:t>
            </w:r>
          </w:p>
        </w:tc>
        <w:tc>
          <w:tcPr>
            <w:tcW w:w="55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13</w:t>
            </w:r>
          </w:p>
        </w:tc>
        <w:tc>
          <w:tcPr>
            <w:tcW w:w="577"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10</w:t>
            </w:r>
          </w:p>
        </w:tc>
        <w:tc>
          <w:tcPr>
            <w:tcW w:w="564" w:type="pct"/>
            <w:shd w:val="clear" w:color="auto" w:fill="FFFFFF"/>
          </w:tcPr>
          <w:p>
            <w:pPr>
              <w:widowControl/>
              <w:adjustRightInd/>
              <w:snapToGrid/>
              <w:jc w:val="center"/>
              <w:rPr>
                <w:rFonts w:ascii="Times New Roman"/>
                <w:snapToGrid/>
                <w:spacing w:val="0"/>
                <w:sz w:val="21"/>
                <w:szCs w:val="21"/>
              </w:rPr>
            </w:pPr>
            <w:r>
              <w:rPr>
                <w:rFonts w:hint="eastAsia" w:ascii="Times New Roman"/>
                <w:snapToGrid/>
                <w:spacing w:val="0"/>
                <w:sz w:val="21"/>
                <w:szCs w:val="21"/>
              </w:rPr>
              <w:t>1</w:t>
            </w:r>
            <w:r>
              <w:rPr>
                <w:rFonts w:ascii="Times New Roman"/>
                <w:snapToGrid/>
                <w:spacing w:val="0"/>
                <w:sz w:val="21"/>
                <w:szCs w:val="21"/>
              </w:rPr>
              <w:t>0</w:t>
            </w:r>
            <w:r>
              <w:rPr>
                <w:rFonts w:hint="eastAsia" w:ascii="Times New Roman"/>
                <w:snapToGrid/>
                <w:spacing w:val="0"/>
                <w:sz w:val="21"/>
                <w:szCs w:val="21"/>
              </w:rPr>
              <w:t>年</w:t>
            </w:r>
          </w:p>
        </w:tc>
        <w:tc>
          <w:tcPr>
            <w:tcW w:w="566" w:type="pct"/>
            <w:shd w:val="clear" w:color="auto" w:fill="FFFFFF"/>
            <w:vAlign w:val="center"/>
          </w:tcPr>
          <w:p>
            <w:pPr>
              <w:widowControl/>
              <w:adjustRightInd/>
              <w:snapToGrid/>
              <w:jc w:val="center"/>
              <w:rPr>
                <w:rFonts w:ascii="Times New Roman"/>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280" w:type="pct"/>
            <w:shd w:val="clear" w:color="auto" w:fill="FFFFFF"/>
            <w:noWrap/>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建筑用石料</w:t>
            </w:r>
          </w:p>
        </w:tc>
        <w:tc>
          <w:tcPr>
            <w:tcW w:w="681" w:type="pct"/>
            <w:shd w:val="clear" w:color="auto" w:fill="FFFFFF"/>
            <w:noWrap/>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万立方米</w:t>
            </w:r>
          </w:p>
        </w:tc>
        <w:tc>
          <w:tcPr>
            <w:tcW w:w="776" w:type="pct"/>
            <w:shd w:val="clear" w:color="auto" w:fill="FFFFFF"/>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30</w:t>
            </w:r>
          </w:p>
        </w:tc>
        <w:tc>
          <w:tcPr>
            <w:tcW w:w="556"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15</w:t>
            </w:r>
          </w:p>
        </w:tc>
        <w:tc>
          <w:tcPr>
            <w:tcW w:w="577"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10</w:t>
            </w:r>
          </w:p>
        </w:tc>
        <w:tc>
          <w:tcPr>
            <w:tcW w:w="564" w:type="pct"/>
            <w:shd w:val="clear" w:color="auto" w:fill="FFFFFF"/>
          </w:tcPr>
          <w:p>
            <w:pPr>
              <w:widowControl/>
              <w:adjustRightInd/>
              <w:snapToGrid/>
              <w:jc w:val="center"/>
              <w:rPr>
                <w:rFonts w:ascii="Times New Roman"/>
                <w:snapToGrid/>
                <w:spacing w:val="0"/>
                <w:sz w:val="21"/>
                <w:szCs w:val="21"/>
              </w:rPr>
            </w:pPr>
            <w:r>
              <w:rPr>
                <w:rFonts w:hint="eastAsia" w:ascii="Times New Roman"/>
                <w:snapToGrid/>
                <w:spacing w:val="0"/>
                <w:sz w:val="21"/>
                <w:szCs w:val="21"/>
              </w:rPr>
              <w:t>1</w:t>
            </w:r>
            <w:r>
              <w:rPr>
                <w:rFonts w:ascii="Times New Roman"/>
                <w:snapToGrid/>
                <w:spacing w:val="0"/>
                <w:sz w:val="21"/>
                <w:szCs w:val="21"/>
              </w:rPr>
              <w:t>0</w:t>
            </w:r>
            <w:r>
              <w:rPr>
                <w:rFonts w:hint="eastAsia" w:ascii="Times New Roman"/>
                <w:snapToGrid/>
                <w:spacing w:val="0"/>
                <w:sz w:val="21"/>
                <w:szCs w:val="21"/>
              </w:rPr>
              <w:t>年</w:t>
            </w:r>
          </w:p>
        </w:tc>
        <w:tc>
          <w:tcPr>
            <w:tcW w:w="566" w:type="pct"/>
            <w:shd w:val="clear" w:color="auto" w:fill="FFFFFF"/>
            <w:vAlign w:val="center"/>
          </w:tcPr>
          <w:p>
            <w:pPr>
              <w:widowControl/>
              <w:adjustRightInd/>
              <w:snapToGrid/>
              <w:jc w:val="center"/>
              <w:rPr>
                <w:rFonts w:ascii="Times New Roman"/>
                <w:snapToGrid/>
                <w:spacing w:val="0"/>
                <w:sz w:val="21"/>
                <w:szCs w:val="21"/>
              </w:rPr>
            </w:pPr>
          </w:p>
        </w:tc>
      </w:tr>
    </w:tbl>
    <w:p>
      <w:pPr>
        <w:spacing w:line="560" w:lineRule="exact"/>
        <w:ind w:firstLine="659" w:firstLineChars="200"/>
        <w:rPr>
          <w:rFonts w:ascii="Times New Roman"/>
          <w:sz w:val="32"/>
          <w:szCs w:val="32"/>
        </w:rPr>
      </w:pPr>
      <w:r>
        <w:rPr>
          <w:rFonts w:ascii="Times New Roman"/>
          <w:b/>
          <w:bCs/>
          <w:sz w:val="32"/>
          <w:szCs w:val="32"/>
        </w:rPr>
        <w:t>加强矿山固体废弃物和废水的综合利用。</w:t>
      </w:r>
      <w:r>
        <w:rPr>
          <w:rFonts w:ascii="Times New Roman"/>
          <w:sz w:val="32"/>
          <w:szCs w:val="32"/>
        </w:rPr>
        <w:t>推进矿山固体废弃物的减量化、无害化和资源化利用</w:t>
      </w:r>
      <w:r>
        <w:rPr>
          <w:rFonts w:hint="eastAsia" w:ascii="Times New Roman"/>
          <w:sz w:val="32"/>
          <w:szCs w:val="32"/>
        </w:rPr>
        <w:t>，</w:t>
      </w:r>
      <w:r>
        <w:rPr>
          <w:rFonts w:ascii="Times New Roman"/>
          <w:sz w:val="32"/>
          <w:szCs w:val="32"/>
        </w:rPr>
        <w:t>加大回收尾矿中的有价值元素，重点加强对存量大、资源化潜力大的矿山固体废弃物的资源化利用，努力降低资源消耗。</w:t>
      </w:r>
    </w:p>
    <w:p>
      <w:pPr>
        <w:spacing w:line="560" w:lineRule="exact"/>
        <w:ind w:firstLine="659" w:firstLineChars="200"/>
        <w:rPr>
          <w:rFonts w:ascii="Times New Roman"/>
          <w:sz w:val="32"/>
          <w:szCs w:val="32"/>
        </w:rPr>
      </w:pPr>
      <w:r>
        <w:rPr>
          <w:rFonts w:ascii="Times New Roman"/>
          <w:b/>
          <w:bCs/>
          <w:sz w:val="32"/>
          <w:szCs w:val="32"/>
        </w:rPr>
        <w:t>严格执行“三率”指标要求。</w:t>
      </w:r>
      <w:r>
        <w:rPr>
          <w:rFonts w:ascii="Times New Roman"/>
          <w:sz w:val="32"/>
          <w:szCs w:val="32"/>
        </w:rPr>
        <w:t>继续推进重要矿产资源合理开发利用“三率”、采选及综合利用技术现状调查评价，完善</w:t>
      </w:r>
      <w:r>
        <w:rPr>
          <w:rFonts w:hint="eastAsia" w:ascii="Times New Roman"/>
          <w:sz w:val="32"/>
          <w:szCs w:val="32"/>
        </w:rPr>
        <w:t>伊宁市在</w:t>
      </w:r>
      <w:r>
        <w:rPr>
          <w:rFonts w:ascii="Times New Roman"/>
          <w:sz w:val="32"/>
          <w:szCs w:val="32"/>
        </w:rPr>
        <w:t>重要矿产资源开发利用“三率”数据库和矿山开发准入标准。新建或延续矿山必须达到“三率”准入标准。</w:t>
      </w:r>
    </w:p>
    <w:p>
      <w:pPr>
        <w:spacing w:line="560" w:lineRule="exact"/>
        <w:ind w:firstLine="659" w:firstLineChars="200"/>
        <w:rPr>
          <w:rFonts w:ascii="Times New Roman"/>
          <w:sz w:val="32"/>
          <w:szCs w:val="32"/>
        </w:rPr>
      </w:pPr>
      <w:r>
        <w:rPr>
          <w:rFonts w:ascii="Times New Roman"/>
          <w:b/>
          <w:bCs/>
          <w:sz w:val="32"/>
          <w:szCs w:val="32"/>
        </w:rPr>
        <w:t>加强绿色矿业发展。</w:t>
      </w:r>
      <w:r>
        <w:rPr>
          <w:rFonts w:ascii="Times New Roman"/>
          <w:sz w:val="32"/>
          <w:szCs w:val="32"/>
        </w:rPr>
        <w:t>按照“减量化、再利用、资源化”的要求，促进形成有利于节约资源、保护环境的资源开发利用模式，努力提高采、选、冶回采率，逐步形成“低投入、高产出、低消耗、少排放、能循环、可持续”的经济增长方式，促进</w:t>
      </w:r>
      <w:r>
        <w:rPr>
          <w:rFonts w:hint="eastAsia" w:ascii="Times New Roman"/>
          <w:sz w:val="32"/>
          <w:szCs w:val="32"/>
        </w:rPr>
        <w:t>伊宁市</w:t>
      </w:r>
      <w:r>
        <w:rPr>
          <w:rFonts w:ascii="Times New Roman"/>
          <w:sz w:val="32"/>
          <w:szCs w:val="32"/>
        </w:rPr>
        <w:t>矿业步入绿色发展之路。</w:t>
      </w:r>
    </w:p>
    <w:bookmarkEnd w:id="52"/>
    <w:p>
      <w:pPr>
        <w:spacing w:line="560" w:lineRule="exact"/>
        <w:ind w:firstLine="659" w:firstLineChars="200"/>
        <w:rPr>
          <w:rFonts w:ascii="Times New Roman"/>
          <w:sz w:val="32"/>
          <w:szCs w:val="32"/>
        </w:rPr>
      </w:pPr>
      <w:r>
        <w:rPr>
          <w:rFonts w:ascii="Times New Roman"/>
          <w:b/>
          <w:bCs/>
          <w:sz w:val="32"/>
          <w:szCs w:val="32"/>
        </w:rPr>
        <w:t>延长产业链、提高附加值。</w:t>
      </w:r>
      <w:r>
        <w:rPr>
          <w:rFonts w:ascii="Times New Roman"/>
          <w:sz w:val="32"/>
          <w:szCs w:val="32"/>
        </w:rPr>
        <w:t>改善矿产品结构，调整延伸矿产品产业链，实现矿产资源增加附加值</w:t>
      </w:r>
      <w:r>
        <w:rPr>
          <w:rFonts w:hint="eastAsia" w:ascii="Times New Roman"/>
          <w:sz w:val="32"/>
          <w:szCs w:val="32"/>
        </w:rPr>
        <w:t>，</w:t>
      </w:r>
      <w:r>
        <w:rPr>
          <w:rFonts w:ascii="Times New Roman"/>
          <w:sz w:val="32"/>
          <w:szCs w:val="32"/>
        </w:rPr>
        <w:t>加快伊宁市工业结构优化升级，培育壮大支柱产业和优势产业，发展高新技术产业，促进企业生产市场销售对路的产品，延伸矿产品产业链，走深加工之路，提高矿产品的附加值。矿山企业须在开采规模结构、产品结构和技术结构进行调整。最大限度合理利用矿产资源，避免造成浪费和破坏地质环境。发展环保型产品的高科技产品，降低初级矿产品在销售中的比例，加强矿山企业规模化、集团化建设，实现规模经营，逐步提高生产能力、市场竞争力、资源综合利用率和劳动生产率，通过应用高新科技技术和先进技术，改进传统产业结构，逐步实现从高消耗、低效益、粗放型向低消耗、高效益、集约化方向转变。为保证矿山合理布局，合理开采，持续、稳定</w:t>
      </w:r>
      <w:r>
        <w:rPr>
          <w:rFonts w:hint="eastAsia" w:ascii="Times New Roman"/>
          <w:sz w:val="32"/>
          <w:szCs w:val="32"/>
        </w:rPr>
        <w:t>地</w:t>
      </w:r>
      <w:r>
        <w:rPr>
          <w:rFonts w:ascii="Times New Roman"/>
          <w:sz w:val="32"/>
          <w:szCs w:val="32"/>
        </w:rPr>
        <w:t>生产，既保护了国家矿产资源，又维护了企业利益。矿山企业开采规模必须达到相应的标准，生产规模和资源储量要匹配，禁止大矿小采。在科技创新和技术进步方面，应用新理论、新技术、新方法、新工艺、新装备以及信息化建设给予政策性保证，使矿山企业能够在政策措施的保障下，在延伸矿产品产业链过程中，规范、有效</w:t>
      </w:r>
      <w:r>
        <w:rPr>
          <w:rFonts w:hint="eastAsia" w:ascii="Times New Roman"/>
          <w:sz w:val="32"/>
          <w:szCs w:val="32"/>
          <w:lang w:eastAsia="zh-CN"/>
        </w:rPr>
        <w:t>、</w:t>
      </w:r>
      <w:r>
        <w:rPr>
          <w:rFonts w:ascii="Times New Roman"/>
          <w:sz w:val="32"/>
          <w:szCs w:val="32"/>
        </w:rPr>
        <w:t>健康、稳步</w:t>
      </w:r>
      <w:r>
        <w:rPr>
          <w:rFonts w:hint="eastAsia" w:ascii="Times New Roman"/>
          <w:sz w:val="32"/>
          <w:szCs w:val="32"/>
        </w:rPr>
        <w:t>地</w:t>
      </w:r>
      <w:r>
        <w:rPr>
          <w:rFonts w:ascii="Times New Roman"/>
          <w:sz w:val="32"/>
          <w:szCs w:val="32"/>
        </w:rPr>
        <w:t>发展。</w:t>
      </w:r>
    </w:p>
    <w:p>
      <w:pPr>
        <w:pStyle w:val="3"/>
        <w:spacing w:beforeLines="0" w:afterLines="0"/>
        <w:jc w:val="left"/>
        <w:rPr>
          <w:rFonts w:ascii="楷体" w:hAnsi="楷体" w:eastAsia="楷体"/>
          <w:sz w:val="32"/>
          <w:szCs w:val="32"/>
        </w:rPr>
      </w:pPr>
      <w:r>
        <w:rPr>
          <w:rFonts w:hint="eastAsia" w:ascii="楷体" w:hAnsi="楷体" w:eastAsia="楷体"/>
          <w:sz w:val="32"/>
          <w:szCs w:val="32"/>
        </w:rPr>
        <w:t>（三）</w:t>
      </w:r>
      <w:bookmarkEnd w:id="46"/>
      <w:bookmarkEnd w:id="47"/>
      <w:bookmarkEnd w:id="48"/>
      <w:r>
        <w:rPr>
          <w:rFonts w:hint="eastAsia" w:ascii="楷体" w:hAnsi="楷体" w:eastAsia="楷体"/>
          <w:sz w:val="32"/>
          <w:szCs w:val="32"/>
        </w:rPr>
        <w:t>开发准入退出机制</w:t>
      </w:r>
      <w:bookmarkEnd w:id="49"/>
      <w:bookmarkEnd w:id="50"/>
      <w:bookmarkEnd w:id="51"/>
    </w:p>
    <w:p>
      <w:pPr>
        <w:ind w:firstLine="659" w:firstLineChars="200"/>
        <w:rPr>
          <w:rFonts w:ascii="Times New Roman"/>
          <w:sz w:val="32"/>
          <w:szCs w:val="32"/>
        </w:rPr>
      </w:pPr>
      <w:r>
        <w:rPr>
          <w:rFonts w:hint="eastAsia" w:ascii="Times New Roman"/>
          <w:b/>
          <w:bCs/>
          <w:sz w:val="32"/>
          <w:szCs w:val="32"/>
        </w:rPr>
        <w:t>严格矿产资源开发准入。</w:t>
      </w:r>
      <w:r>
        <w:rPr>
          <w:rFonts w:hint="eastAsia" w:ascii="Times New Roman"/>
          <w:sz w:val="32"/>
          <w:szCs w:val="32"/>
        </w:rPr>
        <w:t>严禁在禁止开发区域开采矿产，严禁新设禁止开采矿种采矿权，严格按照煤炭矿区总规及设置区划，设置采矿权。新设采矿权需符合开采规划区块设置、主体功能区战略、国土空间规划等相关要求。</w:t>
      </w:r>
    </w:p>
    <w:p>
      <w:pPr>
        <w:ind w:firstLine="656" w:firstLineChars="200"/>
        <w:rPr>
          <w:rFonts w:ascii="Times New Roman"/>
          <w:sz w:val="32"/>
          <w:szCs w:val="32"/>
        </w:rPr>
      </w:pPr>
      <w:r>
        <w:rPr>
          <w:rFonts w:hint="eastAsia" w:ascii="Times New Roman"/>
          <w:sz w:val="32"/>
          <w:szCs w:val="32"/>
        </w:rPr>
        <w:t>新建矿山</w:t>
      </w:r>
      <w:r>
        <w:rPr>
          <w:rFonts w:ascii="Times New Roman"/>
          <w:sz w:val="32"/>
          <w:szCs w:val="32"/>
        </w:rPr>
        <w:t>开采规模不低于本规划确定的矿山开采最低规模，矿山开采规模必须与占有的矿产资源储量相适应，须符合规模生产、集约经营的原则，不得大矿小开、一矿多开。</w:t>
      </w:r>
    </w:p>
    <w:p>
      <w:pPr>
        <w:ind w:firstLine="656" w:firstLineChars="200"/>
        <w:rPr>
          <w:rFonts w:ascii="Times New Roman"/>
          <w:sz w:val="32"/>
          <w:szCs w:val="32"/>
        </w:rPr>
      </w:pPr>
      <w:r>
        <w:rPr>
          <w:rFonts w:hint="eastAsia" w:ascii="Times New Roman"/>
          <w:sz w:val="32"/>
          <w:szCs w:val="32"/>
        </w:rPr>
        <w:t>矿山</w:t>
      </w:r>
      <w:r>
        <w:rPr>
          <w:rFonts w:ascii="Times New Roman"/>
          <w:sz w:val="32"/>
          <w:szCs w:val="32"/>
        </w:rPr>
        <w:t>企业应具备法律、法规规定的与其从事矿业活动相适应的资金、技术、装备等资质条件。新建、扩建和延续开采矿山必须符合批准的矿山设计要求，达到自然资源管理部门提出的开发利用水平。矿山开采方式必须符合相应的规范要求和批准的开发利用方案，禁止落后的、破坏和浪费资源的开采方法。</w:t>
      </w:r>
    </w:p>
    <w:p>
      <w:pPr>
        <w:ind w:firstLine="656" w:firstLineChars="200"/>
        <w:rPr>
          <w:rFonts w:ascii="Times New Roman"/>
          <w:sz w:val="32"/>
          <w:szCs w:val="32"/>
        </w:rPr>
      </w:pPr>
      <w:r>
        <w:rPr>
          <w:rFonts w:hint="eastAsia" w:ascii="Times New Roman"/>
          <w:sz w:val="32"/>
          <w:szCs w:val="32"/>
        </w:rPr>
        <w:t>监督企业落实开发利用、矿山地质环境保护与土地复垦方案，开展环境影响评价、水资源论证，确保符合总量控制、资源综合利用、绿色矿山标准等要求。</w:t>
      </w:r>
    </w:p>
    <w:p>
      <w:pPr>
        <w:ind w:firstLine="659" w:firstLineChars="200"/>
        <w:rPr>
          <w:rFonts w:ascii="Times New Roman"/>
          <w:sz w:val="32"/>
          <w:szCs w:val="32"/>
        </w:rPr>
      </w:pPr>
      <w:r>
        <w:rPr>
          <w:rFonts w:hint="eastAsia" w:ascii="Times New Roman"/>
          <w:b/>
          <w:bCs/>
          <w:sz w:val="32"/>
          <w:szCs w:val="32"/>
        </w:rPr>
        <w:t>完善采矿权退出机制。</w:t>
      </w:r>
      <w:r>
        <w:rPr>
          <w:rFonts w:hint="eastAsia" w:ascii="Times New Roman"/>
          <w:sz w:val="32"/>
          <w:szCs w:val="32"/>
        </w:rPr>
        <w:t>已设合法采矿权，由于公共利益需要、产业政策调整原因需要退出的，按相关规定退出。已设采矿权未达到最低开采规模、安全生产、生态保护、最低“三率”指标等要求，以及采用国家明令淘汰采选技术方法的，责令限期整改，整改后仍未达到要求的，依法淘汰退出。</w:t>
      </w:r>
    </w:p>
    <w:p>
      <w:pPr>
        <w:pStyle w:val="2"/>
        <w:spacing w:before="190" w:after="190"/>
        <w:jc w:val="both"/>
        <w:rPr>
          <w:rFonts w:ascii="Times New Roman"/>
          <w:sz w:val="36"/>
          <w:szCs w:val="36"/>
        </w:rPr>
        <w:sectPr>
          <w:footerReference r:id="rId9" w:type="default"/>
          <w:footerReference r:id="rId10" w:type="even"/>
          <w:pgSz w:w="11906" w:h="16838"/>
          <w:pgMar w:top="1452" w:right="1452" w:bottom="1452" w:left="1452" w:header="851" w:footer="992" w:gutter="0"/>
          <w:pgNumType w:start="1"/>
          <w:cols w:space="425" w:num="1"/>
          <w:docGrid w:type="lines" w:linePitch="381" w:charSpace="0"/>
        </w:sectPr>
      </w:pPr>
    </w:p>
    <w:p>
      <w:pPr>
        <w:pStyle w:val="2"/>
        <w:spacing w:beforeLines="0" w:afterLines="0" w:line="560" w:lineRule="exact"/>
        <w:jc w:val="both"/>
        <w:rPr>
          <w:rFonts w:ascii="黑体" w:hAnsi="黑体" w:eastAsia="黑体"/>
          <w:b w:val="0"/>
          <w:sz w:val="36"/>
          <w:szCs w:val="36"/>
        </w:rPr>
      </w:pPr>
      <w:bookmarkStart w:id="53" w:name="_Toc81992883"/>
      <w:bookmarkStart w:id="54" w:name="_Toc109827054"/>
      <w:r>
        <w:rPr>
          <w:rFonts w:hint="eastAsia" w:ascii="黑体" w:hAnsi="黑体" w:eastAsia="黑体"/>
          <w:b w:val="0"/>
          <w:sz w:val="36"/>
          <w:szCs w:val="36"/>
        </w:rPr>
        <w:t>五、</w:t>
      </w:r>
      <w:r>
        <w:rPr>
          <w:rFonts w:ascii="黑体" w:hAnsi="黑体" w:eastAsia="黑体"/>
          <w:b w:val="0"/>
          <w:sz w:val="36"/>
          <w:szCs w:val="36"/>
        </w:rPr>
        <w:t>绿色矿山建设和矿区生态保护</w:t>
      </w:r>
      <w:bookmarkEnd w:id="53"/>
      <w:bookmarkEnd w:id="54"/>
    </w:p>
    <w:p>
      <w:pPr>
        <w:pStyle w:val="3"/>
        <w:spacing w:beforeLines="0" w:afterLines="0"/>
        <w:jc w:val="left"/>
        <w:rPr>
          <w:rFonts w:ascii="Times New Roman" w:hAnsi="Times New Roman"/>
          <w:sz w:val="32"/>
          <w:szCs w:val="32"/>
        </w:rPr>
      </w:pPr>
      <w:bookmarkStart w:id="55" w:name="_Toc109827055"/>
      <w:bookmarkStart w:id="56" w:name="_Toc81992885"/>
      <w:bookmarkStart w:id="57" w:name="_Toc81992884"/>
      <w:r>
        <w:rPr>
          <w:rFonts w:hint="eastAsia" w:ascii="楷体" w:hAnsi="楷体" w:eastAsia="楷体"/>
          <w:sz w:val="32"/>
          <w:szCs w:val="32"/>
        </w:rPr>
        <w:t>（一）</w:t>
      </w:r>
      <w:r>
        <w:rPr>
          <w:rFonts w:ascii="楷体" w:hAnsi="楷体" w:eastAsia="楷体"/>
          <w:sz w:val="32"/>
          <w:szCs w:val="32"/>
        </w:rPr>
        <w:t>绿色勘查</w:t>
      </w:r>
      <w:bookmarkEnd w:id="55"/>
      <w:bookmarkEnd w:id="56"/>
    </w:p>
    <w:p>
      <w:pPr>
        <w:ind w:firstLine="659" w:firstLineChars="200"/>
        <w:rPr>
          <w:rFonts w:ascii="Times New Roman"/>
          <w:bCs/>
          <w:sz w:val="32"/>
          <w:szCs w:val="32"/>
        </w:rPr>
      </w:pPr>
      <w:r>
        <w:rPr>
          <w:rFonts w:hint="eastAsia" w:ascii="Times New Roman"/>
          <w:b/>
          <w:bCs/>
          <w:sz w:val="32"/>
          <w:szCs w:val="32"/>
        </w:rPr>
        <w:t>优化勘查布局，明确绿色勘查调控方向。</w:t>
      </w:r>
      <w:r>
        <w:rPr>
          <w:rFonts w:hint="eastAsia" w:ascii="Times New Roman"/>
          <w:bCs/>
          <w:sz w:val="32"/>
          <w:szCs w:val="32"/>
        </w:rPr>
        <w:t>坚持生态优先，避让自然保护区和生态功能区。勘查过程中依法依规办理相关手续。通过绿色勘查技术、工艺的使用，减少矿产勘查对生态环境的影响；通过整装勘查、集中勘查提升勘查质量和水平，提高找矿效率；积极推进绿色勘查示范创新，鼓励和支持社会出资矿产勘查企业走专业化、精准化勘查之路。</w:t>
      </w:r>
    </w:p>
    <w:p>
      <w:pPr>
        <w:ind w:firstLine="659" w:firstLineChars="200"/>
        <w:rPr>
          <w:rFonts w:ascii="Times New Roman"/>
          <w:bCs/>
          <w:sz w:val="32"/>
          <w:szCs w:val="32"/>
        </w:rPr>
      </w:pPr>
      <w:r>
        <w:rPr>
          <w:rFonts w:hint="eastAsia" w:ascii="Times New Roman"/>
          <w:b/>
          <w:bCs/>
          <w:sz w:val="32"/>
          <w:szCs w:val="32"/>
        </w:rPr>
        <w:t>研修勘查规范，积极推广绿色勘查技术。</w:t>
      </w:r>
      <w:r>
        <w:rPr>
          <w:rFonts w:hint="eastAsia" w:ascii="Times New Roman"/>
          <w:bCs/>
          <w:sz w:val="32"/>
          <w:szCs w:val="32"/>
        </w:rPr>
        <w:t>推动全区范围的综合勘查，提高找矿效率和经济效益。充分考虑共伴生矿产的综合勘查及储量计算，提高实物工作量的使用效率，推动矿产资源综合勘查、综合评价、综合开发和综合利用，最大限度避免重复勘查对自然环境的干扰。</w:t>
      </w:r>
    </w:p>
    <w:p>
      <w:pPr>
        <w:ind w:firstLine="659" w:firstLineChars="200"/>
        <w:rPr>
          <w:rFonts w:ascii="Times New Roman"/>
          <w:bCs/>
          <w:sz w:val="32"/>
          <w:szCs w:val="32"/>
        </w:rPr>
      </w:pPr>
      <w:r>
        <w:rPr>
          <w:rFonts w:hint="eastAsia" w:ascii="Times New Roman"/>
          <w:b/>
          <w:bCs/>
          <w:sz w:val="32"/>
          <w:szCs w:val="32"/>
        </w:rPr>
        <w:t>推行先进勘查技术，促进区内绿色勘查。</w:t>
      </w:r>
      <w:r>
        <w:rPr>
          <w:rFonts w:hint="eastAsia" w:ascii="Times New Roman"/>
          <w:bCs/>
          <w:sz w:val="32"/>
          <w:szCs w:val="32"/>
        </w:rPr>
        <w:t>加强找矿理论与绿色勘查方法研究，减少探矿工程对环境的扰动，加强对自然环境影响较大的勘查手段替代方法的研究和应用。勘查工作结束后对区内受到破坏的自然环境应及时开展治理恢复。</w:t>
      </w:r>
    </w:p>
    <w:p>
      <w:pPr>
        <w:ind w:firstLine="659" w:firstLineChars="200"/>
        <w:rPr>
          <w:rFonts w:ascii="Times New Roman"/>
          <w:b/>
          <w:sz w:val="32"/>
          <w:szCs w:val="32"/>
        </w:rPr>
      </w:pPr>
      <w:r>
        <w:rPr>
          <w:rFonts w:hint="eastAsia" w:ascii="Times New Roman"/>
          <w:b/>
          <w:bCs/>
          <w:sz w:val="32"/>
          <w:szCs w:val="32"/>
        </w:rPr>
        <w:t>推广绿色勘查理念，争得社会各界支持。</w:t>
      </w:r>
      <w:r>
        <w:rPr>
          <w:rFonts w:hint="eastAsia" w:ascii="Times New Roman"/>
          <w:bCs/>
          <w:sz w:val="32"/>
          <w:szCs w:val="32"/>
        </w:rPr>
        <w:t>充分利用报刊、电视、网络等媒体开展宣传活动，及时报道绿色勘查先进事迹与典型经验，引导矿业权人和勘查单位自觉推进绿色勘查。</w:t>
      </w:r>
    </w:p>
    <w:p>
      <w:pPr>
        <w:pStyle w:val="3"/>
        <w:spacing w:beforeLines="0" w:afterLines="0"/>
        <w:jc w:val="left"/>
        <w:rPr>
          <w:rFonts w:ascii="楷体" w:hAnsi="楷体" w:eastAsia="楷体"/>
          <w:sz w:val="32"/>
          <w:szCs w:val="32"/>
        </w:rPr>
      </w:pPr>
      <w:bookmarkStart w:id="58" w:name="_Toc109827056"/>
      <w:r>
        <w:rPr>
          <w:rFonts w:hint="eastAsia" w:ascii="楷体" w:hAnsi="楷体" w:eastAsia="楷体"/>
          <w:sz w:val="32"/>
          <w:szCs w:val="32"/>
        </w:rPr>
        <w:t>（二）</w:t>
      </w:r>
      <w:r>
        <w:rPr>
          <w:rFonts w:ascii="楷体" w:hAnsi="楷体" w:eastAsia="楷体"/>
          <w:sz w:val="32"/>
          <w:szCs w:val="32"/>
        </w:rPr>
        <w:t>绿色矿山建设</w:t>
      </w:r>
      <w:bookmarkEnd w:id="57"/>
      <w:bookmarkEnd w:id="58"/>
    </w:p>
    <w:p>
      <w:pPr>
        <w:ind w:firstLine="659" w:firstLineChars="200"/>
        <w:rPr>
          <w:rFonts w:ascii="Times New Roman"/>
          <w:b/>
          <w:bCs/>
          <w:sz w:val="32"/>
          <w:szCs w:val="32"/>
        </w:rPr>
      </w:pPr>
      <w:bookmarkStart w:id="59" w:name="_Toc519619342"/>
      <w:bookmarkStart w:id="60" w:name="_Toc48120757"/>
      <w:bookmarkStart w:id="61" w:name="_Toc519619494"/>
      <w:bookmarkStart w:id="62" w:name="_Toc519599975"/>
      <w:bookmarkStart w:id="63" w:name="_Toc64223705"/>
      <w:r>
        <w:rPr>
          <w:rFonts w:ascii="Times New Roman"/>
          <w:b/>
          <w:bCs/>
          <w:sz w:val="32"/>
          <w:szCs w:val="32"/>
        </w:rPr>
        <w:t>总体思路</w:t>
      </w:r>
    </w:p>
    <w:p>
      <w:pPr>
        <w:ind w:firstLine="656" w:firstLineChars="200"/>
        <w:rPr>
          <w:rFonts w:ascii="Times New Roman"/>
          <w:sz w:val="32"/>
          <w:szCs w:val="32"/>
        </w:rPr>
      </w:pPr>
      <w:r>
        <w:rPr>
          <w:rFonts w:ascii="Times New Roman"/>
          <w:sz w:val="32"/>
          <w:szCs w:val="32"/>
        </w:rPr>
        <w:t>按照国家转变经济发展增长方式的战略需求和自治区关于建设绿色矿业发展的要求，推进绿色矿山发展，达到构建资源节约型、环境优美型矿山，</w:t>
      </w:r>
      <w:r>
        <w:rPr>
          <w:rFonts w:hint="eastAsia" w:ascii="Times New Roman"/>
          <w:sz w:val="32"/>
          <w:szCs w:val="32"/>
        </w:rPr>
        <w:t>从理念、制度、技术、监管四个方面推动资源绿色开采。</w:t>
      </w:r>
    </w:p>
    <w:p>
      <w:pPr>
        <w:ind w:firstLine="659" w:firstLineChars="200"/>
        <w:rPr>
          <w:rFonts w:ascii="Times New Roman"/>
          <w:b/>
          <w:bCs/>
          <w:sz w:val="32"/>
          <w:szCs w:val="32"/>
        </w:rPr>
      </w:pPr>
      <w:r>
        <w:rPr>
          <w:rFonts w:ascii="Times New Roman"/>
          <w:b/>
          <w:bCs/>
          <w:sz w:val="32"/>
          <w:szCs w:val="32"/>
        </w:rPr>
        <w:t>落实上级绿色矿山建设要求</w:t>
      </w:r>
    </w:p>
    <w:p>
      <w:pPr>
        <w:ind w:firstLine="659" w:firstLineChars="200"/>
        <w:rPr>
          <w:rFonts w:ascii="Times New Roman"/>
          <w:sz w:val="32"/>
          <w:szCs w:val="32"/>
        </w:rPr>
      </w:pPr>
      <w:r>
        <w:rPr>
          <w:rFonts w:ascii="Times New Roman"/>
          <w:b/>
          <w:sz w:val="32"/>
          <w:szCs w:val="32"/>
        </w:rPr>
        <w:t>新建矿山</w:t>
      </w:r>
      <w:r>
        <w:rPr>
          <w:rFonts w:ascii="Times New Roman"/>
          <w:sz w:val="32"/>
          <w:szCs w:val="32"/>
        </w:rPr>
        <w:t>：新建矿山在新立采矿权出让过程中，出让机关应对照绿色矿山建设要求和相关标准，在出让合同中明确开发方式、资源利用、矿山地质环境保护与治理恢复、土地复垦等相关要求及违约责任，矿山企业应按照绿色矿山标准要求进行规划、设计、建设和运营管理。</w:t>
      </w:r>
    </w:p>
    <w:p>
      <w:pPr>
        <w:ind w:firstLine="659" w:firstLineChars="200"/>
        <w:rPr>
          <w:rFonts w:ascii="Times New Roman"/>
          <w:sz w:val="32"/>
          <w:szCs w:val="32"/>
        </w:rPr>
      </w:pPr>
      <w:r>
        <w:rPr>
          <w:rFonts w:ascii="Times New Roman"/>
          <w:b/>
          <w:sz w:val="32"/>
          <w:szCs w:val="32"/>
        </w:rPr>
        <w:t>生产矿山</w:t>
      </w:r>
      <w:r>
        <w:rPr>
          <w:rFonts w:ascii="Times New Roman"/>
          <w:sz w:val="32"/>
          <w:szCs w:val="32"/>
        </w:rPr>
        <w:t>：生产矿山要因地制宜、结合实际开展绿色矿山规划并加快建设步伐，提升绿色矿山建设</w:t>
      </w:r>
      <w:r>
        <w:rPr>
          <w:rFonts w:hint="eastAsia" w:ascii="Times New Roman"/>
          <w:sz w:val="32"/>
          <w:szCs w:val="32"/>
        </w:rPr>
        <w:t>水平</w:t>
      </w:r>
      <w:r>
        <w:rPr>
          <w:rFonts w:ascii="Times New Roman"/>
          <w:sz w:val="32"/>
          <w:szCs w:val="32"/>
        </w:rPr>
        <w:t>。</w:t>
      </w:r>
    </w:p>
    <w:p>
      <w:pPr>
        <w:ind w:firstLine="659" w:firstLineChars="200"/>
        <w:rPr>
          <w:rFonts w:ascii="Times New Roman"/>
          <w:b/>
          <w:bCs/>
          <w:sz w:val="32"/>
          <w:szCs w:val="32"/>
        </w:rPr>
      </w:pPr>
      <w:bookmarkStart w:id="64" w:name="_Toc64223700"/>
      <w:r>
        <w:rPr>
          <w:rFonts w:ascii="Times New Roman"/>
          <w:b/>
          <w:bCs/>
          <w:sz w:val="32"/>
          <w:szCs w:val="32"/>
        </w:rPr>
        <w:t>梯次推进绿色矿山建设时序</w:t>
      </w:r>
      <w:bookmarkEnd w:id="64"/>
    </w:p>
    <w:p>
      <w:pPr>
        <w:ind w:firstLine="656" w:firstLineChars="200"/>
        <w:rPr>
          <w:rFonts w:ascii="Times New Roman"/>
          <w:sz w:val="32"/>
          <w:szCs w:val="32"/>
        </w:rPr>
      </w:pPr>
      <w:r>
        <w:rPr>
          <w:rFonts w:ascii="Times New Roman"/>
          <w:sz w:val="32"/>
          <w:szCs w:val="32"/>
        </w:rPr>
        <w:t>严格按照国家、自治区绿色矿山建设标准和要求，统筹规划，合理部署，依据</w:t>
      </w:r>
      <w:r>
        <w:rPr>
          <w:rFonts w:hint="eastAsia" w:ascii="Times New Roman"/>
          <w:sz w:val="32"/>
          <w:szCs w:val="32"/>
        </w:rPr>
        <w:t>伊宁市</w:t>
      </w:r>
      <w:r>
        <w:rPr>
          <w:rFonts w:ascii="Times New Roman"/>
          <w:sz w:val="32"/>
          <w:szCs w:val="32"/>
        </w:rPr>
        <w:t>优势矿产资源开发利用实际，分区域、分矿种有序推进绿色矿山建设工作，优先创建各大、中型矿山绿色矿山建设工作。</w:t>
      </w:r>
    </w:p>
    <w:p>
      <w:pPr>
        <w:ind w:firstLine="659" w:firstLineChars="200"/>
        <w:rPr>
          <w:rFonts w:ascii="Times New Roman"/>
          <w:sz w:val="32"/>
          <w:szCs w:val="32"/>
        </w:rPr>
      </w:pPr>
      <w:r>
        <w:rPr>
          <w:rFonts w:ascii="Times New Roman"/>
          <w:b/>
          <w:bCs/>
          <w:sz w:val="32"/>
          <w:szCs w:val="32"/>
        </w:rPr>
        <w:t>推荐一批绿色矿山。</w:t>
      </w:r>
      <w:r>
        <w:rPr>
          <w:rFonts w:ascii="Times New Roman"/>
          <w:sz w:val="32"/>
          <w:szCs w:val="32"/>
        </w:rPr>
        <w:t>2025年底前，对基本达到绿色矿山建设要求的矿山，对照要求全面整改，加快补</w:t>
      </w:r>
      <w:r>
        <w:rPr>
          <w:rFonts w:hint="eastAsia" w:ascii="Times New Roman"/>
          <w:sz w:val="32"/>
          <w:szCs w:val="32"/>
        </w:rPr>
        <w:t>齐</w:t>
      </w:r>
      <w:r>
        <w:rPr>
          <w:rFonts w:ascii="Times New Roman"/>
          <w:sz w:val="32"/>
          <w:szCs w:val="32"/>
        </w:rPr>
        <w:t>短板步伐</w:t>
      </w:r>
      <w:r>
        <w:rPr>
          <w:rFonts w:hint="eastAsia" w:ascii="Times New Roman"/>
          <w:sz w:val="32"/>
          <w:szCs w:val="32"/>
        </w:rPr>
        <w:t>，</w:t>
      </w:r>
      <w:r>
        <w:rPr>
          <w:rFonts w:ascii="Times New Roman"/>
          <w:sz w:val="32"/>
          <w:szCs w:val="32"/>
        </w:rPr>
        <w:t>积极开展自评申报工作，入选国家级绿色矿山名录</w:t>
      </w:r>
      <w:r>
        <w:rPr>
          <w:rFonts w:hint="eastAsia" w:ascii="Times New Roman"/>
          <w:sz w:val="32"/>
          <w:szCs w:val="32"/>
        </w:rPr>
        <w:t>，</w:t>
      </w:r>
      <w:r>
        <w:rPr>
          <w:rFonts w:ascii="Times New Roman"/>
          <w:sz w:val="32"/>
          <w:szCs w:val="32"/>
        </w:rPr>
        <w:t>同时，推荐建设情况良好的矿山企业申报自治区绿色矿山。</w:t>
      </w:r>
    </w:p>
    <w:p>
      <w:pPr>
        <w:ind w:firstLine="659" w:firstLineChars="200"/>
        <w:rPr>
          <w:rFonts w:ascii="Times New Roman"/>
          <w:b/>
          <w:bCs/>
          <w:sz w:val="32"/>
          <w:szCs w:val="32"/>
        </w:rPr>
      </w:pPr>
      <w:bookmarkStart w:id="65" w:name="_Toc45806476"/>
      <w:bookmarkStart w:id="66" w:name="_Toc64223704"/>
      <w:r>
        <w:rPr>
          <w:rFonts w:ascii="Times New Roman"/>
          <w:b/>
          <w:bCs/>
          <w:sz w:val="32"/>
          <w:szCs w:val="32"/>
        </w:rPr>
        <w:t>落实组织方式</w:t>
      </w:r>
      <w:bookmarkEnd w:id="65"/>
      <w:bookmarkEnd w:id="66"/>
    </w:p>
    <w:p>
      <w:pPr>
        <w:ind w:firstLine="659" w:firstLineChars="200"/>
        <w:rPr>
          <w:rFonts w:ascii="Times New Roman"/>
          <w:sz w:val="32"/>
          <w:szCs w:val="32"/>
        </w:rPr>
      </w:pPr>
      <w:r>
        <w:rPr>
          <w:rFonts w:ascii="Times New Roman"/>
          <w:b/>
          <w:bCs/>
          <w:sz w:val="32"/>
          <w:szCs w:val="32"/>
        </w:rPr>
        <w:t>制定绿色矿山建设管理办法。</w:t>
      </w:r>
      <w:r>
        <w:rPr>
          <w:rFonts w:ascii="Times New Roman"/>
          <w:sz w:val="32"/>
          <w:szCs w:val="32"/>
        </w:rPr>
        <w:t>申报绿色矿山的采矿权人对照绿色矿山建设要求和行业标准开展自评，自然资源主管部门会同同级生态环境</w:t>
      </w:r>
      <w:r>
        <w:rPr>
          <w:rFonts w:hint="eastAsia" w:ascii="Times New Roman"/>
          <w:sz w:val="32"/>
          <w:szCs w:val="32"/>
        </w:rPr>
        <w:t>、</w:t>
      </w:r>
      <w:r>
        <w:rPr>
          <w:rFonts w:ascii="Times New Roman"/>
          <w:sz w:val="32"/>
          <w:szCs w:val="32"/>
        </w:rPr>
        <w:t>工业和信息化等有关部门，按照“公平、公正、公开”的原则，委托第三方评估机构开展绿色矿山评估。</w:t>
      </w:r>
    </w:p>
    <w:p>
      <w:pPr>
        <w:ind w:firstLine="659" w:firstLineChars="200"/>
        <w:rPr>
          <w:rFonts w:ascii="Times New Roman"/>
          <w:b/>
          <w:bCs/>
          <w:sz w:val="32"/>
          <w:szCs w:val="32"/>
        </w:rPr>
      </w:pPr>
      <w:r>
        <w:rPr>
          <w:rFonts w:ascii="Times New Roman"/>
          <w:b/>
          <w:bCs/>
          <w:sz w:val="32"/>
          <w:szCs w:val="32"/>
        </w:rPr>
        <w:t>严格实行绿色矿山检查办法。</w:t>
      </w:r>
      <w:r>
        <w:rPr>
          <w:rFonts w:ascii="Times New Roman"/>
          <w:sz w:val="32"/>
          <w:szCs w:val="32"/>
        </w:rPr>
        <w:t>各级自然资源主管部门应当按照“双随机、一公开”的方式对纳入绿色矿山名录的采矿权人进行检查，确定抽查对象</w:t>
      </w:r>
      <w:r>
        <w:rPr>
          <w:rFonts w:hint="eastAsia" w:ascii="Times New Roman"/>
          <w:sz w:val="32"/>
          <w:szCs w:val="32"/>
        </w:rPr>
        <w:t>，</w:t>
      </w:r>
      <w:r>
        <w:rPr>
          <w:rFonts w:ascii="Times New Roman"/>
          <w:sz w:val="32"/>
          <w:szCs w:val="32"/>
        </w:rPr>
        <w:t>检查结果向社会公告。</w:t>
      </w:r>
    </w:p>
    <w:p>
      <w:pPr>
        <w:ind w:firstLine="659" w:firstLineChars="200"/>
        <w:rPr>
          <w:rFonts w:ascii="Times New Roman"/>
          <w:b/>
          <w:bCs/>
          <w:sz w:val="32"/>
          <w:szCs w:val="32"/>
        </w:rPr>
      </w:pPr>
      <w:r>
        <w:rPr>
          <w:rFonts w:ascii="Times New Roman"/>
          <w:b/>
          <w:bCs/>
          <w:sz w:val="32"/>
          <w:szCs w:val="32"/>
        </w:rPr>
        <w:t>加强绿色矿山监督管理。</w:t>
      </w:r>
      <w:r>
        <w:rPr>
          <w:rFonts w:ascii="Times New Roman"/>
          <w:sz w:val="32"/>
          <w:szCs w:val="32"/>
        </w:rPr>
        <w:t>纳入绿色矿山名录的采矿权人应当持续开展绿色矿山维护，确保相关指标符合绿色矿山建设要求。</w:t>
      </w:r>
    </w:p>
    <w:p>
      <w:pPr>
        <w:ind w:firstLine="659" w:firstLineChars="200"/>
        <w:rPr>
          <w:rFonts w:ascii="Times New Roman"/>
          <w:sz w:val="32"/>
          <w:szCs w:val="32"/>
        </w:rPr>
      </w:pPr>
      <w:r>
        <w:rPr>
          <w:rFonts w:ascii="Times New Roman"/>
          <w:b/>
          <w:bCs/>
          <w:sz w:val="32"/>
          <w:szCs w:val="32"/>
        </w:rPr>
        <w:t>加强社会舆论监督。</w:t>
      </w:r>
      <w:r>
        <w:rPr>
          <w:rFonts w:ascii="Times New Roman"/>
          <w:sz w:val="32"/>
          <w:szCs w:val="32"/>
        </w:rPr>
        <w:t>绿色矿山评估后，符合绿色矿山建设要求的矿山，经人民政府同意，</w:t>
      </w:r>
      <w:r>
        <w:rPr>
          <w:rFonts w:hint="eastAsia" w:ascii="Times New Roman"/>
          <w:sz w:val="32"/>
          <w:szCs w:val="32"/>
        </w:rPr>
        <w:t>通过全国绿色矿山名录管理系统上报至州自然资源主管部门并在相关媒体上予以公示，接受社会监督</w:t>
      </w:r>
      <w:r>
        <w:rPr>
          <w:rFonts w:ascii="Times New Roman"/>
          <w:sz w:val="32"/>
          <w:szCs w:val="32"/>
        </w:rPr>
        <w:t>。</w:t>
      </w:r>
    </w:p>
    <w:bookmarkEnd w:id="59"/>
    <w:bookmarkEnd w:id="60"/>
    <w:bookmarkEnd w:id="61"/>
    <w:bookmarkEnd w:id="62"/>
    <w:bookmarkEnd w:id="63"/>
    <w:p>
      <w:pPr>
        <w:pStyle w:val="3"/>
        <w:spacing w:beforeLines="0" w:afterLines="0"/>
        <w:jc w:val="left"/>
        <w:rPr>
          <w:rFonts w:ascii="楷体" w:hAnsi="楷体" w:eastAsia="楷体"/>
          <w:sz w:val="32"/>
          <w:szCs w:val="32"/>
        </w:rPr>
      </w:pPr>
      <w:bookmarkStart w:id="67" w:name="_Toc109827057"/>
      <w:r>
        <w:rPr>
          <w:rFonts w:hint="eastAsia" w:ascii="楷体" w:hAnsi="楷体" w:eastAsia="楷体"/>
          <w:sz w:val="32"/>
          <w:szCs w:val="32"/>
        </w:rPr>
        <w:t>（三）智能</w:t>
      </w:r>
      <w:r>
        <w:rPr>
          <w:rFonts w:ascii="楷体" w:hAnsi="楷体" w:eastAsia="楷体"/>
          <w:sz w:val="32"/>
          <w:szCs w:val="32"/>
        </w:rPr>
        <w:t>矿山建设</w:t>
      </w:r>
      <w:bookmarkEnd w:id="67"/>
    </w:p>
    <w:p>
      <w:pPr>
        <w:ind w:firstLine="656" w:firstLineChars="200"/>
        <w:rPr>
          <w:rFonts w:ascii="Times New Roman"/>
          <w:sz w:val="32"/>
          <w:szCs w:val="32"/>
        </w:rPr>
      </w:pPr>
      <w:r>
        <w:rPr>
          <w:rFonts w:hint="eastAsia" w:ascii="Times New Roman"/>
          <w:sz w:val="32"/>
          <w:szCs w:val="32"/>
        </w:rPr>
        <w:t>积极推进伊宁市煤矿企业的智能矿山、数据车间、数字矿山和智慧园区建设，提升智能化水平。推进矿业先进技术装备的研发与应用，以数字化、智能化、自动化采矿装备为核心，以智能设计与生产管理软件系统为平台，对矿山生产对象和过程进行实时、动态、智能化监测与控制，实现矿山开采的安全、高效、经济和效益最大化。</w:t>
      </w:r>
    </w:p>
    <w:p>
      <w:pPr>
        <w:pStyle w:val="3"/>
        <w:spacing w:beforeLines="0" w:afterLines="0"/>
        <w:jc w:val="left"/>
        <w:rPr>
          <w:rFonts w:ascii="楷体" w:hAnsi="楷体" w:eastAsia="楷体"/>
          <w:sz w:val="32"/>
          <w:szCs w:val="32"/>
        </w:rPr>
      </w:pPr>
      <w:bookmarkStart w:id="68" w:name="_Toc81992888"/>
      <w:bookmarkStart w:id="69" w:name="_Toc109827058"/>
      <w:r>
        <w:rPr>
          <w:rFonts w:hint="eastAsia" w:ascii="楷体" w:hAnsi="楷体" w:eastAsia="楷体"/>
          <w:sz w:val="32"/>
          <w:szCs w:val="32"/>
        </w:rPr>
        <w:t>（四）</w:t>
      </w:r>
      <w:r>
        <w:rPr>
          <w:rFonts w:ascii="楷体" w:hAnsi="楷体" w:eastAsia="楷体"/>
          <w:sz w:val="32"/>
          <w:szCs w:val="32"/>
        </w:rPr>
        <w:t>矿山生态保护修复</w:t>
      </w:r>
      <w:bookmarkEnd w:id="68"/>
      <w:bookmarkEnd w:id="69"/>
    </w:p>
    <w:p>
      <w:pPr>
        <w:ind w:firstLine="659" w:firstLineChars="200"/>
        <w:rPr>
          <w:rFonts w:ascii="Times New Roman"/>
          <w:b/>
          <w:bCs/>
          <w:sz w:val="32"/>
          <w:szCs w:val="32"/>
        </w:rPr>
      </w:pPr>
      <w:r>
        <w:rPr>
          <w:rFonts w:ascii="Times New Roman"/>
          <w:b/>
          <w:bCs/>
          <w:sz w:val="32"/>
          <w:szCs w:val="32"/>
        </w:rPr>
        <w:t>加强矿山地质环境保护。</w:t>
      </w:r>
    </w:p>
    <w:p>
      <w:pPr>
        <w:ind w:firstLine="659" w:firstLineChars="200"/>
        <w:rPr>
          <w:rFonts w:ascii="Times New Roman"/>
          <w:sz w:val="32"/>
          <w:szCs w:val="32"/>
        </w:rPr>
      </w:pPr>
      <w:r>
        <w:rPr>
          <w:rFonts w:ascii="Times New Roman"/>
          <w:b/>
          <w:bCs/>
          <w:sz w:val="32"/>
          <w:szCs w:val="32"/>
        </w:rPr>
        <w:t>新建矿山</w:t>
      </w:r>
      <w:r>
        <w:rPr>
          <w:rFonts w:hint="eastAsia" w:ascii="Times New Roman"/>
          <w:b/>
          <w:bCs/>
          <w:sz w:val="32"/>
          <w:szCs w:val="32"/>
        </w:rPr>
        <w:t>：</w:t>
      </w:r>
      <w:r>
        <w:rPr>
          <w:rFonts w:ascii="Times New Roman"/>
          <w:sz w:val="32"/>
          <w:szCs w:val="32"/>
        </w:rPr>
        <w:t>必须符合矿产资源开发的环境准入条件，即必须具备经行政主管部门审批的矿山环境影响报告和矿山地质环境影响报告，并依法设立矿山地质环境治理恢复基金。经审查，若采矿活动对环境影响和破坏较大或遭破坏后难以恢复治理，则实行环境一票否决制。严格实施“谁开发，谁保护</w:t>
      </w:r>
      <w:r>
        <w:rPr>
          <w:rFonts w:hint="eastAsia" w:ascii="Times New Roman"/>
          <w:sz w:val="32"/>
          <w:szCs w:val="32"/>
          <w:lang w:eastAsia="zh-CN"/>
        </w:rPr>
        <w:t>”“</w:t>
      </w:r>
      <w:r>
        <w:rPr>
          <w:rFonts w:ascii="Times New Roman"/>
          <w:sz w:val="32"/>
          <w:szCs w:val="32"/>
        </w:rPr>
        <w:t>谁污染，谁治理</w:t>
      </w:r>
      <w:r>
        <w:rPr>
          <w:rFonts w:hint="eastAsia" w:ascii="Times New Roman"/>
          <w:sz w:val="32"/>
          <w:szCs w:val="32"/>
          <w:lang w:eastAsia="zh-CN"/>
        </w:rPr>
        <w:t>”“</w:t>
      </w:r>
      <w:r>
        <w:rPr>
          <w:rFonts w:ascii="Times New Roman"/>
          <w:sz w:val="32"/>
          <w:szCs w:val="32"/>
        </w:rPr>
        <w:t>谁破坏，谁恢复”的原则，落实矿山环境保护和修复责任制。矿山在建设过程中，应严格执行“三同时”制度。大中型新建矿山应建立矿山地质环境保护监测。禁止在生态保护红线范围内开采矿产资源。</w:t>
      </w:r>
    </w:p>
    <w:p>
      <w:pPr>
        <w:ind w:firstLine="659" w:firstLineChars="200"/>
        <w:rPr>
          <w:rFonts w:ascii="Times New Roman"/>
          <w:sz w:val="32"/>
          <w:szCs w:val="32"/>
        </w:rPr>
      </w:pPr>
      <w:r>
        <w:rPr>
          <w:rFonts w:ascii="Times New Roman"/>
          <w:b/>
          <w:bCs/>
          <w:sz w:val="32"/>
          <w:szCs w:val="32"/>
        </w:rPr>
        <w:t>改、扩建矿山</w:t>
      </w:r>
      <w:r>
        <w:rPr>
          <w:rFonts w:hint="eastAsia" w:ascii="Times New Roman"/>
          <w:b/>
          <w:bCs/>
          <w:sz w:val="32"/>
          <w:szCs w:val="32"/>
        </w:rPr>
        <w:t>：</w:t>
      </w:r>
      <w:r>
        <w:rPr>
          <w:rFonts w:ascii="Times New Roman"/>
          <w:sz w:val="32"/>
          <w:szCs w:val="32"/>
        </w:rPr>
        <w:t>坚持矿产资源开发与地质环境保护并重的原则，落实矿山地质环境保护和恢复责任制，设立矿山地质环境治理恢复基金。矿山在改、扩建过程中，应严格执行“三同时”原则。矿业“三废”排放总量应有效控制并达标排放。</w:t>
      </w:r>
    </w:p>
    <w:p>
      <w:pPr>
        <w:ind w:firstLine="659" w:firstLineChars="200"/>
        <w:rPr>
          <w:rFonts w:ascii="Times New Roman"/>
          <w:sz w:val="32"/>
          <w:szCs w:val="32"/>
        </w:rPr>
      </w:pPr>
      <w:r>
        <w:rPr>
          <w:rFonts w:ascii="Times New Roman"/>
          <w:b/>
          <w:bCs/>
          <w:sz w:val="32"/>
          <w:szCs w:val="32"/>
        </w:rPr>
        <w:t>生产矿山</w:t>
      </w:r>
      <w:r>
        <w:rPr>
          <w:rFonts w:hint="eastAsia" w:ascii="Times New Roman"/>
          <w:b/>
          <w:bCs/>
          <w:sz w:val="32"/>
          <w:szCs w:val="32"/>
        </w:rPr>
        <w:t>：</w:t>
      </w:r>
      <w:r>
        <w:rPr>
          <w:rFonts w:ascii="Times New Roman"/>
          <w:sz w:val="32"/>
          <w:szCs w:val="32"/>
        </w:rPr>
        <w:t>矿山</w:t>
      </w:r>
      <w:r>
        <w:rPr>
          <w:rFonts w:hint="eastAsia" w:ascii="Times New Roman"/>
          <w:sz w:val="32"/>
          <w:szCs w:val="32"/>
        </w:rPr>
        <w:t>建议</w:t>
      </w:r>
      <w:r>
        <w:rPr>
          <w:rFonts w:ascii="Times New Roman"/>
          <w:sz w:val="32"/>
          <w:szCs w:val="32"/>
        </w:rPr>
        <w:t>编制地质环境保护专项规划，落实矿山地质环境保护和恢复责任制。矿业固体废弃物、废水及废气应按相关标准和规定处理达标后排放；矿山对矿业活动引发的地质灾害应积极治理。矿山生产中必须做到边生产、边恢复（治理）。对治理不力、造成生态环境破坏的，应依法责令其停产整顿，直至吊销采矿许可证。</w:t>
      </w:r>
    </w:p>
    <w:p>
      <w:pPr>
        <w:ind w:firstLine="659" w:firstLineChars="200"/>
        <w:rPr>
          <w:rFonts w:ascii="Times New Roman"/>
          <w:sz w:val="32"/>
          <w:szCs w:val="32"/>
        </w:rPr>
      </w:pPr>
      <w:r>
        <w:rPr>
          <w:rFonts w:ascii="Times New Roman"/>
          <w:b/>
          <w:bCs/>
          <w:sz w:val="32"/>
          <w:szCs w:val="32"/>
        </w:rPr>
        <w:t>闭坑矿山</w:t>
      </w:r>
      <w:r>
        <w:rPr>
          <w:rFonts w:hint="eastAsia" w:ascii="Times New Roman"/>
          <w:b/>
          <w:bCs/>
          <w:sz w:val="32"/>
          <w:szCs w:val="32"/>
        </w:rPr>
        <w:t>：</w:t>
      </w:r>
      <w:r>
        <w:rPr>
          <w:rFonts w:ascii="Times New Roman"/>
          <w:sz w:val="32"/>
          <w:szCs w:val="32"/>
        </w:rPr>
        <w:t>严格矿山闭坑报告的审查和报批制度。矿山应做好矿业固体废弃物、废水</w:t>
      </w:r>
      <w:r>
        <w:rPr>
          <w:rFonts w:hint="eastAsia" w:ascii="Times New Roman"/>
          <w:sz w:val="32"/>
          <w:szCs w:val="32"/>
        </w:rPr>
        <w:t>地</w:t>
      </w:r>
      <w:r>
        <w:rPr>
          <w:rFonts w:ascii="Times New Roman"/>
          <w:sz w:val="32"/>
          <w:szCs w:val="32"/>
        </w:rPr>
        <w:t>污染整治，并限期做好矿山土地复垦和因采矿诱发的地质灾害的综合治理，对矿山损毁的土地要因地制宜恢复。对未达到闭坑要求的采矿权人，不再</w:t>
      </w:r>
      <w:r>
        <w:rPr>
          <w:rFonts w:hint="eastAsia" w:ascii="Times New Roman"/>
          <w:sz w:val="32"/>
          <w:szCs w:val="32"/>
        </w:rPr>
        <w:t>公开出让</w:t>
      </w:r>
      <w:r>
        <w:rPr>
          <w:rFonts w:ascii="Times New Roman"/>
          <w:sz w:val="32"/>
          <w:szCs w:val="32"/>
        </w:rPr>
        <w:t>新的采矿权。</w:t>
      </w:r>
    </w:p>
    <w:p>
      <w:pPr>
        <w:ind w:firstLine="659" w:firstLineChars="200"/>
        <w:rPr>
          <w:rFonts w:ascii="Times New Roman"/>
          <w:sz w:val="32"/>
          <w:szCs w:val="32"/>
        </w:rPr>
      </w:pPr>
      <w:r>
        <w:rPr>
          <w:rFonts w:hint="eastAsia" w:ascii="Times New Roman"/>
          <w:b/>
          <w:bCs/>
          <w:sz w:val="32"/>
          <w:szCs w:val="32"/>
        </w:rPr>
        <w:t>废弃矿山：</w:t>
      </w:r>
      <w:r>
        <w:rPr>
          <w:rFonts w:hint="eastAsia" w:ascii="Times New Roman"/>
          <w:sz w:val="32"/>
          <w:szCs w:val="32"/>
        </w:rPr>
        <w:t>借助中央资金、地方资金、社会资金，完成历史遗留废弃矿山的生态修复工作。</w:t>
      </w:r>
    </w:p>
    <w:p>
      <w:pPr>
        <w:ind w:firstLine="659" w:firstLineChars="200"/>
        <w:rPr>
          <w:rFonts w:ascii="Times New Roman"/>
          <w:b/>
          <w:bCs/>
          <w:sz w:val="32"/>
          <w:szCs w:val="32"/>
        </w:rPr>
      </w:pPr>
      <w:bookmarkStart w:id="70" w:name="_Toc64223713"/>
      <w:r>
        <w:rPr>
          <w:rFonts w:ascii="Times New Roman"/>
          <w:b/>
          <w:bCs/>
          <w:sz w:val="32"/>
          <w:szCs w:val="32"/>
        </w:rPr>
        <w:t>利用市场化机制推进矿山生态修复</w:t>
      </w:r>
      <w:bookmarkEnd w:id="70"/>
    </w:p>
    <w:p>
      <w:pPr>
        <w:ind w:firstLine="656" w:firstLineChars="200"/>
        <w:rPr>
          <w:rFonts w:ascii="Times New Roman"/>
          <w:sz w:val="32"/>
          <w:szCs w:val="32"/>
        </w:rPr>
      </w:pPr>
      <w:r>
        <w:rPr>
          <w:rFonts w:ascii="Times New Roman"/>
          <w:sz w:val="32"/>
          <w:szCs w:val="32"/>
        </w:rPr>
        <w:t>统筹考虑矿山生态系统修复和后续资源开发利用、产业发展。坚持“谁破坏、谁治理</w:t>
      </w:r>
      <w:r>
        <w:rPr>
          <w:rFonts w:hint="eastAsia" w:ascii="Times New Roman"/>
          <w:sz w:val="32"/>
          <w:szCs w:val="32"/>
          <w:lang w:eastAsia="zh-CN"/>
        </w:rPr>
        <w:t>”“</w:t>
      </w:r>
      <w:r>
        <w:rPr>
          <w:rFonts w:ascii="Times New Roman"/>
          <w:sz w:val="32"/>
          <w:szCs w:val="32"/>
        </w:rPr>
        <w:t>谁修复、谁受益”原则，通过政策激励，吸引各方投入，推行市场化运作、科学化治理的模式，加快推进矿山生态修复，鼓励和吸引社会资金投入，促进生态效益、社会效益和经济效益相统一。</w:t>
      </w:r>
    </w:p>
    <w:p>
      <w:pPr>
        <w:ind w:firstLine="659" w:firstLineChars="200"/>
        <w:rPr>
          <w:rFonts w:ascii="Times New Roman"/>
          <w:b/>
          <w:bCs/>
          <w:sz w:val="32"/>
          <w:szCs w:val="32"/>
        </w:rPr>
      </w:pPr>
      <w:bookmarkStart w:id="71" w:name="_Hlk82427629"/>
      <w:r>
        <w:rPr>
          <w:rFonts w:ascii="Times New Roman"/>
          <w:b/>
          <w:bCs/>
          <w:sz w:val="32"/>
          <w:szCs w:val="32"/>
        </w:rPr>
        <w:t>创新矿山地质环境治理恢复基金工作机制</w:t>
      </w:r>
      <w:bookmarkEnd w:id="71"/>
    </w:p>
    <w:p>
      <w:pPr>
        <w:ind w:firstLine="656" w:firstLineChars="200"/>
        <w:rPr>
          <w:rFonts w:ascii="Times New Roman"/>
          <w:bCs/>
          <w:sz w:val="32"/>
          <w:szCs w:val="32"/>
        </w:rPr>
      </w:pPr>
      <w:r>
        <w:rPr>
          <w:rFonts w:hint="eastAsia" w:ascii="Times New Roman"/>
          <w:bCs/>
          <w:sz w:val="32"/>
          <w:szCs w:val="32"/>
        </w:rPr>
        <w:t>落实自治区</w:t>
      </w:r>
      <w:r>
        <w:rPr>
          <w:rFonts w:ascii="Times New Roman"/>
          <w:bCs/>
          <w:sz w:val="32"/>
          <w:szCs w:val="32"/>
        </w:rPr>
        <w:t>基金管理办法。为规范全区矿山地质环境治理恢复基金的提计、使用和监管，根据有关要求，在本区从事矿产资源开采活动的采矿权人，均应按照规定设立矿山地质环境治理恢复基金，矿山企业根据自然资源主管部门审查通过的《矿山地质环境保护与土地复垦方案》（以下简称《方案》），将其中的矿山地质环境治理恢复与土地复垦费用，按照企业会计准则等相关规定提取，计入相关资产的入账成本，通过专户、专账核算，用于矿山地质环境治理恢复与土地复垦，按照“谁破坏、谁治理”的原则，开展矿山地质环境治理恢复工作。矿山所在地人民政府应督促矿山企业坚持“生态优先、绿色发展”的理念，边生产边治理，切实承担矿山地质环境保护、治理、恢复、监测和土地复垦的主体责任，提升矿山整体环境水平，推进绿色矿山创建，促进生态文明建设和可持续发展。</w:t>
      </w:r>
    </w:p>
    <w:p>
      <w:pPr>
        <w:ind w:firstLine="656" w:firstLineChars="200"/>
        <w:rPr>
          <w:rFonts w:ascii="Times New Roman"/>
          <w:bCs/>
          <w:sz w:val="32"/>
          <w:szCs w:val="32"/>
        </w:rPr>
      </w:pPr>
      <w:r>
        <w:rPr>
          <w:rFonts w:ascii="Times New Roman"/>
          <w:bCs/>
          <w:sz w:val="32"/>
          <w:szCs w:val="32"/>
        </w:rPr>
        <w:t>加强基金监督管理。矿山企业按要求完成《方案》确定的矿山地质环境治理恢复与土地复垦工作后，应当向矿山所在地县（市）级自然资源主管部门提出验收的书面申请，并提交矿山地质环境治理恢复与土地复垦竣工报告等资料。矿山所在地县（市）级自然资源主管部门应当自收到验收申请后30个工作日内，会同同级生态环境主管部门根据《方案》以及有关技术规范和验收标准组织验收，并将有关情况向采矿权登记机关报备。</w:t>
      </w:r>
    </w:p>
    <w:p>
      <w:pPr>
        <w:ind w:firstLine="656" w:firstLineChars="200"/>
        <w:rPr>
          <w:rFonts w:ascii="Times New Roman"/>
          <w:bCs/>
          <w:sz w:val="32"/>
          <w:szCs w:val="32"/>
        </w:rPr>
      </w:pPr>
      <w:r>
        <w:rPr>
          <w:rFonts w:ascii="Times New Roman"/>
          <w:bCs/>
          <w:sz w:val="32"/>
          <w:szCs w:val="32"/>
        </w:rPr>
        <w:t>县（市）级自然资源主管部门会同本级财政、生态环境主管部门，每年对本辖区所有矿山的矿山地质环境治理恢复基金提计、使用及治理恢复等情况，按照“双随机、一公开”的方式进行动态监督检查，并由自然资源主管部门将监督检查情况纳入矿业权人勘查开采信息公示系统。</w:t>
      </w:r>
    </w:p>
    <w:p>
      <w:pPr>
        <w:ind w:firstLine="659" w:firstLineChars="200"/>
        <w:rPr>
          <w:rFonts w:ascii="Times New Roman"/>
          <w:b/>
          <w:bCs/>
          <w:sz w:val="32"/>
          <w:szCs w:val="32"/>
        </w:rPr>
      </w:pPr>
      <w:r>
        <w:rPr>
          <w:rFonts w:hint="eastAsia" w:ascii="Times New Roman"/>
          <w:b/>
          <w:bCs/>
          <w:sz w:val="32"/>
          <w:szCs w:val="32"/>
        </w:rPr>
        <w:t>落实自治区“三案合一”要求</w:t>
      </w:r>
    </w:p>
    <w:p>
      <w:pPr>
        <w:ind w:firstLine="656" w:firstLineChars="200"/>
        <w:rPr>
          <w:rFonts w:ascii="Times New Roman"/>
          <w:sz w:val="32"/>
          <w:szCs w:val="32"/>
        </w:rPr>
      </w:pPr>
      <w:r>
        <w:rPr>
          <w:rFonts w:hint="eastAsia" w:ascii="Times New Roman"/>
          <w:bCs/>
          <w:sz w:val="32"/>
          <w:szCs w:val="32"/>
        </w:rPr>
        <w:t>对新立采矿权，范围、生产规模、开采方式、开采矿种发生变更以及原评审通过的方案试用期届满的采矿权，将《矿产资源开发利用方案》《矿山地质环境保护与土地复垦方案》合并为《矿产资源开发利用与生</w:t>
      </w:r>
      <w:r>
        <w:rPr>
          <w:rFonts w:hint="eastAsia" w:ascii="Times New Roman"/>
          <w:sz w:val="32"/>
          <w:szCs w:val="32"/>
        </w:rPr>
        <w:t>态保护修复方案》。</w:t>
      </w:r>
    </w:p>
    <w:p>
      <w:pPr>
        <w:widowControl/>
        <w:adjustRightInd/>
        <w:snapToGrid/>
        <w:spacing w:line="240" w:lineRule="auto"/>
        <w:jc w:val="left"/>
        <w:rPr>
          <w:rFonts w:ascii="Times New Roman"/>
          <w:sz w:val="32"/>
          <w:szCs w:val="32"/>
        </w:rPr>
      </w:pPr>
      <w:r>
        <w:rPr>
          <w:rFonts w:ascii="Times New Roman"/>
          <w:sz w:val="32"/>
          <w:szCs w:val="32"/>
        </w:rPr>
        <w:br w:type="page"/>
      </w:r>
    </w:p>
    <w:p>
      <w:pPr>
        <w:pStyle w:val="2"/>
        <w:spacing w:beforeLines="0" w:afterLines="0" w:line="560" w:lineRule="exact"/>
        <w:jc w:val="both"/>
        <w:rPr>
          <w:rFonts w:ascii="黑体" w:hAnsi="黑体" w:eastAsia="黑体"/>
          <w:b w:val="0"/>
          <w:sz w:val="36"/>
          <w:szCs w:val="36"/>
        </w:rPr>
      </w:pPr>
      <w:bookmarkStart w:id="72" w:name="_Toc105519889"/>
      <w:bookmarkStart w:id="73" w:name="_Toc109827059"/>
      <w:r>
        <w:rPr>
          <w:rFonts w:hint="eastAsia" w:ascii="黑体" w:hAnsi="黑体" w:eastAsia="黑体"/>
          <w:b w:val="0"/>
          <w:sz w:val="36"/>
          <w:szCs w:val="36"/>
        </w:rPr>
        <w:t>六、矿证管理及开放合作</w:t>
      </w:r>
      <w:bookmarkEnd w:id="72"/>
      <w:bookmarkEnd w:id="73"/>
    </w:p>
    <w:p>
      <w:pPr>
        <w:pStyle w:val="3"/>
        <w:spacing w:beforeLines="0" w:afterLines="0"/>
        <w:jc w:val="left"/>
        <w:rPr>
          <w:rFonts w:ascii="Times New Roman" w:hAnsi="Times New Roman"/>
          <w:sz w:val="32"/>
          <w:szCs w:val="32"/>
        </w:rPr>
      </w:pPr>
      <w:bookmarkStart w:id="74" w:name="_Toc109827060"/>
      <w:r>
        <w:rPr>
          <w:rFonts w:hint="eastAsia" w:ascii="楷体" w:hAnsi="楷体" w:eastAsia="楷体"/>
          <w:sz w:val="32"/>
          <w:szCs w:val="32"/>
        </w:rPr>
        <w:t>（一）</w:t>
      </w:r>
      <w:r>
        <w:rPr>
          <w:rFonts w:ascii="楷体" w:hAnsi="楷体" w:eastAsia="楷体"/>
          <w:sz w:val="32"/>
          <w:szCs w:val="32"/>
        </w:rPr>
        <w:t>矿证管理</w:t>
      </w:r>
      <w:bookmarkEnd w:id="74"/>
    </w:p>
    <w:p>
      <w:pPr>
        <w:spacing w:line="560" w:lineRule="exact"/>
        <w:ind w:firstLine="659" w:firstLineChars="200"/>
        <w:rPr>
          <w:rFonts w:ascii="Times New Roman"/>
          <w:sz w:val="32"/>
          <w:szCs w:val="30"/>
        </w:rPr>
      </w:pPr>
      <w:r>
        <w:rPr>
          <w:rFonts w:hint="eastAsia" w:ascii="Times New Roman"/>
          <w:b/>
          <w:sz w:val="32"/>
          <w:szCs w:val="30"/>
        </w:rPr>
        <w:t>健全矿业权市场交易体系。</w:t>
      </w:r>
      <w:r>
        <w:rPr>
          <w:rFonts w:hint="eastAsia" w:ascii="Times New Roman"/>
          <w:sz w:val="32"/>
          <w:szCs w:val="30"/>
        </w:rPr>
        <w:t>构建政府主导、企业参与、市场竞争、合同管理、登记生效的矿业权出让制度体系。做好矿业权出让与登记工作的衔接，全面推进矿业权竞争性出让。推进矿业权市场电子化交易，逐步推动矿业权交易平台从依托有形场所向以电子化交易平台为主转变，实现矿业权交易全过程电子化。</w:t>
      </w:r>
    </w:p>
    <w:p>
      <w:pPr>
        <w:spacing w:line="560" w:lineRule="exact"/>
        <w:ind w:firstLine="659" w:firstLineChars="200"/>
        <w:rPr>
          <w:rFonts w:ascii="Times New Roman"/>
          <w:sz w:val="32"/>
          <w:szCs w:val="30"/>
        </w:rPr>
      </w:pPr>
      <w:r>
        <w:rPr>
          <w:rFonts w:hint="eastAsia" w:ascii="Times New Roman"/>
          <w:b/>
          <w:sz w:val="32"/>
          <w:szCs w:val="30"/>
        </w:rPr>
        <w:t>积极推动“净矿”出让。</w:t>
      </w:r>
      <w:r>
        <w:rPr>
          <w:rFonts w:hint="eastAsia" w:ascii="Times New Roman"/>
          <w:sz w:val="32"/>
          <w:szCs w:val="30"/>
        </w:rPr>
        <w:t>完善“净矿”出让工作机制，加强矿业权“净矿”出让前期工作，构建包括矿业权出让项目库、出让方案、出让公告、成交信息、出让合同、登记情况等全生命周期数据体系，做好与用地用林用草等审批事项的衔接。提高“净矿”出让服务保障水平，切实做好“净矿”出让后矿业权竞得人的服务保障工作，为矿业权竞得人顺利实施勘查开采活动创造良好条件。</w:t>
      </w:r>
    </w:p>
    <w:p>
      <w:pPr>
        <w:spacing w:line="560" w:lineRule="exact"/>
        <w:ind w:firstLine="659" w:firstLineChars="200"/>
        <w:rPr>
          <w:rFonts w:ascii="Times New Roman"/>
          <w:sz w:val="32"/>
          <w:szCs w:val="30"/>
        </w:rPr>
      </w:pPr>
      <w:r>
        <w:rPr>
          <w:rFonts w:hint="eastAsia" w:ascii="Times New Roman"/>
          <w:b/>
          <w:sz w:val="32"/>
          <w:szCs w:val="30"/>
        </w:rPr>
        <w:t>调控矿业开发结构和布局。</w:t>
      </w:r>
      <w:r>
        <w:rPr>
          <w:rFonts w:hint="eastAsia" w:ascii="Times New Roman"/>
          <w:sz w:val="32"/>
          <w:szCs w:val="30"/>
        </w:rPr>
        <w:t>运用市场机制优化配置资源，进一步改善矿业投资环境，开放矿业权市场，依据矿产资源规划，运用市场机制优化配置矿产资源，调整和改善资源开发结构及布局，吸引有实力的企业投资开发矿产资源，利用伊宁市内外资金、技术，不断提高地区矿产品的竞争力，同时通过市场配置资源，增强矿业权人对矿产资源的珍惜和保护意识，使矿产资源得到最大限度地开发利用。</w:t>
      </w:r>
    </w:p>
    <w:p>
      <w:pPr>
        <w:spacing w:line="560" w:lineRule="exact"/>
        <w:ind w:firstLine="659" w:firstLineChars="200"/>
        <w:rPr>
          <w:rFonts w:ascii="Times New Roman"/>
          <w:sz w:val="32"/>
          <w:szCs w:val="30"/>
        </w:rPr>
      </w:pPr>
      <w:r>
        <w:rPr>
          <w:rFonts w:hint="eastAsia" w:ascii="Times New Roman"/>
          <w:b/>
          <w:sz w:val="32"/>
          <w:szCs w:val="30"/>
        </w:rPr>
        <w:t>完善开发利用过程中监督监管责任机制。</w:t>
      </w:r>
      <w:r>
        <w:rPr>
          <w:rFonts w:hint="eastAsia" w:ascii="Times New Roman"/>
          <w:sz w:val="32"/>
          <w:szCs w:val="30"/>
        </w:rPr>
        <w:t>结合矿产资源国情调查成果、矿产资源开发利用数据库和矿产资源储量数据库，逐步建立矿产资源安全监测预警信息化体系，对矿产资源开发、矿业秩序进行动态监管。积极推进开展矿山企业储量年报的编制和实测工作，指导并督促做好矿产资源储量动态监测年报的日常</w:t>
      </w:r>
      <w:r>
        <w:rPr>
          <w:rFonts w:hint="eastAsia" w:ascii="Times New Roman"/>
          <w:sz w:val="32"/>
          <w:szCs w:val="30"/>
          <w:lang w:eastAsia="zh-CN"/>
        </w:rPr>
        <w:t>监测</w:t>
      </w:r>
      <w:r>
        <w:rPr>
          <w:rFonts w:hint="eastAsia" w:ascii="Times New Roman"/>
          <w:sz w:val="32"/>
          <w:szCs w:val="30"/>
        </w:rPr>
        <w:t>和矿产资源储量动态监测管理工作。建立健全对中介服务机构的监督管理制度，营造勘查开发良好秩序。</w:t>
      </w:r>
    </w:p>
    <w:p>
      <w:pPr>
        <w:pStyle w:val="3"/>
        <w:spacing w:beforeLines="0" w:afterLines="0"/>
        <w:jc w:val="left"/>
        <w:rPr>
          <w:rFonts w:ascii="楷体" w:hAnsi="楷体" w:eastAsia="楷体"/>
          <w:sz w:val="32"/>
          <w:szCs w:val="32"/>
        </w:rPr>
      </w:pPr>
      <w:bookmarkStart w:id="75" w:name="_Toc109827061"/>
      <w:r>
        <w:rPr>
          <w:rFonts w:hint="eastAsia" w:ascii="楷体" w:hAnsi="楷体" w:eastAsia="楷体"/>
          <w:sz w:val="32"/>
          <w:szCs w:val="32"/>
        </w:rPr>
        <w:t>（二）</w:t>
      </w:r>
      <w:r>
        <w:rPr>
          <w:rFonts w:ascii="楷体" w:hAnsi="楷体" w:eastAsia="楷体"/>
          <w:sz w:val="32"/>
          <w:szCs w:val="32"/>
        </w:rPr>
        <w:t>开放合作</w:t>
      </w:r>
      <w:bookmarkEnd w:id="75"/>
    </w:p>
    <w:p>
      <w:pPr>
        <w:spacing w:line="560" w:lineRule="exact"/>
        <w:ind w:firstLine="656" w:firstLineChars="200"/>
        <w:rPr>
          <w:rFonts w:ascii="Times New Roman"/>
          <w:sz w:val="32"/>
          <w:szCs w:val="30"/>
        </w:rPr>
      </w:pPr>
      <w:r>
        <w:rPr>
          <w:rFonts w:hint="eastAsia" w:ascii="Times New Roman"/>
          <w:sz w:val="32"/>
          <w:szCs w:val="30"/>
        </w:rPr>
        <w:t>持续深化对内开放。积极融入伊犁州“两极、一区、多集群”特色产业格局，有序推进资源型产业布局调整，引导产业链循环延伸发展，强化延链、补链、强链，打造特色鲜明的资源深加工产业基地，实现资源产业集群式发展；依托产业园区及大型矿山企业，通过加强产业空间联系、加强基础设施建设等措施</w:t>
      </w:r>
      <w:r>
        <w:rPr>
          <w:rFonts w:hint="eastAsia" w:ascii="Times New Roman"/>
          <w:sz w:val="32"/>
          <w:szCs w:val="30"/>
          <w:lang w:eastAsia="zh-CN"/>
        </w:rPr>
        <w:t>，</w:t>
      </w:r>
      <w:r>
        <w:rPr>
          <w:rFonts w:hint="eastAsia" w:ascii="Times New Roman"/>
          <w:sz w:val="32"/>
          <w:szCs w:val="30"/>
          <w:lang w:val="en-US" w:eastAsia="zh-CN"/>
        </w:rPr>
        <w:t>加快</w:t>
      </w:r>
      <w:r>
        <w:rPr>
          <w:rFonts w:hint="eastAsia" w:ascii="Times New Roman"/>
          <w:sz w:val="32"/>
          <w:szCs w:val="30"/>
        </w:rPr>
        <w:t>发展，形成产业发展的网络化新平台；抓住东部省市产业转移、疆内产业布局深度调整机遇，积极引进东部省市先进矿产资源勘查、开发、保护、管理经验及新技术，吸引大型国内企业参与伊宁市矿产资源的勘查开发。</w:t>
      </w:r>
    </w:p>
    <w:p>
      <w:pPr>
        <w:spacing w:line="560" w:lineRule="exact"/>
        <w:ind w:firstLine="659" w:firstLineChars="200"/>
        <w:rPr>
          <w:rFonts w:ascii="Times New Roman"/>
          <w:sz w:val="32"/>
          <w:szCs w:val="32"/>
        </w:rPr>
      </w:pPr>
      <w:r>
        <w:rPr>
          <w:rFonts w:hint="eastAsia" w:ascii="Times New Roman"/>
          <w:b/>
          <w:sz w:val="32"/>
          <w:szCs w:val="30"/>
        </w:rPr>
        <w:t>持续优化对外合作。</w:t>
      </w:r>
      <w:r>
        <w:rPr>
          <w:rFonts w:hint="eastAsia" w:ascii="Times New Roman"/>
          <w:sz w:val="32"/>
          <w:szCs w:val="30"/>
        </w:rPr>
        <w:t>充分利用国际国内两个市场、两种资源，按照“服务伊犁、服务新疆、服务全国、面向世界”的要求，针对中亚对陶瓷等新型建材需求，向西大力开拓国际市场，鼓励矿山及下游企业“走出去”，积极推动组团式国际合作和跨境物流体系建设以带动矿业发展。</w:t>
      </w:r>
    </w:p>
    <w:p>
      <w:pPr>
        <w:pStyle w:val="2"/>
        <w:spacing w:beforeLines="0" w:afterLines="0" w:line="560" w:lineRule="exact"/>
        <w:jc w:val="both"/>
        <w:rPr>
          <w:rFonts w:ascii="黑体" w:hAnsi="黑体" w:eastAsia="黑体"/>
          <w:b w:val="0"/>
          <w:sz w:val="36"/>
          <w:szCs w:val="36"/>
        </w:rPr>
      </w:pPr>
      <w:bookmarkStart w:id="76" w:name="_Toc81992889"/>
      <w:bookmarkStart w:id="77" w:name="_Toc109827062"/>
      <w:r>
        <w:rPr>
          <w:rFonts w:hint="eastAsia" w:ascii="黑体" w:hAnsi="黑体" w:eastAsia="黑体"/>
          <w:b w:val="0"/>
          <w:sz w:val="36"/>
          <w:szCs w:val="36"/>
        </w:rPr>
        <w:t>七、</w:t>
      </w:r>
      <w:r>
        <w:rPr>
          <w:rFonts w:ascii="黑体" w:hAnsi="黑体" w:eastAsia="黑体"/>
          <w:b w:val="0"/>
          <w:sz w:val="36"/>
          <w:szCs w:val="36"/>
        </w:rPr>
        <w:t>重点项目</w:t>
      </w:r>
      <w:bookmarkEnd w:id="76"/>
      <w:bookmarkEnd w:id="77"/>
    </w:p>
    <w:p>
      <w:pPr>
        <w:ind w:firstLine="659" w:firstLineChars="200"/>
        <w:rPr>
          <w:rFonts w:ascii="Times New Roman"/>
          <w:sz w:val="32"/>
          <w:szCs w:val="32"/>
        </w:rPr>
      </w:pPr>
      <w:r>
        <w:rPr>
          <w:rFonts w:hint="eastAsia" w:ascii="Times New Roman"/>
          <w:b/>
          <w:sz w:val="32"/>
          <w:szCs w:val="32"/>
        </w:rPr>
        <w:t>基础性公益地质调查项目。</w:t>
      </w:r>
      <w:r>
        <w:rPr>
          <w:rFonts w:ascii="Times New Roman"/>
          <w:sz w:val="32"/>
          <w:szCs w:val="32"/>
        </w:rPr>
        <w:t>按照国家发展重大需求和地区实际需要，提高新常态下基础地质调查工作结构调整、转型升级和对经济社会发展的保障能力，为资源安全提供强有力的技术支撑。积极申请国家和</w:t>
      </w:r>
      <w:r>
        <w:rPr>
          <w:rFonts w:hint="eastAsia" w:ascii="Times New Roman"/>
          <w:sz w:val="32"/>
          <w:szCs w:val="32"/>
        </w:rPr>
        <w:t>自治区</w:t>
      </w:r>
      <w:r>
        <w:rPr>
          <w:rFonts w:ascii="Times New Roman"/>
          <w:sz w:val="32"/>
          <w:szCs w:val="32"/>
        </w:rPr>
        <w:t>财政资金支持并纳入财政预算，切实将工程计划落到实处。</w:t>
      </w:r>
      <w:r>
        <w:rPr>
          <w:rFonts w:hint="eastAsia" w:ascii="Times New Roman"/>
          <w:sz w:val="32"/>
          <w:szCs w:val="32"/>
        </w:rPr>
        <w:t>（专栏13）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00" w:type="pct"/>
            <w:shd w:val="clear" w:color="auto" w:fill="E7E6E6" w:themeFill="background2"/>
          </w:tcPr>
          <w:p>
            <w:pPr>
              <w:rPr>
                <w:rFonts w:ascii="Times New Roman"/>
                <w:b/>
                <w:bCs/>
                <w:sz w:val="24"/>
              </w:rPr>
            </w:pPr>
            <w:r>
              <w:rPr>
                <w:rFonts w:ascii="Times New Roman"/>
                <w:b/>
                <w:bCs/>
                <w:sz w:val="24"/>
              </w:rPr>
              <w:t>专栏</w:t>
            </w:r>
            <w:r>
              <w:rPr>
                <w:rFonts w:hint="eastAsia" w:ascii="Times New Roman"/>
                <w:b/>
                <w:bCs/>
                <w:sz w:val="24"/>
              </w:rPr>
              <w:t xml:space="preserve">13                                </w:t>
            </w:r>
            <w:r>
              <w:rPr>
                <w:rFonts w:ascii="Times New Roman"/>
                <w:b/>
                <w:bCs/>
                <w:sz w:val="24"/>
              </w:rPr>
              <w:t>基础性公益性地质重点项目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000" w:type="pct"/>
          </w:tcPr>
          <w:p>
            <w:pPr>
              <w:rPr>
                <w:rFonts w:ascii="Times New Roman"/>
                <w:b/>
                <w:sz w:val="21"/>
                <w:szCs w:val="21"/>
              </w:rPr>
            </w:pPr>
            <w:r>
              <w:rPr>
                <w:rFonts w:ascii="Times New Roman"/>
                <w:b/>
                <w:sz w:val="21"/>
                <w:szCs w:val="21"/>
              </w:rPr>
              <w:t>1</w:t>
            </w:r>
            <w:r>
              <w:rPr>
                <w:rFonts w:hint="eastAsia" w:ascii="Times New Roman"/>
                <w:b/>
                <w:sz w:val="21"/>
                <w:szCs w:val="21"/>
              </w:rPr>
              <w:t>、伊宁市城市地质安全风险调查评价</w:t>
            </w:r>
          </w:p>
          <w:p>
            <w:pPr>
              <w:ind w:firstLine="436" w:firstLineChars="200"/>
              <w:rPr>
                <w:rFonts w:ascii="Times New Roman"/>
                <w:sz w:val="21"/>
                <w:szCs w:val="21"/>
              </w:rPr>
            </w:pPr>
            <w:r>
              <w:rPr>
                <w:rFonts w:ascii="Times New Roman"/>
                <w:sz w:val="21"/>
                <w:szCs w:val="21"/>
              </w:rPr>
              <w:t>预期成果：</w:t>
            </w:r>
            <w:r>
              <w:rPr>
                <w:rFonts w:hint="eastAsia" w:ascii="Times New Roman"/>
                <w:sz w:val="21"/>
                <w:szCs w:val="21"/>
              </w:rPr>
              <w:t>查明城市主要地质资源、环境地质问题和地质安全风险，建立全要素地质档案及城市三维地质结构，编制城市地质与安全风险“一张图”，服务城市规划建设和安全运行管理。</w:t>
            </w:r>
          </w:p>
          <w:p>
            <w:pPr>
              <w:ind w:firstLine="436" w:firstLineChars="200"/>
              <w:rPr>
                <w:rFonts w:ascii="Times New Roman"/>
                <w:sz w:val="21"/>
                <w:szCs w:val="21"/>
              </w:rPr>
            </w:pPr>
            <w:r>
              <w:rPr>
                <w:rFonts w:ascii="Times New Roman"/>
                <w:sz w:val="21"/>
                <w:szCs w:val="21"/>
              </w:rPr>
              <w:t>进度安排：202</w:t>
            </w:r>
            <w:r>
              <w:rPr>
                <w:rFonts w:hint="eastAsia" w:ascii="Times New Roman"/>
                <w:sz w:val="21"/>
                <w:szCs w:val="21"/>
              </w:rPr>
              <w:t>1</w:t>
            </w:r>
            <w:r>
              <w:rPr>
                <w:rFonts w:ascii="Times New Roman"/>
                <w:sz w:val="21"/>
                <w:szCs w:val="21"/>
              </w:rPr>
              <w:t>年</w:t>
            </w:r>
            <w:r>
              <w:rPr>
                <w:rFonts w:hint="eastAsia" w:ascii="Times New Roman"/>
                <w:sz w:val="21"/>
                <w:szCs w:val="21"/>
              </w:rPr>
              <w:t>—</w:t>
            </w:r>
            <w:r>
              <w:rPr>
                <w:rFonts w:ascii="Times New Roman"/>
                <w:sz w:val="21"/>
                <w:szCs w:val="21"/>
              </w:rPr>
              <w:t>2025年</w:t>
            </w:r>
          </w:p>
          <w:p>
            <w:pPr>
              <w:rPr>
                <w:rFonts w:ascii="Times New Roman"/>
                <w:b/>
                <w:sz w:val="21"/>
                <w:szCs w:val="21"/>
              </w:rPr>
            </w:pPr>
            <w:r>
              <w:rPr>
                <w:rFonts w:hint="eastAsia" w:ascii="Times New Roman"/>
                <w:b/>
                <w:sz w:val="21"/>
                <w:szCs w:val="21"/>
              </w:rPr>
              <w:t>2、伊宁市-察布查尔县1∶5万土壤地球化学调查</w:t>
            </w:r>
          </w:p>
          <w:p>
            <w:pPr>
              <w:ind w:firstLine="436" w:firstLineChars="200"/>
              <w:rPr>
                <w:rFonts w:ascii="Times New Roman"/>
                <w:sz w:val="21"/>
                <w:szCs w:val="21"/>
              </w:rPr>
            </w:pPr>
            <w:r>
              <w:rPr>
                <w:rFonts w:ascii="Times New Roman"/>
                <w:sz w:val="21"/>
                <w:szCs w:val="21"/>
              </w:rPr>
              <w:t>预期成果：</w:t>
            </w:r>
            <w:r>
              <w:rPr>
                <w:rFonts w:hint="eastAsia" w:ascii="Times New Roman"/>
                <w:sz w:val="21"/>
                <w:szCs w:val="21"/>
              </w:rPr>
              <w:t>针对区内富硒土壤靶区开展1：5万土壤地球化学调查，根据土壤中硒元素平均含量，圈定优先保护区，促进该区特色土地资源开发与高标准农田建设，为提升区内土地资源管护水平提供技术支撑。</w:t>
            </w:r>
          </w:p>
          <w:p>
            <w:pPr>
              <w:ind w:firstLine="436" w:firstLineChars="200"/>
              <w:rPr>
                <w:rFonts w:ascii="Times New Roman"/>
                <w:sz w:val="21"/>
                <w:szCs w:val="21"/>
              </w:rPr>
            </w:pPr>
            <w:r>
              <w:rPr>
                <w:rFonts w:ascii="Times New Roman"/>
                <w:sz w:val="21"/>
                <w:szCs w:val="21"/>
              </w:rPr>
              <w:t>进度安排：2023年</w:t>
            </w:r>
            <w:r>
              <w:rPr>
                <w:rFonts w:hint="eastAsia" w:ascii="Times New Roman"/>
                <w:sz w:val="21"/>
                <w:szCs w:val="21"/>
              </w:rPr>
              <w:t>—</w:t>
            </w:r>
            <w:r>
              <w:rPr>
                <w:rFonts w:ascii="Times New Roman"/>
                <w:sz w:val="21"/>
                <w:szCs w:val="21"/>
              </w:rPr>
              <w:t>2025年</w:t>
            </w:r>
          </w:p>
          <w:p>
            <w:pPr>
              <w:rPr>
                <w:rFonts w:ascii="Times New Roman"/>
                <w:b/>
                <w:sz w:val="21"/>
                <w:szCs w:val="21"/>
              </w:rPr>
            </w:pPr>
            <w:r>
              <w:rPr>
                <w:rFonts w:hint="eastAsia" w:ascii="Times New Roman"/>
                <w:b/>
                <w:sz w:val="21"/>
                <w:szCs w:val="21"/>
              </w:rPr>
              <w:t>3、伊宁市地热资源潜力调查评价</w:t>
            </w:r>
          </w:p>
          <w:p>
            <w:pPr>
              <w:ind w:firstLine="436" w:firstLineChars="200"/>
              <w:rPr>
                <w:rFonts w:ascii="Times New Roman"/>
                <w:sz w:val="21"/>
                <w:szCs w:val="21"/>
              </w:rPr>
            </w:pPr>
            <w:r>
              <w:rPr>
                <w:rFonts w:ascii="Times New Roman"/>
                <w:sz w:val="21"/>
                <w:szCs w:val="21"/>
              </w:rPr>
              <w:t>预期成果：</w:t>
            </w:r>
            <w:r>
              <w:rPr>
                <w:rFonts w:hint="eastAsia" w:ascii="Times New Roman"/>
                <w:sz w:val="21"/>
                <w:szCs w:val="21"/>
              </w:rPr>
              <w:t>通过区内地热调查，查明</w:t>
            </w:r>
            <w:r>
              <w:rPr>
                <w:rFonts w:ascii="Times New Roman"/>
                <w:sz w:val="21"/>
                <w:szCs w:val="21"/>
              </w:rPr>
              <w:t>地层构造、热储层特征、热储压力动态、</w:t>
            </w:r>
            <w:r>
              <w:rPr>
                <w:rFonts w:hint="eastAsia" w:ascii="Times New Roman"/>
                <w:sz w:val="21"/>
                <w:szCs w:val="21"/>
                <w:lang w:eastAsia="zh-CN"/>
              </w:rPr>
              <w:t>径流</w:t>
            </w:r>
            <w:r>
              <w:rPr>
                <w:rFonts w:ascii="Times New Roman"/>
                <w:sz w:val="21"/>
                <w:szCs w:val="21"/>
              </w:rPr>
              <w:t>特征及地热资源量</w:t>
            </w:r>
            <w:r>
              <w:rPr>
                <w:rFonts w:hint="eastAsia" w:ascii="Times New Roman"/>
                <w:sz w:val="21"/>
                <w:szCs w:val="21"/>
              </w:rPr>
              <w:t>，为政府管理部门的规划、开发和进一步勘查提供依据，同时为规划清洁能源的开发利用，并使得地热资源以持续发展，提供了重要的数据和科学依据。</w:t>
            </w:r>
          </w:p>
          <w:p>
            <w:pPr>
              <w:tabs>
                <w:tab w:val="right" w:pos="9002"/>
              </w:tabs>
              <w:ind w:firstLine="436" w:firstLineChars="200"/>
              <w:rPr>
                <w:rFonts w:ascii="Times New Roman"/>
                <w:sz w:val="24"/>
              </w:rPr>
            </w:pPr>
            <w:r>
              <w:rPr>
                <w:rFonts w:ascii="Times New Roman"/>
                <w:sz w:val="21"/>
                <w:szCs w:val="21"/>
              </w:rPr>
              <w:t>进度安排：2022年</w:t>
            </w:r>
            <w:r>
              <w:rPr>
                <w:rFonts w:hint="eastAsia" w:ascii="Times New Roman"/>
                <w:sz w:val="21"/>
                <w:szCs w:val="21"/>
              </w:rPr>
              <w:t>—</w:t>
            </w:r>
            <w:r>
              <w:rPr>
                <w:rFonts w:ascii="Times New Roman"/>
                <w:sz w:val="21"/>
                <w:szCs w:val="21"/>
              </w:rPr>
              <w:t>2024年</w:t>
            </w:r>
            <w:r>
              <w:rPr>
                <w:rFonts w:ascii="Times New Roman"/>
                <w:sz w:val="24"/>
              </w:rPr>
              <w:tab/>
            </w:r>
          </w:p>
        </w:tc>
      </w:tr>
    </w:tbl>
    <w:p>
      <w:pPr>
        <w:ind w:firstLine="659" w:firstLineChars="200"/>
        <w:rPr>
          <w:rFonts w:ascii="Times New Roman"/>
          <w:sz w:val="32"/>
          <w:szCs w:val="32"/>
        </w:rPr>
      </w:pPr>
      <w:r>
        <w:rPr>
          <w:rFonts w:hint="eastAsia" w:ascii="Times New Roman"/>
          <w:b/>
          <w:sz w:val="32"/>
          <w:szCs w:val="32"/>
        </w:rPr>
        <w:t>矿产资源开发利用项目。</w:t>
      </w:r>
      <w:r>
        <w:rPr>
          <w:rFonts w:hint="eastAsia" w:ascii="Times New Roman"/>
          <w:sz w:val="32"/>
          <w:szCs w:val="32"/>
        </w:rPr>
        <w:t>根据国家发改委核准文件，建立资源开发、综合利用、规模化开采的新型绿色矿山模式，以期推动地方就业。（专栏14）</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5000" w:type="pct"/>
            <w:shd w:val="clear" w:color="auto" w:fill="E7E6E6" w:themeFill="background2"/>
          </w:tcPr>
          <w:p>
            <w:pPr>
              <w:rPr>
                <w:rFonts w:ascii="Times New Roman"/>
                <w:b/>
                <w:bCs/>
                <w:sz w:val="24"/>
              </w:rPr>
            </w:pPr>
            <w:r>
              <w:rPr>
                <w:rFonts w:ascii="Times New Roman"/>
                <w:b/>
                <w:bCs/>
                <w:sz w:val="24"/>
              </w:rPr>
              <w:t>专栏</w:t>
            </w:r>
            <w:r>
              <w:rPr>
                <w:rFonts w:hint="eastAsia" w:ascii="Times New Roman"/>
                <w:b/>
                <w:bCs/>
                <w:sz w:val="24"/>
              </w:rPr>
              <w:t>14                                      重点矿山建设工程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000" w:type="pct"/>
          </w:tcPr>
          <w:p>
            <w:pPr>
              <w:rPr>
                <w:rFonts w:ascii="Times New Roman"/>
                <w:b/>
                <w:sz w:val="21"/>
                <w:szCs w:val="21"/>
              </w:rPr>
            </w:pPr>
            <w:r>
              <w:rPr>
                <w:rFonts w:ascii="Times New Roman"/>
                <w:b/>
                <w:sz w:val="21"/>
                <w:szCs w:val="21"/>
              </w:rPr>
              <w:t>1</w:t>
            </w:r>
            <w:r>
              <w:rPr>
                <w:rFonts w:hint="eastAsia" w:ascii="Times New Roman"/>
                <w:b/>
                <w:sz w:val="21"/>
                <w:szCs w:val="21"/>
              </w:rPr>
              <w:t>、伊宁矿区北区干沟煤矿矿山建设（落实伊犁州规划）</w:t>
            </w:r>
          </w:p>
          <w:p>
            <w:pPr>
              <w:ind w:firstLine="436" w:firstLineChars="200"/>
              <w:rPr>
                <w:rFonts w:ascii="Times New Roman"/>
                <w:sz w:val="21"/>
                <w:szCs w:val="21"/>
              </w:rPr>
            </w:pPr>
            <w:r>
              <w:rPr>
                <w:rFonts w:hint="eastAsia" w:ascii="Times New Roman"/>
                <w:sz w:val="21"/>
                <w:szCs w:val="21"/>
              </w:rPr>
              <w:t>实施主体：新疆振兴天原煤业有限责任公司</w:t>
            </w:r>
          </w:p>
          <w:p>
            <w:pPr>
              <w:ind w:firstLine="436" w:firstLineChars="200"/>
              <w:rPr>
                <w:rFonts w:ascii="Times New Roman"/>
                <w:sz w:val="21"/>
                <w:szCs w:val="21"/>
              </w:rPr>
            </w:pPr>
            <w:r>
              <w:rPr>
                <w:rFonts w:hint="eastAsia" w:ascii="Times New Roman"/>
                <w:sz w:val="21"/>
                <w:szCs w:val="21"/>
              </w:rPr>
              <w:t>建设规模</w:t>
            </w:r>
            <w:r>
              <w:rPr>
                <w:rFonts w:ascii="Times New Roman"/>
                <w:sz w:val="21"/>
                <w:szCs w:val="21"/>
              </w:rPr>
              <w:t>：</w:t>
            </w:r>
            <w:r>
              <w:rPr>
                <w:rFonts w:hint="eastAsia" w:ascii="Times New Roman"/>
                <w:sz w:val="21"/>
                <w:szCs w:val="21"/>
              </w:rPr>
              <w:t>240万吨/年，配套建设相同规模的选煤厂。</w:t>
            </w:r>
          </w:p>
          <w:p>
            <w:pPr>
              <w:ind w:firstLine="436" w:firstLineChars="200"/>
              <w:rPr>
                <w:rFonts w:ascii="Times New Roman"/>
                <w:sz w:val="24"/>
              </w:rPr>
            </w:pPr>
            <w:r>
              <w:rPr>
                <w:rFonts w:ascii="Times New Roman"/>
                <w:sz w:val="21"/>
                <w:szCs w:val="21"/>
              </w:rPr>
              <w:t>进度安排：20</w:t>
            </w:r>
            <w:r>
              <w:rPr>
                <w:rFonts w:hint="eastAsia" w:ascii="Times New Roman"/>
                <w:sz w:val="21"/>
                <w:szCs w:val="21"/>
              </w:rPr>
              <w:t>22</w:t>
            </w:r>
            <w:r>
              <w:rPr>
                <w:rFonts w:ascii="Times New Roman"/>
                <w:sz w:val="21"/>
                <w:szCs w:val="21"/>
              </w:rPr>
              <w:t>年</w:t>
            </w:r>
            <w:r>
              <w:rPr>
                <w:rFonts w:hint="eastAsia" w:ascii="Times New Roman"/>
                <w:sz w:val="21"/>
                <w:szCs w:val="21"/>
              </w:rPr>
              <w:t>—</w:t>
            </w:r>
            <w:r>
              <w:rPr>
                <w:rFonts w:ascii="Times New Roman"/>
                <w:sz w:val="21"/>
                <w:szCs w:val="21"/>
              </w:rPr>
              <w:t>2025年</w:t>
            </w:r>
          </w:p>
        </w:tc>
      </w:tr>
    </w:tbl>
    <w:p>
      <w:pPr>
        <w:ind w:firstLine="659" w:firstLineChars="200"/>
        <w:rPr>
          <w:rFonts w:ascii="Times New Roman"/>
          <w:sz w:val="32"/>
          <w:szCs w:val="32"/>
        </w:rPr>
      </w:pPr>
      <w:r>
        <w:rPr>
          <w:rFonts w:hint="eastAsia" w:ascii="Times New Roman"/>
          <w:b/>
          <w:sz w:val="32"/>
          <w:szCs w:val="32"/>
        </w:rPr>
        <w:t>矿山地质环境治理恢复项目。</w:t>
      </w:r>
      <w:r>
        <w:rPr>
          <w:rFonts w:hint="eastAsia" w:ascii="Times New Roman"/>
          <w:sz w:val="32"/>
          <w:szCs w:val="32"/>
        </w:rPr>
        <w:t>实施政府对矿山地质环境保护与治理规划管理，争取山水林田湖草沙冰一体化和系统治理项目，对历史遗留矿山实施治理，使矿山地质环境明显改善，矿产资源得到有效保护和可持续开发利用，做到山更绿天更蓝。（专栏15）</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Layout w:type="fixed"/>
        <w:tblCellMar>
          <w:top w:w="0" w:type="dxa"/>
          <w:left w:w="108" w:type="dxa"/>
          <w:bottom w:w="0" w:type="dxa"/>
          <w:right w:w="108" w:type="dxa"/>
        </w:tblCellMar>
      </w:tblPr>
      <w:tblGrid>
        <w:gridCol w:w="674"/>
        <w:gridCol w:w="3261"/>
        <w:gridCol w:w="1986"/>
        <w:gridCol w:w="1278"/>
        <w:gridCol w:w="1278"/>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CellMar>
            <w:top w:w="0" w:type="dxa"/>
            <w:left w:w="108" w:type="dxa"/>
            <w:bottom w:w="0" w:type="dxa"/>
            <w:right w:w="108" w:type="dxa"/>
          </w:tblCellMar>
        </w:tblPrEx>
        <w:trPr>
          <w:trHeight w:val="339" w:hRule="atLeast"/>
          <w:tblHeader/>
          <w:jc w:val="center"/>
        </w:trPr>
        <w:tc>
          <w:tcPr>
            <w:tcW w:w="5000" w:type="pct"/>
            <w:gridSpan w:val="6"/>
            <w:shd w:val="clear" w:color="auto" w:fill="E7E6E6" w:themeFill="background2"/>
            <w:noWrap/>
            <w:vAlign w:val="center"/>
          </w:tcPr>
          <w:p>
            <w:pPr>
              <w:widowControl/>
              <w:adjustRightInd/>
              <w:snapToGrid/>
              <w:rPr>
                <w:rFonts w:ascii="Times New Roman"/>
                <w:b/>
                <w:bCs/>
                <w:color w:val="000000"/>
                <w:sz w:val="24"/>
              </w:rPr>
            </w:pPr>
            <w:r>
              <w:rPr>
                <w:rFonts w:ascii="Times New Roman"/>
                <w:b/>
                <w:bCs/>
                <w:sz w:val="24"/>
              </w:rPr>
              <w:t>专栏</w:t>
            </w:r>
            <w:r>
              <w:rPr>
                <w:rFonts w:hint="eastAsia" w:ascii="Times New Roman"/>
                <w:b/>
                <w:bCs/>
                <w:sz w:val="24"/>
              </w:rPr>
              <w:t>15                                    矿山地质环境恢复治理项目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CellMar>
            <w:top w:w="0" w:type="dxa"/>
            <w:left w:w="108" w:type="dxa"/>
            <w:bottom w:w="0" w:type="dxa"/>
            <w:right w:w="108" w:type="dxa"/>
          </w:tblCellMar>
        </w:tblPrEx>
        <w:trPr>
          <w:trHeight w:val="523" w:hRule="atLeast"/>
          <w:tblHeader/>
          <w:jc w:val="center"/>
        </w:trPr>
        <w:tc>
          <w:tcPr>
            <w:tcW w:w="366" w:type="pct"/>
            <w:shd w:val="clear" w:color="auto" w:fill="FFFFFF"/>
            <w:noWrap/>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序号</w:t>
            </w:r>
          </w:p>
        </w:tc>
        <w:tc>
          <w:tcPr>
            <w:tcW w:w="1769" w:type="pct"/>
            <w:shd w:val="clear" w:color="auto" w:fill="FFFFFF"/>
            <w:noWrap/>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治理项目名称</w:t>
            </w:r>
          </w:p>
        </w:tc>
        <w:tc>
          <w:tcPr>
            <w:tcW w:w="1077" w:type="pct"/>
            <w:shd w:val="clear" w:color="auto" w:fill="FFFFFF"/>
            <w:noWrap/>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治理面积</w:t>
            </w:r>
          </w:p>
          <w:p>
            <w:pPr>
              <w:widowControl/>
              <w:adjustRightInd/>
              <w:snapToGrid/>
              <w:jc w:val="center"/>
              <w:rPr>
                <w:rFonts w:ascii="Times New Roman"/>
                <w:b/>
                <w:snapToGrid/>
                <w:spacing w:val="0"/>
                <w:sz w:val="21"/>
                <w:szCs w:val="21"/>
              </w:rPr>
            </w:pPr>
            <w:r>
              <w:rPr>
                <w:rFonts w:hint="eastAsia" w:ascii="Times New Roman"/>
                <w:b/>
                <w:snapToGrid/>
                <w:spacing w:val="0"/>
                <w:sz w:val="21"/>
                <w:szCs w:val="21"/>
              </w:rPr>
              <w:t>（km</w:t>
            </w:r>
            <w:r>
              <w:rPr>
                <w:rFonts w:hint="eastAsia" w:ascii="Times New Roman"/>
                <w:b/>
                <w:snapToGrid/>
                <w:spacing w:val="0"/>
                <w:sz w:val="21"/>
                <w:szCs w:val="21"/>
                <w:vertAlign w:val="superscript"/>
              </w:rPr>
              <w:t>2</w:t>
            </w:r>
            <w:r>
              <w:rPr>
                <w:rFonts w:hint="eastAsia" w:ascii="Times New Roman"/>
                <w:b/>
                <w:snapToGrid/>
                <w:spacing w:val="0"/>
                <w:sz w:val="21"/>
                <w:szCs w:val="21"/>
              </w:rPr>
              <w:t>）</w:t>
            </w:r>
          </w:p>
        </w:tc>
        <w:tc>
          <w:tcPr>
            <w:tcW w:w="693" w:type="pct"/>
            <w:shd w:val="clear" w:color="auto" w:fill="FFFFFF"/>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所需资金</w:t>
            </w:r>
          </w:p>
          <w:p>
            <w:pPr>
              <w:widowControl/>
              <w:adjustRightInd/>
              <w:snapToGrid/>
              <w:jc w:val="center"/>
              <w:rPr>
                <w:rFonts w:ascii="Times New Roman"/>
                <w:b/>
                <w:snapToGrid/>
                <w:spacing w:val="0"/>
                <w:sz w:val="21"/>
                <w:szCs w:val="21"/>
              </w:rPr>
            </w:pPr>
            <w:r>
              <w:rPr>
                <w:rFonts w:hint="eastAsia" w:ascii="Times New Roman"/>
                <w:b/>
                <w:snapToGrid/>
                <w:spacing w:val="0"/>
                <w:sz w:val="21"/>
                <w:szCs w:val="21"/>
              </w:rPr>
              <w:t>（万元）</w:t>
            </w:r>
          </w:p>
        </w:tc>
        <w:tc>
          <w:tcPr>
            <w:tcW w:w="693" w:type="pct"/>
            <w:shd w:val="clear" w:color="auto" w:fill="FFFFFF"/>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进度安排</w:t>
            </w:r>
          </w:p>
        </w:tc>
        <w:tc>
          <w:tcPr>
            <w:tcW w:w="402" w:type="pct"/>
            <w:shd w:val="clear" w:color="auto" w:fill="FFFFFF"/>
            <w:vAlign w:val="center"/>
          </w:tcPr>
          <w:p>
            <w:pPr>
              <w:widowControl/>
              <w:adjustRightInd/>
              <w:snapToGrid/>
              <w:jc w:val="center"/>
              <w:rPr>
                <w:rFonts w:ascii="Times New Roman"/>
                <w:b/>
                <w:snapToGrid/>
                <w:spacing w:val="0"/>
                <w:sz w:val="21"/>
                <w:szCs w:val="21"/>
              </w:rPr>
            </w:pPr>
            <w:r>
              <w:rPr>
                <w:rFonts w:hint="eastAsia" w:ascii="Times New Roman"/>
                <w:b/>
                <w:snapToGrid/>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CellMar>
            <w:top w:w="0" w:type="dxa"/>
            <w:left w:w="108" w:type="dxa"/>
            <w:bottom w:w="0" w:type="dxa"/>
            <w:right w:w="108" w:type="dxa"/>
          </w:tblCellMar>
        </w:tblPrEx>
        <w:trPr>
          <w:trHeight w:val="287" w:hRule="atLeast"/>
          <w:jc w:val="center"/>
        </w:trPr>
        <w:tc>
          <w:tcPr>
            <w:tcW w:w="366" w:type="pct"/>
            <w:shd w:val="clear" w:color="auto" w:fill="FFFFFF"/>
            <w:noWrap/>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1</w:t>
            </w:r>
          </w:p>
        </w:tc>
        <w:tc>
          <w:tcPr>
            <w:tcW w:w="1769" w:type="pct"/>
            <w:shd w:val="clear" w:color="auto" w:fill="FFFFFF"/>
            <w:noWrap/>
            <w:vAlign w:val="center"/>
          </w:tcPr>
          <w:p>
            <w:pPr>
              <w:jc w:val="center"/>
              <w:rPr>
                <w:rFonts w:ascii="Times New Roman"/>
                <w:sz w:val="21"/>
                <w:szCs w:val="21"/>
              </w:rPr>
            </w:pPr>
            <w:r>
              <w:rPr>
                <w:rFonts w:hint="eastAsia" w:ascii="Times New Roman"/>
                <w:sz w:val="21"/>
                <w:szCs w:val="21"/>
              </w:rPr>
              <w:t>伊宁市潘津镇上潘津村废弃采坑地质环境治理</w:t>
            </w:r>
          </w:p>
        </w:tc>
        <w:tc>
          <w:tcPr>
            <w:tcW w:w="1077" w:type="pct"/>
            <w:shd w:val="clear" w:color="auto" w:fill="FFFFFF"/>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6.35</w:t>
            </w:r>
          </w:p>
        </w:tc>
        <w:tc>
          <w:tcPr>
            <w:tcW w:w="693"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z w:val="21"/>
                <w:szCs w:val="21"/>
              </w:rPr>
              <w:t>540</w:t>
            </w:r>
          </w:p>
        </w:tc>
        <w:tc>
          <w:tcPr>
            <w:tcW w:w="693" w:type="pct"/>
            <w:shd w:val="clear" w:color="auto" w:fill="FFFFFF"/>
            <w:vAlign w:val="center"/>
          </w:tcPr>
          <w:p>
            <w:pPr>
              <w:widowControl/>
              <w:adjustRightInd/>
              <w:snapToGrid/>
              <w:jc w:val="center"/>
              <w:rPr>
                <w:rFonts w:ascii="Times New Roman"/>
                <w:snapToGrid/>
                <w:spacing w:val="0"/>
                <w:sz w:val="21"/>
                <w:szCs w:val="21"/>
              </w:rPr>
            </w:pPr>
            <w:r>
              <w:rPr>
                <w:rFonts w:ascii="Times New Roman"/>
                <w:sz w:val="21"/>
                <w:szCs w:val="21"/>
              </w:rPr>
              <w:t>20</w:t>
            </w:r>
            <w:r>
              <w:rPr>
                <w:rFonts w:hint="eastAsia" w:ascii="Times New Roman"/>
                <w:sz w:val="21"/>
                <w:szCs w:val="21"/>
              </w:rPr>
              <w:t>21</w:t>
            </w:r>
            <w:r>
              <w:rPr>
                <w:rFonts w:ascii="Times New Roman"/>
                <w:sz w:val="21"/>
                <w:szCs w:val="21"/>
              </w:rPr>
              <w:t>-202</w:t>
            </w:r>
            <w:r>
              <w:rPr>
                <w:rFonts w:hint="eastAsia" w:ascii="Times New Roman"/>
                <w:sz w:val="21"/>
                <w:szCs w:val="21"/>
              </w:rPr>
              <w:t>5</w:t>
            </w:r>
          </w:p>
        </w:tc>
        <w:tc>
          <w:tcPr>
            <w:tcW w:w="402" w:type="pct"/>
            <w:shd w:val="clear" w:color="auto" w:fill="FFFFFF"/>
            <w:vAlign w:val="center"/>
          </w:tcPr>
          <w:p>
            <w:pPr>
              <w:widowControl/>
              <w:adjustRightInd/>
              <w:snapToGrid/>
              <w:jc w:val="center"/>
              <w:rPr>
                <w:rFonts w:ascii="Times New Roman"/>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66" w:type="pct"/>
            <w:shd w:val="clear" w:color="auto" w:fill="FFFFFF"/>
            <w:noWrap/>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2</w:t>
            </w:r>
          </w:p>
        </w:tc>
        <w:tc>
          <w:tcPr>
            <w:tcW w:w="1769" w:type="pct"/>
            <w:shd w:val="clear" w:color="auto" w:fill="FFFFFF"/>
            <w:noWrap/>
            <w:vAlign w:val="center"/>
          </w:tcPr>
          <w:p>
            <w:pPr>
              <w:jc w:val="center"/>
              <w:rPr>
                <w:rFonts w:ascii="Times New Roman"/>
                <w:sz w:val="21"/>
                <w:szCs w:val="21"/>
              </w:rPr>
            </w:pPr>
            <w:r>
              <w:rPr>
                <w:rFonts w:hint="eastAsia" w:ascii="Times New Roman"/>
                <w:sz w:val="21"/>
                <w:szCs w:val="21"/>
              </w:rPr>
              <w:t>伊宁市喀尔墩乡吉里格朗村废弃采坑地质环境治理</w:t>
            </w:r>
          </w:p>
        </w:tc>
        <w:tc>
          <w:tcPr>
            <w:tcW w:w="1077" w:type="pct"/>
            <w:shd w:val="clear" w:color="auto" w:fill="FFFFFF"/>
            <w:vAlign w:val="center"/>
          </w:tcPr>
          <w:p>
            <w:pPr>
              <w:widowControl/>
              <w:adjustRightInd/>
              <w:snapToGrid/>
              <w:jc w:val="center"/>
              <w:rPr>
                <w:rFonts w:ascii="Times New Roman"/>
                <w:snapToGrid/>
                <w:spacing w:val="0"/>
                <w:sz w:val="21"/>
                <w:szCs w:val="21"/>
              </w:rPr>
            </w:pPr>
            <w:r>
              <w:rPr>
                <w:rFonts w:ascii="Times New Roman"/>
                <w:snapToGrid/>
                <w:spacing w:val="0"/>
                <w:sz w:val="21"/>
                <w:szCs w:val="21"/>
              </w:rPr>
              <w:t>5.4</w:t>
            </w:r>
          </w:p>
        </w:tc>
        <w:tc>
          <w:tcPr>
            <w:tcW w:w="693"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z w:val="21"/>
                <w:szCs w:val="21"/>
              </w:rPr>
              <w:t>350</w:t>
            </w:r>
          </w:p>
        </w:tc>
        <w:tc>
          <w:tcPr>
            <w:tcW w:w="693" w:type="pct"/>
            <w:shd w:val="clear" w:color="auto" w:fill="FFFFFF"/>
            <w:vAlign w:val="center"/>
          </w:tcPr>
          <w:p>
            <w:pPr>
              <w:widowControl/>
              <w:adjustRightInd/>
              <w:snapToGrid/>
              <w:jc w:val="center"/>
              <w:rPr>
                <w:rFonts w:ascii="Times New Roman"/>
                <w:snapToGrid/>
                <w:spacing w:val="0"/>
                <w:sz w:val="21"/>
                <w:szCs w:val="21"/>
              </w:rPr>
            </w:pPr>
            <w:r>
              <w:rPr>
                <w:rFonts w:ascii="Times New Roman"/>
                <w:sz w:val="21"/>
                <w:szCs w:val="21"/>
              </w:rPr>
              <w:t>20</w:t>
            </w:r>
            <w:r>
              <w:rPr>
                <w:rFonts w:hint="eastAsia" w:ascii="Times New Roman"/>
                <w:sz w:val="21"/>
                <w:szCs w:val="21"/>
              </w:rPr>
              <w:t>21</w:t>
            </w:r>
            <w:r>
              <w:rPr>
                <w:rFonts w:ascii="Times New Roman"/>
                <w:sz w:val="21"/>
                <w:szCs w:val="21"/>
              </w:rPr>
              <w:t>-202</w:t>
            </w:r>
            <w:r>
              <w:rPr>
                <w:rFonts w:hint="eastAsia" w:ascii="Times New Roman"/>
                <w:sz w:val="21"/>
                <w:szCs w:val="21"/>
              </w:rPr>
              <w:t>5</w:t>
            </w:r>
          </w:p>
        </w:tc>
        <w:tc>
          <w:tcPr>
            <w:tcW w:w="402" w:type="pct"/>
            <w:shd w:val="clear" w:color="auto" w:fill="FFFFFF"/>
            <w:vAlign w:val="center"/>
          </w:tcPr>
          <w:p>
            <w:pPr>
              <w:widowControl/>
              <w:adjustRightInd/>
              <w:snapToGrid/>
              <w:jc w:val="center"/>
              <w:rPr>
                <w:rFonts w:ascii="Times New Roman"/>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CellMar>
            <w:top w:w="0" w:type="dxa"/>
            <w:left w:w="108" w:type="dxa"/>
            <w:bottom w:w="0" w:type="dxa"/>
            <w:right w:w="108" w:type="dxa"/>
          </w:tblCellMar>
        </w:tblPrEx>
        <w:trPr>
          <w:trHeight w:val="291" w:hRule="atLeast"/>
          <w:jc w:val="center"/>
        </w:trPr>
        <w:tc>
          <w:tcPr>
            <w:tcW w:w="366" w:type="pct"/>
            <w:shd w:val="clear" w:color="auto" w:fill="FFFFFF"/>
            <w:noWrap/>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3</w:t>
            </w:r>
          </w:p>
        </w:tc>
        <w:tc>
          <w:tcPr>
            <w:tcW w:w="1769" w:type="pct"/>
            <w:shd w:val="clear" w:color="auto" w:fill="FFFFFF"/>
            <w:noWrap/>
            <w:vAlign w:val="center"/>
          </w:tcPr>
          <w:p>
            <w:pPr>
              <w:jc w:val="center"/>
              <w:rPr>
                <w:rFonts w:ascii="Times New Roman"/>
                <w:sz w:val="21"/>
                <w:szCs w:val="21"/>
              </w:rPr>
            </w:pPr>
            <w:r>
              <w:rPr>
                <w:rFonts w:hint="eastAsia" w:ascii="Times New Roman"/>
                <w:sz w:val="21"/>
                <w:szCs w:val="21"/>
              </w:rPr>
              <w:t>伊宁市巴彦岱镇铁厂沟废弃矿山地质环境治理</w:t>
            </w:r>
          </w:p>
        </w:tc>
        <w:tc>
          <w:tcPr>
            <w:tcW w:w="1077"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4.8</w:t>
            </w:r>
          </w:p>
        </w:tc>
        <w:tc>
          <w:tcPr>
            <w:tcW w:w="693"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z w:val="21"/>
                <w:szCs w:val="21"/>
              </w:rPr>
              <w:t>300</w:t>
            </w:r>
          </w:p>
        </w:tc>
        <w:tc>
          <w:tcPr>
            <w:tcW w:w="693" w:type="pct"/>
            <w:shd w:val="clear" w:color="auto" w:fill="FFFFFF"/>
            <w:vAlign w:val="center"/>
          </w:tcPr>
          <w:p>
            <w:pPr>
              <w:widowControl/>
              <w:adjustRightInd/>
              <w:snapToGrid/>
              <w:jc w:val="center"/>
              <w:rPr>
                <w:rFonts w:ascii="Times New Roman"/>
                <w:snapToGrid/>
                <w:spacing w:val="0"/>
                <w:sz w:val="21"/>
                <w:szCs w:val="21"/>
              </w:rPr>
            </w:pPr>
            <w:r>
              <w:rPr>
                <w:rFonts w:ascii="Times New Roman"/>
                <w:sz w:val="21"/>
                <w:szCs w:val="21"/>
              </w:rPr>
              <w:t>20</w:t>
            </w:r>
            <w:r>
              <w:rPr>
                <w:rFonts w:hint="eastAsia" w:ascii="Times New Roman"/>
                <w:sz w:val="21"/>
                <w:szCs w:val="21"/>
              </w:rPr>
              <w:t>21</w:t>
            </w:r>
            <w:r>
              <w:rPr>
                <w:rFonts w:ascii="Times New Roman"/>
                <w:sz w:val="21"/>
                <w:szCs w:val="21"/>
              </w:rPr>
              <w:t>-202</w:t>
            </w:r>
            <w:r>
              <w:rPr>
                <w:rFonts w:hint="eastAsia" w:ascii="Times New Roman"/>
                <w:sz w:val="21"/>
                <w:szCs w:val="21"/>
              </w:rPr>
              <w:t>5</w:t>
            </w:r>
          </w:p>
        </w:tc>
        <w:tc>
          <w:tcPr>
            <w:tcW w:w="402" w:type="pct"/>
            <w:shd w:val="clear" w:color="auto" w:fill="FFFFFF"/>
            <w:vAlign w:val="center"/>
          </w:tcPr>
          <w:p>
            <w:pPr>
              <w:widowControl/>
              <w:adjustRightInd/>
              <w:snapToGrid/>
              <w:jc w:val="center"/>
              <w:rPr>
                <w:rFonts w:ascii="Times New Roman"/>
                <w:snapToGrid/>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366" w:type="pct"/>
            <w:shd w:val="clear" w:color="auto" w:fill="FFFFFF"/>
            <w:noWrap/>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4</w:t>
            </w:r>
          </w:p>
        </w:tc>
        <w:tc>
          <w:tcPr>
            <w:tcW w:w="1769" w:type="pct"/>
            <w:shd w:val="clear" w:color="auto" w:fill="FFFFFF"/>
            <w:noWrap/>
            <w:vAlign w:val="center"/>
          </w:tcPr>
          <w:p>
            <w:pPr>
              <w:jc w:val="center"/>
              <w:rPr>
                <w:rFonts w:ascii="Times New Roman"/>
                <w:sz w:val="21"/>
                <w:szCs w:val="21"/>
              </w:rPr>
            </w:pPr>
            <w:r>
              <w:rPr>
                <w:rFonts w:hint="eastAsia" w:ascii="Times New Roman"/>
                <w:sz w:val="21"/>
                <w:szCs w:val="21"/>
              </w:rPr>
              <w:t>伊宁市英也尔乡北山坡废弃矿山地质环境治理</w:t>
            </w:r>
          </w:p>
        </w:tc>
        <w:tc>
          <w:tcPr>
            <w:tcW w:w="1077"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napToGrid/>
                <w:spacing w:val="0"/>
                <w:sz w:val="21"/>
                <w:szCs w:val="21"/>
              </w:rPr>
              <w:t>5.6</w:t>
            </w:r>
          </w:p>
        </w:tc>
        <w:tc>
          <w:tcPr>
            <w:tcW w:w="693" w:type="pct"/>
            <w:shd w:val="clear" w:color="auto" w:fill="FFFFFF"/>
            <w:vAlign w:val="center"/>
          </w:tcPr>
          <w:p>
            <w:pPr>
              <w:widowControl/>
              <w:adjustRightInd/>
              <w:snapToGrid/>
              <w:jc w:val="center"/>
              <w:rPr>
                <w:rFonts w:ascii="Times New Roman"/>
                <w:snapToGrid/>
                <w:spacing w:val="0"/>
                <w:sz w:val="21"/>
                <w:szCs w:val="21"/>
              </w:rPr>
            </w:pPr>
            <w:r>
              <w:rPr>
                <w:rFonts w:hint="eastAsia" w:ascii="Times New Roman"/>
                <w:sz w:val="21"/>
                <w:szCs w:val="21"/>
              </w:rPr>
              <w:t>380</w:t>
            </w:r>
          </w:p>
        </w:tc>
        <w:tc>
          <w:tcPr>
            <w:tcW w:w="693" w:type="pct"/>
            <w:shd w:val="clear" w:color="auto" w:fill="FFFFFF"/>
            <w:vAlign w:val="center"/>
          </w:tcPr>
          <w:p>
            <w:pPr>
              <w:widowControl/>
              <w:adjustRightInd/>
              <w:snapToGrid/>
              <w:jc w:val="center"/>
              <w:rPr>
                <w:rFonts w:ascii="Times New Roman"/>
                <w:snapToGrid/>
                <w:spacing w:val="0"/>
                <w:sz w:val="21"/>
                <w:szCs w:val="21"/>
              </w:rPr>
            </w:pPr>
            <w:r>
              <w:rPr>
                <w:rFonts w:ascii="Times New Roman"/>
                <w:sz w:val="21"/>
                <w:szCs w:val="21"/>
              </w:rPr>
              <w:t>20</w:t>
            </w:r>
            <w:r>
              <w:rPr>
                <w:rFonts w:hint="eastAsia" w:ascii="Times New Roman"/>
                <w:sz w:val="21"/>
                <w:szCs w:val="21"/>
              </w:rPr>
              <w:t>21</w:t>
            </w:r>
            <w:r>
              <w:rPr>
                <w:rFonts w:ascii="Times New Roman"/>
                <w:sz w:val="21"/>
                <w:szCs w:val="21"/>
              </w:rPr>
              <w:t>-202</w:t>
            </w:r>
            <w:r>
              <w:rPr>
                <w:rFonts w:hint="eastAsia" w:ascii="Times New Roman"/>
                <w:sz w:val="21"/>
                <w:szCs w:val="21"/>
              </w:rPr>
              <w:t>5</w:t>
            </w:r>
          </w:p>
        </w:tc>
        <w:tc>
          <w:tcPr>
            <w:tcW w:w="402" w:type="pct"/>
            <w:shd w:val="clear" w:color="auto" w:fill="FFFFFF"/>
            <w:vAlign w:val="center"/>
          </w:tcPr>
          <w:p>
            <w:pPr>
              <w:widowControl/>
              <w:adjustRightInd/>
              <w:snapToGrid/>
              <w:jc w:val="center"/>
              <w:rPr>
                <w:rFonts w:ascii="Times New Roman"/>
                <w:snapToGrid/>
                <w:spacing w:val="0"/>
                <w:sz w:val="21"/>
                <w:szCs w:val="21"/>
              </w:rPr>
            </w:pPr>
          </w:p>
        </w:tc>
      </w:tr>
    </w:tbl>
    <w:p>
      <w:pPr>
        <w:pStyle w:val="2"/>
        <w:spacing w:beforeLines="0" w:afterLines="0" w:line="560" w:lineRule="exact"/>
        <w:jc w:val="both"/>
        <w:rPr>
          <w:rFonts w:ascii="黑体" w:hAnsi="黑体" w:eastAsia="黑体"/>
          <w:b w:val="0"/>
          <w:sz w:val="36"/>
          <w:szCs w:val="36"/>
        </w:rPr>
      </w:pPr>
      <w:bookmarkStart w:id="78" w:name="_Toc109827063"/>
      <w:bookmarkStart w:id="79" w:name="_Toc81992891"/>
      <w:r>
        <w:rPr>
          <w:rFonts w:hint="eastAsia" w:ascii="黑体" w:hAnsi="黑体" w:eastAsia="黑体"/>
          <w:b w:val="0"/>
          <w:sz w:val="36"/>
          <w:szCs w:val="36"/>
        </w:rPr>
        <w:t>八、</w:t>
      </w:r>
      <w:r>
        <w:rPr>
          <w:rFonts w:ascii="黑体" w:hAnsi="黑体" w:eastAsia="黑体"/>
          <w:b w:val="0"/>
          <w:sz w:val="36"/>
          <w:szCs w:val="36"/>
        </w:rPr>
        <w:t>规划保障措施</w:t>
      </w:r>
      <w:bookmarkEnd w:id="78"/>
      <w:bookmarkEnd w:id="79"/>
    </w:p>
    <w:p>
      <w:pPr>
        <w:ind w:firstLine="656" w:firstLineChars="200"/>
        <w:rPr>
          <w:rFonts w:ascii="Times New Roman"/>
          <w:sz w:val="32"/>
          <w:szCs w:val="32"/>
        </w:rPr>
      </w:pPr>
      <w:r>
        <w:rPr>
          <w:rFonts w:ascii="Times New Roman"/>
          <w:sz w:val="32"/>
          <w:szCs w:val="32"/>
        </w:rPr>
        <w:t>本《规划》一经批准，必须严格执行，不得擅自修改。在规划实施过程中应加强组织领导，落实责任主体，加大资金筹措力度，加强宣传和社会监督。</w:t>
      </w:r>
    </w:p>
    <w:p>
      <w:pPr>
        <w:ind w:firstLine="659" w:firstLineChars="200"/>
        <w:rPr>
          <w:rFonts w:ascii="Times New Roman"/>
          <w:sz w:val="32"/>
          <w:szCs w:val="32"/>
        </w:rPr>
      </w:pPr>
      <w:bookmarkStart w:id="80" w:name="_Toc311639804"/>
      <w:r>
        <w:rPr>
          <w:rFonts w:ascii="Times New Roman"/>
          <w:b/>
          <w:sz w:val="32"/>
          <w:szCs w:val="32"/>
        </w:rPr>
        <w:t>加强组织领导</w:t>
      </w:r>
      <w:r>
        <w:rPr>
          <w:rFonts w:hint="eastAsia" w:ascii="Times New Roman"/>
          <w:b/>
          <w:sz w:val="32"/>
          <w:szCs w:val="32"/>
        </w:rPr>
        <w:t>。</w:t>
      </w:r>
      <w:r>
        <w:rPr>
          <w:rFonts w:ascii="Times New Roman"/>
          <w:sz w:val="32"/>
          <w:szCs w:val="32"/>
        </w:rPr>
        <w:t>加强矿产资源规划实施的领导和协调，把矿产资源规划纳入市国民经济和社会发展的一部分，统一组织实施。自然资源部门切实履行对矿产资源调查评价、勘查、合理开发利用和保护的职能，制定和完善相关的管理制度，加强对矿产资源规划实施的监督管理。严格按照矿产资源规划要求审批、管理探矿权、采矿权，把矿产资源规划的实施管理纳入分管领导和主管部门的任期目标。各矿山企业也要严格遵守矿产资源规划，切实执行本规划，以规划要求，组织矿产开发活动和加工利用。</w:t>
      </w:r>
    </w:p>
    <w:bookmarkEnd w:id="80"/>
    <w:p>
      <w:pPr>
        <w:ind w:firstLine="659" w:firstLineChars="200"/>
        <w:rPr>
          <w:rFonts w:ascii="Times New Roman"/>
          <w:sz w:val="32"/>
          <w:szCs w:val="32"/>
        </w:rPr>
      </w:pPr>
      <w:r>
        <w:rPr>
          <w:rFonts w:ascii="Times New Roman"/>
          <w:b/>
          <w:sz w:val="32"/>
          <w:szCs w:val="32"/>
        </w:rPr>
        <w:t>强化实施保障</w:t>
      </w:r>
      <w:r>
        <w:rPr>
          <w:rFonts w:hint="eastAsia" w:ascii="Times New Roman"/>
          <w:b/>
          <w:sz w:val="32"/>
          <w:szCs w:val="32"/>
        </w:rPr>
        <w:t>。</w:t>
      </w:r>
      <w:r>
        <w:rPr>
          <w:rFonts w:hint="eastAsia" w:ascii="Times New Roman"/>
          <w:sz w:val="32"/>
          <w:szCs w:val="32"/>
        </w:rPr>
        <w:t>伊宁市</w:t>
      </w:r>
      <w:r>
        <w:rPr>
          <w:rFonts w:ascii="Times New Roman"/>
          <w:sz w:val="32"/>
          <w:szCs w:val="32"/>
        </w:rPr>
        <w:t>矿产资源</w:t>
      </w:r>
      <w:r>
        <w:rPr>
          <w:rFonts w:hint="eastAsia" w:ascii="Times New Roman"/>
          <w:sz w:val="32"/>
          <w:szCs w:val="32"/>
        </w:rPr>
        <w:t>总体</w:t>
      </w:r>
      <w:r>
        <w:rPr>
          <w:rFonts w:ascii="Times New Roman"/>
          <w:sz w:val="32"/>
          <w:szCs w:val="32"/>
        </w:rPr>
        <w:t>规划发布后，</w:t>
      </w:r>
      <w:r>
        <w:rPr>
          <w:rFonts w:hint="eastAsia" w:ascii="Times New Roman"/>
          <w:sz w:val="32"/>
          <w:szCs w:val="32"/>
        </w:rPr>
        <w:t>规划期内</w:t>
      </w:r>
      <w:r>
        <w:rPr>
          <w:rFonts w:ascii="Times New Roman"/>
          <w:sz w:val="32"/>
          <w:szCs w:val="32"/>
        </w:rPr>
        <w:t>积极争取国家和省财政资金，加强多部门的协调合作，拓宽融资渠道，广泛吸引社会资金，开辟多元化投资渠道，鼓励社会资金投入，组织实施关系全局、带动作用强的重大工程，完成规划制定的目标任务。通过重大工程的实施，使矿产资源勘查取得重大突破，保障矿产资源的有效供给，促进矿产资源的科学、合理利用，提高矿产资源开发利用的水平和效率，努力形成绿色矿业格局。</w:t>
      </w:r>
    </w:p>
    <w:p>
      <w:pPr>
        <w:ind w:firstLine="659" w:firstLineChars="200"/>
        <w:rPr>
          <w:rFonts w:ascii="Times New Roman"/>
          <w:sz w:val="32"/>
          <w:szCs w:val="32"/>
        </w:rPr>
      </w:pPr>
      <w:r>
        <w:rPr>
          <w:rFonts w:ascii="Times New Roman"/>
          <w:b/>
          <w:sz w:val="32"/>
          <w:szCs w:val="32"/>
        </w:rPr>
        <w:t>健全完善规划实施评估调整机制</w:t>
      </w:r>
      <w:r>
        <w:rPr>
          <w:rFonts w:hint="eastAsia" w:ascii="Times New Roman"/>
          <w:b/>
          <w:sz w:val="32"/>
          <w:szCs w:val="32"/>
        </w:rPr>
        <w:t>。</w:t>
      </w:r>
      <w:r>
        <w:rPr>
          <w:rFonts w:ascii="Times New Roman"/>
          <w:sz w:val="32"/>
          <w:szCs w:val="32"/>
        </w:rPr>
        <w:t>建立规划年度实施制度，完善规划实施评估调整机制。对</w:t>
      </w:r>
      <w:r>
        <w:rPr>
          <w:rFonts w:hint="eastAsia" w:ascii="Times New Roman"/>
          <w:sz w:val="32"/>
          <w:szCs w:val="32"/>
        </w:rPr>
        <w:t>规划实施情况进行年度和中期评估，总结规划实施的经验和不足，分析规划实施存在的问题，研究矿产资源勘查、开发面临的新形势，必须对规划调整的必要性和合理性进行评估，严格按照法定程序进行审批，统筹部署全区矿产资源规划调整与上图入库的有关工作，确保调整内容的科学、合理和可行。建立规划数据库动态更新机制。</w:t>
      </w:r>
    </w:p>
    <w:p>
      <w:pPr>
        <w:ind w:firstLine="659" w:firstLineChars="200"/>
        <w:rPr>
          <w:rFonts w:ascii="Times New Roman"/>
          <w:sz w:val="32"/>
          <w:szCs w:val="32"/>
        </w:rPr>
      </w:pPr>
      <w:r>
        <w:rPr>
          <w:rFonts w:ascii="Times New Roman"/>
          <w:b/>
          <w:sz w:val="32"/>
          <w:szCs w:val="32"/>
        </w:rPr>
        <w:t>加强规划实施情况监督检查。</w:t>
      </w:r>
      <w:r>
        <w:rPr>
          <w:rFonts w:ascii="Times New Roman"/>
          <w:sz w:val="32"/>
          <w:szCs w:val="32"/>
        </w:rPr>
        <w:t>自然资源主管部门要切实加强对矿产资源规划实施情况的监督检查，并将其列入自然资源执法监督的重要内容，及时发现并纠正各种违反规划的行为。要逐步建立公众参与、规划公示等制度。加强规划宣传，公布监督渠道，主动接受社会对规划实施的监督。建立信息反馈制度，及时向市人民政府和自治区自然资源主管部门报告规划实施情况监督检查结果。</w:t>
      </w:r>
    </w:p>
    <w:p>
      <w:pPr>
        <w:ind w:firstLine="659" w:firstLineChars="200"/>
        <w:rPr>
          <w:rFonts w:ascii="Times New Roman"/>
          <w:b/>
          <w:sz w:val="32"/>
          <w:szCs w:val="32"/>
        </w:rPr>
      </w:pPr>
      <w:r>
        <w:rPr>
          <w:rFonts w:ascii="Times New Roman"/>
          <w:b/>
          <w:sz w:val="32"/>
          <w:szCs w:val="32"/>
        </w:rPr>
        <w:t>提高规划管理信息化水平</w:t>
      </w:r>
      <w:r>
        <w:rPr>
          <w:rFonts w:hint="eastAsia" w:ascii="Times New Roman"/>
          <w:b/>
          <w:sz w:val="32"/>
          <w:szCs w:val="32"/>
        </w:rPr>
        <w:t>。</w:t>
      </w:r>
      <w:r>
        <w:rPr>
          <w:rFonts w:ascii="Times New Roman"/>
          <w:sz w:val="32"/>
          <w:szCs w:val="32"/>
        </w:rPr>
        <w:t>充分利用信息技术，开发利用信息资源，全面促进矿产资源规划交流和知识共享，提高矿产资源的立体式管理和生态文明的全方位建设。依托已建立的矿产资源规划编制实施管理系统，遵循整体规划、统一建设、分步实施的原则，实现国家、省（自治区）、市（自治州）、县四级规划成果管理，互联共享，进度全局掌控，审查一把尺子，平台全国一体，对外一个窗口，强化矿产资源规划的统一性和权威性。</w:t>
      </w:r>
    </w:p>
    <w:p>
      <w:pPr>
        <w:ind w:firstLine="659" w:firstLineChars="200"/>
        <w:rPr>
          <w:rFonts w:ascii="Times New Roman"/>
          <w:sz w:val="32"/>
          <w:szCs w:val="32"/>
        </w:rPr>
      </w:pPr>
      <w:r>
        <w:rPr>
          <w:rFonts w:ascii="Times New Roman"/>
          <w:b/>
          <w:sz w:val="32"/>
          <w:szCs w:val="32"/>
        </w:rPr>
        <w:t>注重宣传引领</w:t>
      </w:r>
      <w:r>
        <w:rPr>
          <w:rFonts w:hint="eastAsia" w:ascii="Times New Roman"/>
          <w:b/>
          <w:sz w:val="32"/>
          <w:szCs w:val="32"/>
        </w:rPr>
        <w:t>。</w:t>
      </w:r>
      <w:r>
        <w:rPr>
          <w:rFonts w:hint="eastAsia" w:ascii="Times New Roman"/>
          <w:sz w:val="32"/>
          <w:szCs w:val="32"/>
        </w:rPr>
        <w:t>主管</w:t>
      </w:r>
      <w:r>
        <w:rPr>
          <w:rFonts w:ascii="Times New Roman"/>
          <w:sz w:val="32"/>
          <w:szCs w:val="32"/>
        </w:rPr>
        <w:t>部门要做好规划的宣传解读，提高社会各界对规划的认知度，动员全社会关心支持矿业经济发展。积极开展相关培训指导，及时分析规划实施及监测评估典型案例，总结推广先进经验，凝聚矿产资源管理改革的共识与合力，为规划实施营造良好的社会环境。</w:t>
      </w:r>
    </w:p>
    <w:p>
      <w:pPr>
        <w:ind w:firstLine="659" w:firstLineChars="200"/>
        <w:rPr>
          <w:rFonts w:ascii="Times New Roman"/>
          <w:sz w:val="32"/>
          <w:szCs w:val="32"/>
        </w:rPr>
      </w:pPr>
      <w:r>
        <w:rPr>
          <w:rFonts w:hint="eastAsia" w:ascii="Times New Roman"/>
          <w:b/>
          <w:bCs/>
          <w:sz w:val="32"/>
          <w:szCs w:val="32"/>
        </w:rPr>
        <w:t>加强安全生产。</w:t>
      </w:r>
      <w:r>
        <w:rPr>
          <w:rFonts w:hint="eastAsia" w:ascii="Times New Roman"/>
          <w:sz w:val="32"/>
          <w:szCs w:val="32"/>
        </w:rPr>
        <w:t>加大矿产资源勘查开发安全生产监管力度，实现矿业秩序的根本好转，营造良好的安全生产环境。配合上级自然资源部门及政府做好决定关闭矿山采矿许可证的注销工作；配合安监部门对安全隐患多、经济效益差、环境污染严重的小矿山实行依法关停；严格矿山新建、改扩建项目的审查把关。以地毯式排查和经常性巡查相结合，对矿产勘查、开采行为进行排查，对违法违规行为逐一立案，做到查处、整改、落实“三到位”。结合矿产卫片执法检查，对重点地区伪变化图斑进行逐一复查，跟踪督导整改情况，落实整改到位。对有重大影响的典型案件要挂牌督办；打击非法采矿、强化安全生产环境起到促进作用。</w:t>
      </w:r>
    </w:p>
    <w:sectPr>
      <w:pgSz w:w="11906" w:h="16838"/>
      <w:pgMar w:top="1452" w:right="1452" w:bottom="1452" w:left="1452"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319" w:wrap="around" w:vAnchor="text" w:hAnchor="page" w:x="5910" w:y="-7"/>
      <w:rPr>
        <w:rStyle w:val="41"/>
      </w:rPr>
    </w:pPr>
    <w:r>
      <w:fldChar w:fldCharType="begin"/>
    </w:r>
    <w:r>
      <w:rPr>
        <w:rStyle w:val="41"/>
      </w:rPr>
      <w:instrText xml:space="preserve">PAGE  </w:instrText>
    </w:r>
    <w:r>
      <w:fldChar w:fldCharType="separate"/>
    </w:r>
    <w:r>
      <w:rPr>
        <w:rStyle w:val="41"/>
      </w:rPr>
      <w:t>1</w:t>
    </w:r>
    <w:r>
      <w:fldChar w:fldCharType="end"/>
    </w:r>
  </w:p>
  <w:p>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after="120"/>
      <w:ind w:right="360" w:firstLine="7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inside" w:y="1"/>
    </w:pPr>
    <w:r>
      <w:fldChar w:fldCharType="begin"/>
    </w:r>
    <w:r>
      <w:instrText xml:space="preserve">PAGE  </w:instrText>
    </w:r>
    <w:r>
      <w:fldChar w:fldCharType="separate"/>
    </w:r>
    <w:r>
      <w:t>458</w:t>
    </w:r>
    <w:r>
      <w:fldChar w:fldCharType="end"/>
    </w:r>
  </w:p>
  <w:p>
    <w:pP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3975389"/>
      <w:docPartObj>
        <w:docPartGallery w:val="autotext"/>
      </w:docPartObj>
    </w:sdtPr>
    <w:sdtEndPr>
      <w:rPr>
        <w:rFonts w:ascii="Times New Roman"/>
        <w:sz w:val="24"/>
        <w:szCs w:val="24"/>
      </w:rPr>
    </w:sdtEndPr>
    <w:sdtContent>
      <w:p>
        <w:pPr>
          <w:pStyle w:val="23"/>
          <w:jc w:val="center"/>
          <w:rPr>
            <w:rFonts w:ascii="Times New Roman"/>
            <w:sz w:val="24"/>
            <w:szCs w:val="24"/>
          </w:rPr>
        </w:pPr>
        <w:r>
          <w:rPr>
            <w:rFonts w:ascii="Times New Roman"/>
            <w:sz w:val="24"/>
            <w:szCs w:val="24"/>
          </w:rPr>
          <w:fldChar w:fldCharType="begin"/>
        </w:r>
        <w:r>
          <w:rPr>
            <w:rFonts w:ascii="Times New Roman"/>
            <w:sz w:val="24"/>
            <w:szCs w:val="24"/>
          </w:rPr>
          <w:instrText xml:space="preserve">PAGE   \* MERGEFORMAT</w:instrText>
        </w:r>
        <w:r>
          <w:rPr>
            <w:rFonts w:ascii="Times New Roman"/>
            <w:sz w:val="24"/>
            <w:szCs w:val="24"/>
          </w:rPr>
          <w:fldChar w:fldCharType="separate"/>
        </w:r>
        <w:r>
          <w:rPr>
            <w:rFonts w:ascii="Times New Roman"/>
            <w:sz w:val="24"/>
            <w:szCs w:val="24"/>
            <w:lang w:val="zh-CN"/>
          </w:rPr>
          <w:t>30</w:t>
        </w:r>
        <w:r>
          <w:rPr>
            <w:rFonts w:asci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inside" w:y="1"/>
    </w:pPr>
    <w:r>
      <w:fldChar w:fldCharType="begin"/>
    </w:r>
    <w:r>
      <w:instrText xml:space="preserve">PAGE  </w:instrText>
    </w:r>
    <w:r>
      <w:fldChar w:fldCharType="separate"/>
    </w:r>
    <w:r>
      <w:t>458</w:t>
    </w:r>
    <w:r>
      <w:fldChar w:fldCharType="end"/>
    </w:r>
  </w:p>
  <w:p>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numFmt w:val="decimal"/>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NWIzYjFkMTQzNjQxOTE1MzU4ZmEyYzRlYjNiOWMifQ=="/>
  </w:docVars>
  <w:rsids>
    <w:rsidRoot w:val="00960812"/>
    <w:rsid w:val="00001278"/>
    <w:rsid w:val="00013B4B"/>
    <w:rsid w:val="000149B2"/>
    <w:rsid w:val="000160F8"/>
    <w:rsid w:val="00024148"/>
    <w:rsid w:val="00025074"/>
    <w:rsid w:val="000253C6"/>
    <w:rsid w:val="00025934"/>
    <w:rsid w:val="00025A5C"/>
    <w:rsid w:val="00025FFF"/>
    <w:rsid w:val="00026F9C"/>
    <w:rsid w:val="00027980"/>
    <w:rsid w:val="00031E81"/>
    <w:rsid w:val="0003206D"/>
    <w:rsid w:val="00034D5C"/>
    <w:rsid w:val="0003517F"/>
    <w:rsid w:val="0004037B"/>
    <w:rsid w:val="000408C5"/>
    <w:rsid w:val="0004160F"/>
    <w:rsid w:val="00041ED0"/>
    <w:rsid w:val="000477C2"/>
    <w:rsid w:val="00054257"/>
    <w:rsid w:val="000566FC"/>
    <w:rsid w:val="00056C2E"/>
    <w:rsid w:val="00060B60"/>
    <w:rsid w:val="0006133F"/>
    <w:rsid w:val="0006183C"/>
    <w:rsid w:val="00061F09"/>
    <w:rsid w:val="00066CCF"/>
    <w:rsid w:val="00075CA4"/>
    <w:rsid w:val="00082A6A"/>
    <w:rsid w:val="000954C5"/>
    <w:rsid w:val="000959F5"/>
    <w:rsid w:val="00097591"/>
    <w:rsid w:val="00097BF5"/>
    <w:rsid w:val="000A1187"/>
    <w:rsid w:val="000A3EA0"/>
    <w:rsid w:val="000B2071"/>
    <w:rsid w:val="000B3F85"/>
    <w:rsid w:val="000C140D"/>
    <w:rsid w:val="000C22D7"/>
    <w:rsid w:val="000C2805"/>
    <w:rsid w:val="000C63C8"/>
    <w:rsid w:val="000C7B69"/>
    <w:rsid w:val="000D22D4"/>
    <w:rsid w:val="000D3A7C"/>
    <w:rsid w:val="000E007F"/>
    <w:rsid w:val="000E1791"/>
    <w:rsid w:val="000E2663"/>
    <w:rsid w:val="000E3E7F"/>
    <w:rsid w:val="000E6FF9"/>
    <w:rsid w:val="000F3582"/>
    <w:rsid w:val="000F3FCC"/>
    <w:rsid w:val="000F4B1D"/>
    <w:rsid w:val="000F72BB"/>
    <w:rsid w:val="00102F9C"/>
    <w:rsid w:val="00112AB6"/>
    <w:rsid w:val="00113E68"/>
    <w:rsid w:val="00116810"/>
    <w:rsid w:val="00117B57"/>
    <w:rsid w:val="001210E2"/>
    <w:rsid w:val="001214D7"/>
    <w:rsid w:val="001258C0"/>
    <w:rsid w:val="00126439"/>
    <w:rsid w:val="00126A58"/>
    <w:rsid w:val="0012748A"/>
    <w:rsid w:val="00131086"/>
    <w:rsid w:val="0013493F"/>
    <w:rsid w:val="00135392"/>
    <w:rsid w:val="001368F8"/>
    <w:rsid w:val="00136F94"/>
    <w:rsid w:val="001378A0"/>
    <w:rsid w:val="0014249B"/>
    <w:rsid w:val="00144F75"/>
    <w:rsid w:val="00150A1E"/>
    <w:rsid w:val="00151D83"/>
    <w:rsid w:val="001533A2"/>
    <w:rsid w:val="00154F4E"/>
    <w:rsid w:val="001558BD"/>
    <w:rsid w:val="00172DCB"/>
    <w:rsid w:val="00177BA0"/>
    <w:rsid w:val="00185779"/>
    <w:rsid w:val="00186194"/>
    <w:rsid w:val="00191081"/>
    <w:rsid w:val="001923AB"/>
    <w:rsid w:val="001A1D6C"/>
    <w:rsid w:val="001A524E"/>
    <w:rsid w:val="001A73D1"/>
    <w:rsid w:val="001B1EF1"/>
    <w:rsid w:val="001B4BCD"/>
    <w:rsid w:val="001C0397"/>
    <w:rsid w:val="001D0F75"/>
    <w:rsid w:val="001D10F6"/>
    <w:rsid w:val="001D17B4"/>
    <w:rsid w:val="001D2FC0"/>
    <w:rsid w:val="001D3F8F"/>
    <w:rsid w:val="001D4866"/>
    <w:rsid w:val="001D731B"/>
    <w:rsid w:val="001D7B11"/>
    <w:rsid w:val="001E0FCB"/>
    <w:rsid w:val="001E3845"/>
    <w:rsid w:val="001E39F6"/>
    <w:rsid w:val="001E3B82"/>
    <w:rsid w:val="001E4A4E"/>
    <w:rsid w:val="001F3DD8"/>
    <w:rsid w:val="001F7108"/>
    <w:rsid w:val="002019DE"/>
    <w:rsid w:val="00202712"/>
    <w:rsid w:val="00207C00"/>
    <w:rsid w:val="00210467"/>
    <w:rsid w:val="00210519"/>
    <w:rsid w:val="002126DA"/>
    <w:rsid w:val="002128CD"/>
    <w:rsid w:val="002138BA"/>
    <w:rsid w:val="00214A27"/>
    <w:rsid w:val="00215B0B"/>
    <w:rsid w:val="00215E73"/>
    <w:rsid w:val="0022007C"/>
    <w:rsid w:val="002266C7"/>
    <w:rsid w:val="00226A9F"/>
    <w:rsid w:val="002273A5"/>
    <w:rsid w:val="002323BE"/>
    <w:rsid w:val="00232FB1"/>
    <w:rsid w:val="00234E1F"/>
    <w:rsid w:val="00235DE6"/>
    <w:rsid w:val="00236E3B"/>
    <w:rsid w:val="0024050B"/>
    <w:rsid w:val="002415A5"/>
    <w:rsid w:val="00243E3E"/>
    <w:rsid w:val="0024538E"/>
    <w:rsid w:val="00246CC0"/>
    <w:rsid w:val="002474D7"/>
    <w:rsid w:val="00256029"/>
    <w:rsid w:val="00257030"/>
    <w:rsid w:val="00257FDC"/>
    <w:rsid w:val="002606E0"/>
    <w:rsid w:val="00260E8C"/>
    <w:rsid w:val="002638F9"/>
    <w:rsid w:val="002642BD"/>
    <w:rsid w:val="0026470C"/>
    <w:rsid w:val="0026571C"/>
    <w:rsid w:val="00271877"/>
    <w:rsid w:val="00272218"/>
    <w:rsid w:val="0027239A"/>
    <w:rsid w:val="00272727"/>
    <w:rsid w:val="00275914"/>
    <w:rsid w:val="00275C69"/>
    <w:rsid w:val="002808C1"/>
    <w:rsid w:val="002823DB"/>
    <w:rsid w:val="00283906"/>
    <w:rsid w:val="002842A3"/>
    <w:rsid w:val="0028535A"/>
    <w:rsid w:val="002856EC"/>
    <w:rsid w:val="00290F63"/>
    <w:rsid w:val="00292D8F"/>
    <w:rsid w:val="00294C4B"/>
    <w:rsid w:val="002954D4"/>
    <w:rsid w:val="00295BBB"/>
    <w:rsid w:val="00296694"/>
    <w:rsid w:val="002A08E5"/>
    <w:rsid w:val="002A4127"/>
    <w:rsid w:val="002A720E"/>
    <w:rsid w:val="002A7802"/>
    <w:rsid w:val="002A7831"/>
    <w:rsid w:val="002B21A8"/>
    <w:rsid w:val="002B2690"/>
    <w:rsid w:val="002B36A4"/>
    <w:rsid w:val="002B463D"/>
    <w:rsid w:val="002B5F9B"/>
    <w:rsid w:val="002C15F9"/>
    <w:rsid w:val="002C3359"/>
    <w:rsid w:val="002C4FBB"/>
    <w:rsid w:val="002C6D4F"/>
    <w:rsid w:val="002E2990"/>
    <w:rsid w:val="002E4EC3"/>
    <w:rsid w:val="002E6733"/>
    <w:rsid w:val="002F0B7F"/>
    <w:rsid w:val="002F540B"/>
    <w:rsid w:val="00301754"/>
    <w:rsid w:val="0030200F"/>
    <w:rsid w:val="00304C1B"/>
    <w:rsid w:val="00314717"/>
    <w:rsid w:val="00314ED8"/>
    <w:rsid w:val="00316518"/>
    <w:rsid w:val="003174D1"/>
    <w:rsid w:val="003176CE"/>
    <w:rsid w:val="00320EC7"/>
    <w:rsid w:val="00321A98"/>
    <w:rsid w:val="00325CDF"/>
    <w:rsid w:val="00330FBA"/>
    <w:rsid w:val="00334F5F"/>
    <w:rsid w:val="003365EB"/>
    <w:rsid w:val="00336C1E"/>
    <w:rsid w:val="00337C49"/>
    <w:rsid w:val="00343183"/>
    <w:rsid w:val="00344368"/>
    <w:rsid w:val="003470D6"/>
    <w:rsid w:val="003477E2"/>
    <w:rsid w:val="00351A18"/>
    <w:rsid w:val="00353286"/>
    <w:rsid w:val="0035420F"/>
    <w:rsid w:val="003543CE"/>
    <w:rsid w:val="00355447"/>
    <w:rsid w:val="003556BC"/>
    <w:rsid w:val="00356F15"/>
    <w:rsid w:val="003574CC"/>
    <w:rsid w:val="00361B16"/>
    <w:rsid w:val="00364888"/>
    <w:rsid w:val="00365B64"/>
    <w:rsid w:val="00366AE4"/>
    <w:rsid w:val="003679A3"/>
    <w:rsid w:val="003703A9"/>
    <w:rsid w:val="003711EA"/>
    <w:rsid w:val="003744E7"/>
    <w:rsid w:val="0037650A"/>
    <w:rsid w:val="00376B90"/>
    <w:rsid w:val="003776A8"/>
    <w:rsid w:val="00380ADB"/>
    <w:rsid w:val="00381F20"/>
    <w:rsid w:val="00382F24"/>
    <w:rsid w:val="003852A0"/>
    <w:rsid w:val="00385A42"/>
    <w:rsid w:val="00385F2D"/>
    <w:rsid w:val="00387E9D"/>
    <w:rsid w:val="0039440D"/>
    <w:rsid w:val="00394FD4"/>
    <w:rsid w:val="003A116B"/>
    <w:rsid w:val="003A3437"/>
    <w:rsid w:val="003A5F09"/>
    <w:rsid w:val="003A7E33"/>
    <w:rsid w:val="003B3DA1"/>
    <w:rsid w:val="003B7959"/>
    <w:rsid w:val="003C0AC3"/>
    <w:rsid w:val="003C2323"/>
    <w:rsid w:val="003C26A1"/>
    <w:rsid w:val="003C2963"/>
    <w:rsid w:val="003C3F44"/>
    <w:rsid w:val="003C470F"/>
    <w:rsid w:val="003C59D5"/>
    <w:rsid w:val="003C60E7"/>
    <w:rsid w:val="003C74A5"/>
    <w:rsid w:val="003D0661"/>
    <w:rsid w:val="003D40C0"/>
    <w:rsid w:val="003D42E6"/>
    <w:rsid w:val="003D62B3"/>
    <w:rsid w:val="003E018C"/>
    <w:rsid w:val="003E1D7D"/>
    <w:rsid w:val="003E5BD4"/>
    <w:rsid w:val="003E6750"/>
    <w:rsid w:val="003E6E03"/>
    <w:rsid w:val="003E754B"/>
    <w:rsid w:val="003F0A42"/>
    <w:rsid w:val="003F28F4"/>
    <w:rsid w:val="003F44EC"/>
    <w:rsid w:val="003F4BEA"/>
    <w:rsid w:val="003F618F"/>
    <w:rsid w:val="003F6AE1"/>
    <w:rsid w:val="003F7EBB"/>
    <w:rsid w:val="004007ED"/>
    <w:rsid w:val="00402D63"/>
    <w:rsid w:val="00404F31"/>
    <w:rsid w:val="004059BE"/>
    <w:rsid w:val="00410527"/>
    <w:rsid w:val="00414F23"/>
    <w:rsid w:val="00415580"/>
    <w:rsid w:val="00416193"/>
    <w:rsid w:val="004178EF"/>
    <w:rsid w:val="00417F70"/>
    <w:rsid w:val="0042194E"/>
    <w:rsid w:val="00422DE3"/>
    <w:rsid w:val="00423FF9"/>
    <w:rsid w:val="004241D6"/>
    <w:rsid w:val="004250B8"/>
    <w:rsid w:val="00427A72"/>
    <w:rsid w:val="00427B0D"/>
    <w:rsid w:val="00427D0E"/>
    <w:rsid w:val="0043219A"/>
    <w:rsid w:val="00433623"/>
    <w:rsid w:val="00433D40"/>
    <w:rsid w:val="004404D9"/>
    <w:rsid w:val="00440802"/>
    <w:rsid w:val="00444EE1"/>
    <w:rsid w:val="0044616A"/>
    <w:rsid w:val="0044733E"/>
    <w:rsid w:val="0045028C"/>
    <w:rsid w:val="004508B0"/>
    <w:rsid w:val="00450F16"/>
    <w:rsid w:val="00451890"/>
    <w:rsid w:val="00452B22"/>
    <w:rsid w:val="00453355"/>
    <w:rsid w:val="00455E04"/>
    <w:rsid w:val="00460F5F"/>
    <w:rsid w:val="00461723"/>
    <w:rsid w:val="004660E7"/>
    <w:rsid w:val="0046616A"/>
    <w:rsid w:val="00467556"/>
    <w:rsid w:val="00472BFE"/>
    <w:rsid w:val="00474C90"/>
    <w:rsid w:val="00474E01"/>
    <w:rsid w:val="00474FEB"/>
    <w:rsid w:val="00480D88"/>
    <w:rsid w:val="004818C0"/>
    <w:rsid w:val="004818F2"/>
    <w:rsid w:val="0048595D"/>
    <w:rsid w:val="00494EF9"/>
    <w:rsid w:val="00496506"/>
    <w:rsid w:val="004A0B33"/>
    <w:rsid w:val="004A1CC8"/>
    <w:rsid w:val="004A32B3"/>
    <w:rsid w:val="004A742A"/>
    <w:rsid w:val="004A7ECA"/>
    <w:rsid w:val="004B0CEC"/>
    <w:rsid w:val="004B7734"/>
    <w:rsid w:val="004C0C61"/>
    <w:rsid w:val="004C26D0"/>
    <w:rsid w:val="004C5E49"/>
    <w:rsid w:val="004D131B"/>
    <w:rsid w:val="004E00FF"/>
    <w:rsid w:val="004E1D35"/>
    <w:rsid w:val="004E3055"/>
    <w:rsid w:val="004E3636"/>
    <w:rsid w:val="004F0B04"/>
    <w:rsid w:val="004F2413"/>
    <w:rsid w:val="004F2778"/>
    <w:rsid w:val="004F322E"/>
    <w:rsid w:val="004F6A74"/>
    <w:rsid w:val="00506691"/>
    <w:rsid w:val="00507E04"/>
    <w:rsid w:val="00513BE0"/>
    <w:rsid w:val="005163CF"/>
    <w:rsid w:val="0052111C"/>
    <w:rsid w:val="00522305"/>
    <w:rsid w:val="00522DDE"/>
    <w:rsid w:val="0053567E"/>
    <w:rsid w:val="005359F1"/>
    <w:rsid w:val="00536820"/>
    <w:rsid w:val="00537201"/>
    <w:rsid w:val="00537588"/>
    <w:rsid w:val="0054305B"/>
    <w:rsid w:val="005436B4"/>
    <w:rsid w:val="0054470D"/>
    <w:rsid w:val="00544A91"/>
    <w:rsid w:val="005450BF"/>
    <w:rsid w:val="00550D5D"/>
    <w:rsid w:val="005516C5"/>
    <w:rsid w:val="00553E68"/>
    <w:rsid w:val="00554A79"/>
    <w:rsid w:val="0055659E"/>
    <w:rsid w:val="00560D24"/>
    <w:rsid w:val="0056253C"/>
    <w:rsid w:val="00565096"/>
    <w:rsid w:val="0056531B"/>
    <w:rsid w:val="005674B8"/>
    <w:rsid w:val="00567664"/>
    <w:rsid w:val="0057082C"/>
    <w:rsid w:val="00572AB9"/>
    <w:rsid w:val="005744D6"/>
    <w:rsid w:val="00575B4F"/>
    <w:rsid w:val="00576A96"/>
    <w:rsid w:val="00577ED6"/>
    <w:rsid w:val="00577F23"/>
    <w:rsid w:val="00582819"/>
    <w:rsid w:val="00584C3D"/>
    <w:rsid w:val="00584DFA"/>
    <w:rsid w:val="00587305"/>
    <w:rsid w:val="005929E6"/>
    <w:rsid w:val="005929F1"/>
    <w:rsid w:val="00593E16"/>
    <w:rsid w:val="005949CE"/>
    <w:rsid w:val="00596A3E"/>
    <w:rsid w:val="00596AD3"/>
    <w:rsid w:val="005A0143"/>
    <w:rsid w:val="005A0BCD"/>
    <w:rsid w:val="005A0E59"/>
    <w:rsid w:val="005A5035"/>
    <w:rsid w:val="005B3151"/>
    <w:rsid w:val="005B3597"/>
    <w:rsid w:val="005B514C"/>
    <w:rsid w:val="005B6250"/>
    <w:rsid w:val="005B78EF"/>
    <w:rsid w:val="005C64DC"/>
    <w:rsid w:val="005C7315"/>
    <w:rsid w:val="005D1617"/>
    <w:rsid w:val="005D1630"/>
    <w:rsid w:val="005D1852"/>
    <w:rsid w:val="005D650D"/>
    <w:rsid w:val="005E0EF7"/>
    <w:rsid w:val="005E1708"/>
    <w:rsid w:val="005E6D5C"/>
    <w:rsid w:val="005E7D54"/>
    <w:rsid w:val="005F2CA5"/>
    <w:rsid w:val="005F4562"/>
    <w:rsid w:val="005F4D22"/>
    <w:rsid w:val="005F58B0"/>
    <w:rsid w:val="005F6AE5"/>
    <w:rsid w:val="005F7841"/>
    <w:rsid w:val="005F7F3E"/>
    <w:rsid w:val="00600955"/>
    <w:rsid w:val="00601DB9"/>
    <w:rsid w:val="00607822"/>
    <w:rsid w:val="00607DC7"/>
    <w:rsid w:val="006119A1"/>
    <w:rsid w:val="0061215F"/>
    <w:rsid w:val="006136B7"/>
    <w:rsid w:val="006203CA"/>
    <w:rsid w:val="00623BE1"/>
    <w:rsid w:val="006241D6"/>
    <w:rsid w:val="00625A9B"/>
    <w:rsid w:val="00631CD4"/>
    <w:rsid w:val="00631D68"/>
    <w:rsid w:val="00633803"/>
    <w:rsid w:val="00636877"/>
    <w:rsid w:val="0063712B"/>
    <w:rsid w:val="00640A58"/>
    <w:rsid w:val="006433F3"/>
    <w:rsid w:val="0064355B"/>
    <w:rsid w:val="006505A0"/>
    <w:rsid w:val="0065101D"/>
    <w:rsid w:val="006522AE"/>
    <w:rsid w:val="00665A21"/>
    <w:rsid w:val="006670AE"/>
    <w:rsid w:val="0067157F"/>
    <w:rsid w:val="0067277C"/>
    <w:rsid w:val="00677994"/>
    <w:rsid w:val="00681285"/>
    <w:rsid w:val="00681483"/>
    <w:rsid w:val="00683F3A"/>
    <w:rsid w:val="00685160"/>
    <w:rsid w:val="00686C53"/>
    <w:rsid w:val="006966C5"/>
    <w:rsid w:val="00697EFD"/>
    <w:rsid w:val="006A0632"/>
    <w:rsid w:val="006A1925"/>
    <w:rsid w:val="006A6F51"/>
    <w:rsid w:val="006B0545"/>
    <w:rsid w:val="006B2A92"/>
    <w:rsid w:val="006B4F81"/>
    <w:rsid w:val="006B65D1"/>
    <w:rsid w:val="006B66D0"/>
    <w:rsid w:val="006B6A14"/>
    <w:rsid w:val="006B7F65"/>
    <w:rsid w:val="006C04AE"/>
    <w:rsid w:val="006C6164"/>
    <w:rsid w:val="006C6E48"/>
    <w:rsid w:val="006D0C5E"/>
    <w:rsid w:val="006D1985"/>
    <w:rsid w:val="006D46CA"/>
    <w:rsid w:val="006D59E7"/>
    <w:rsid w:val="006E35D2"/>
    <w:rsid w:val="006E451C"/>
    <w:rsid w:val="006E7079"/>
    <w:rsid w:val="006E7734"/>
    <w:rsid w:val="006F1F6D"/>
    <w:rsid w:val="006F51BF"/>
    <w:rsid w:val="006F5EE6"/>
    <w:rsid w:val="006F6602"/>
    <w:rsid w:val="006F771C"/>
    <w:rsid w:val="00700C6F"/>
    <w:rsid w:val="00702E16"/>
    <w:rsid w:val="00704117"/>
    <w:rsid w:val="007120BE"/>
    <w:rsid w:val="007120F9"/>
    <w:rsid w:val="007125C1"/>
    <w:rsid w:val="00713299"/>
    <w:rsid w:val="00713E02"/>
    <w:rsid w:val="00714D44"/>
    <w:rsid w:val="00715756"/>
    <w:rsid w:val="00725E8B"/>
    <w:rsid w:val="00726855"/>
    <w:rsid w:val="00727E8D"/>
    <w:rsid w:val="007300E9"/>
    <w:rsid w:val="0073215E"/>
    <w:rsid w:val="00734059"/>
    <w:rsid w:val="007346E4"/>
    <w:rsid w:val="00734C5A"/>
    <w:rsid w:val="00737FF8"/>
    <w:rsid w:val="0074156A"/>
    <w:rsid w:val="00743138"/>
    <w:rsid w:val="0074438F"/>
    <w:rsid w:val="00752827"/>
    <w:rsid w:val="0075306B"/>
    <w:rsid w:val="007537A7"/>
    <w:rsid w:val="00757A9B"/>
    <w:rsid w:val="00765CA4"/>
    <w:rsid w:val="00766333"/>
    <w:rsid w:val="0077051B"/>
    <w:rsid w:val="007710F2"/>
    <w:rsid w:val="007717C8"/>
    <w:rsid w:val="007718C5"/>
    <w:rsid w:val="00773751"/>
    <w:rsid w:val="00775B46"/>
    <w:rsid w:val="00784069"/>
    <w:rsid w:val="00785F8D"/>
    <w:rsid w:val="007868FA"/>
    <w:rsid w:val="00793EEA"/>
    <w:rsid w:val="00797CB3"/>
    <w:rsid w:val="007A1094"/>
    <w:rsid w:val="007B56E8"/>
    <w:rsid w:val="007B6F40"/>
    <w:rsid w:val="007C2548"/>
    <w:rsid w:val="007C622A"/>
    <w:rsid w:val="007C6AA4"/>
    <w:rsid w:val="007D0802"/>
    <w:rsid w:val="007D6F3E"/>
    <w:rsid w:val="007D751D"/>
    <w:rsid w:val="007E0751"/>
    <w:rsid w:val="007E1102"/>
    <w:rsid w:val="007E125E"/>
    <w:rsid w:val="007F5781"/>
    <w:rsid w:val="007F62FD"/>
    <w:rsid w:val="007F69D3"/>
    <w:rsid w:val="007F6DBB"/>
    <w:rsid w:val="007F7360"/>
    <w:rsid w:val="007F79A9"/>
    <w:rsid w:val="007F79E2"/>
    <w:rsid w:val="00802900"/>
    <w:rsid w:val="00803B0D"/>
    <w:rsid w:val="008048B3"/>
    <w:rsid w:val="00805827"/>
    <w:rsid w:val="00806420"/>
    <w:rsid w:val="00806817"/>
    <w:rsid w:val="00813B3F"/>
    <w:rsid w:val="00820BB6"/>
    <w:rsid w:val="008212B3"/>
    <w:rsid w:val="00821AFB"/>
    <w:rsid w:val="008225D8"/>
    <w:rsid w:val="00823054"/>
    <w:rsid w:val="0082320E"/>
    <w:rsid w:val="00823A5C"/>
    <w:rsid w:val="008255AD"/>
    <w:rsid w:val="008259CC"/>
    <w:rsid w:val="0082618F"/>
    <w:rsid w:val="00826548"/>
    <w:rsid w:val="00830D82"/>
    <w:rsid w:val="00836299"/>
    <w:rsid w:val="008367DD"/>
    <w:rsid w:val="0084221A"/>
    <w:rsid w:val="00843C5A"/>
    <w:rsid w:val="008468C8"/>
    <w:rsid w:val="00850437"/>
    <w:rsid w:val="00850B9E"/>
    <w:rsid w:val="008538A0"/>
    <w:rsid w:val="00855BE1"/>
    <w:rsid w:val="008579D2"/>
    <w:rsid w:val="00857E54"/>
    <w:rsid w:val="00861D92"/>
    <w:rsid w:val="00863C83"/>
    <w:rsid w:val="00864B9E"/>
    <w:rsid w:val="00866CE2"/>
    <w:rsid w:val="008706E1"/>
    <w:rsid w:val="00873AEE"/>
    <w:rsid w:val="008804D3"/>
    <w:rsid w:val="00880580"/>
    <w:rsid w:val="00880FFC"/>
    <w:rsid w:val="0088165A"/>
    <w:rsid w:val="00882BF7"/>
    <w:rsid w:val="008839E7"/>
    <w:rsid w:val="00887493"/>
    <w:rsid w:val="00893DD2"/>
    <w:rsid w:val="0089424C"/>
    <w:rsid w:val="008A292C"/>
    <w:rsid w:val="008A5F45"/>
    <w:rsid w:val="008B0202"/>
    <w:rsid w:val="008B0363"/>
    <w:rsid w:val="008B0FCE"/>
    <w:rsid w:val="008B2DF4"/>
    <w:rsid w:val="008B3055"/>
    <w:rsid w:val="008B3104"/>
    <w:rsid w:val="008B6AF6"/>
    <w:rsid w:val="008B6BA8"/>
    <w:rsid w:val="008B7B5F"/>
    <w:rsid w:val="008C0311"/>
    <w:rsid w:val="008C2222"/>
    <w:rsid w:val="008C3980"/>
    <w:rsid w:val="008C5E97"/>
    <w:rsid w:val="008C6926"/>
    <w:rsid w:val="008D0F9A"/>
    <w:rsid w:val="008D137B"/>
    <w:rsid w:val="008E05AD"/>
    <w:rsid w:val="008E3A5F"/>
    <w:rsid w:val="008E43D2"/>
    <w:rsid w:val="008F6C9C"/>
    <w:rsid w:val="008F72EE"/>
    <w:rsid w:val="008F79DD"/>
    <w:rsid w:val="009005B7"/>
    <w:rsid w:val="00900BCB"/>
    <w:rsid w:val="00905128"/>
    <w:rsid w:val="00905D0E"/>
    <w:rsid w:val="00911756"/>
    <w:rsid w:val="0091288F"/>
    <w:rsid w:val="009142DC"/>
    <w:rsid w:val="00914E32"/>
    <w:rsid w:val="00923127"/>
    <w:rsid w:val="00925CDD"/>
    <w:rsid w:val="0093049E"/>
    <w:rsid w:val="009368BD"/>
    <w:rsid w:val="00940FE5"/>
    <w:rsid w:val="00942DD1"/>
    <w:rsid w:val="00942EDE"/>
    <w:rsid w:val="009431DB"/>
    <w:rsid w:val="00945AA8"/>
    <w:rsid w:val="00951562"/>
    <w:rsid w:val="00951D8B"/>
    <w:rsid w:val="0095298A"/>
    <w:rsid w:val="00953D00"/>
    <w:rsid w:val="009544C6"/>
    <w:rsid w:val="009577B4"/>
    <w:rsid w:val="00960812"/>
    <w:rsid w:val="00964D37"/>
    <w:rsid w:val="00965A94"/>
    <w:rsid w:val="00966415"/>
    <w:rsid w:val="00970874"/>
    <w:rsid w:val="00970F7E"/>
    <w:rsid w:val="0097118F"/>
    <w:rsid w:val="00972C14"/>
    <w:rsid w:val="009752CE"/>
    <w:rsid w:val="0098012D"/>
    <w:rsid w:val="00980DBA"/>
    <w:rsid w:val="009846CB"/>
    <w:rsid w:val="00987DE0"/>
    <w:rsid w:val="009920BD"/>
    <w:rsid w:val="00993014"/>
    <w:rsid w:val="009A2284"/>
    <w:rsid w:val="009A23D0"/>
    <w:rsid w:val="009A24BE"/>
    <w:rsid w:val="009A3D80"/>
    <w:rsid w:val="009A40A3"/>
    <w:rsid w:val="009A5C4E"/>
    <w:rsid w:val="009A6DD1"/>
    <w:rsid w:val="009B12BE"/>
    <w:rsid w:val="009B27EA"/>
    <w:rsid w:val="009B5DF0"/>
    <w:rsid w:val="009C1504"/>
    <w:rsid w:val="009C58DC"/>
    <w:rsid w:val="009C59C0"/>
    <w:rsid w:val="009D0214"/>
    <w:rsid w:val="009D2A00"/>
    <w:rsid w:val="009D2B45"/>
    <w:rsid w:val="009D4782"/>
    <w:rsid w:val="009E069E"/>
    <w:rsid w:val="009E095C"/>
    <w:rsid w:val="009E2190"/>
    <w:rsid w:val="009E3707"/>
    <w:rsid w:val="009E4588"/>
    <w:rsid w:val="009E4F5E"/>
    <w:rsid w:val="009F2E95"/>
    <w:rsid w:val="009F3754"/>
    <w:rsid w:val="009F4228"/>
    <w:rsid w:val="009F4341"/>
    <w:rsid w:val="009F758A"/>
    <w:rsid w:val="00A00626"/>
    <w:rsid w:val="00A0337D"/>
    <w:rsid w:val="00A04401"/>
    <w:rsid w:val="00A054E4"/>
    <w:rsid w:val="00A059A1"/>
    <w:rsid w:val="00A06160"/>
    <w:rsid w:val="00A0735A"/>
    <w:rsid w:val="00A07C15"/>
    <w:rsid w:val="00A10C24"/>
    <w:rsid w:val="00A12520"/>
    <w:rsid w:val="00A13D21"/>
    <w:rsid w:val="00A15E0E"/>
    <w:rsid w:val="00A178AC"/>
    <w:rsid w:val="00A17CE1"/>
    <w:rsid w:val="00A20493"/>
    <w:rsid w:val="00A20A01"/>
    <w:rsid w:val="00A21C4B"/>
    <w:rsid w:val="00A23C9D"/>
    <w:rsid w:val="00A24ED2"/>
    <w:rsid w:val="00A30436"/>
    <w:rsid w:val="00A30E75"/>
    <w:rsid w:val="00A313BA"/>
    <w:rsid w:val="00A32A99"/>
    <w:rsid w:val="00A34D74"/>
    <w:rsid w:val="00A40A0A"/>
    <w:rsid w:val="00A40BE0"/>
    <w:rsid w:val="00A42D83"/>
    <w:rsid w:val="00A436B9"/>
    <w:rsid w:val="00A450CA"/>
    <w:rsid w:val="00A5365C"/>
    <w:rsid w:val="00A53B0B"/>
    <w:rsid w:val="00A53DC6"/>
    <w:rsid w:val="00A5445D"/>
    <w:rsid w:val="00A575AD"/>
    <w:rsid w:val="00A57A72"/>
    <w:rsid w:val="00A62A66"/>
    <w:rsid w:val="00A67311"/>
    <w:rsid w:val="00A67EBB"/>
    <w:rsid w:val="00A70319"/>
    <w:rsid w:val="00A70A27"/>
    <w:rsid w:val="00A71E5E"/>
    <w:rsid w:val="00A72E80"/>
    <w:rsid w:val="00A74A0B"/>
    <w:rsid w:val="00A758BE"/>
    <w:rsid w:val="00A7623B"/>
    <w:rsid w:val="00A76876"/>
    <w:rsid w:val="00A81C7C"/>
    <w:rsid w:val="00A84BD2"/>
    <w:rsid w:val="00A84EC9"/>
    <w:rsid w:val="00A85921"/>
    <w:rsid w:val="00A859F3"/>
    <w:rsid w:val="00A9088E"/>
    <w:rsid w:val="00A93D4C"/>
    <w:rsid w:val="00A971A0"/>
    <w:rsid w:val="00A971F1"/>
    <w:rsid w:val="00AA1B65"/>
    <w:rsid w:val="00AA48FE"/>
    <w:rsid w:val="00AA4B2A"/>
    <w:rsid w:val="00AA6211"/>
    <w:rsid w:val="00AB1819"/>
    <w:rsid w:val="00AB6893"/>
    <w:rsid w:val="00AB7574"/>
    <w:rsid w:val="00AC1AF9"/>
    <w:rsid w:val="00AC239C"/>
    <w:rsid w:val="00AC3359"/>
    <w:rsid w:val="00AC3742"/>
    <w:rsid w:val="00AC40D6"/>
    <w:rsid w:val="00AD1D10"/>
    <w:rsid w:val="00AD48B0"/>
    <w:rsid w:val="00AD7DEE"/>
    <w:rsid w:val="00AE5060"/>
    <w:rsid w:val="00AE7CCB"/>
    <w:rsid w:val="00AF4BA6"/>
    <w:rsid w:val="00AF797C"/>
    <w:rsid w:val="00B14399"/>
    <w:rsid w:val="00B17099"/>
    <w:rsid w:val="00B179B6"/>
    <w:rsid w:val="00B2188E"/>
    <w:rsid w:val="00B24598"/>
    <w:rsid w:val="00B312FA"/>
    <w:rsid w:val="00B34735"/>
    <w:rsid w:val="00B362CE"/>
    <w:rsid w:val="00B366E3"/>
    <w:rsid w:val="00B46453"/>
    <w:rsid w:val="00B50FB2"/>
    <w:rsid w:val="00B53304"/>
    <w:rsid w:val="00B54D74"/>
    <w:rsid w:val="00B556B3"/>
    <w:rsid w:val="00B63E15"/>
    <w:rsid w:val="00B64E67"/>
    <w:rsid w:val="00B65D16"/>
    <w:rsid w:val="00B65E55"/>
    <w:rsid w:val="00B65EAE"/>
    <w:rsid w:val="00B70560"/>
    <w:rsid w:val="00B70605"/>
    <w:rsid w:val="00B742BB"/>
    <w:rsid w:val="00B7787C"/>
    <w:rsid w:val="00B80E59"/>
    <w:rsid w:val="00B81232"/>
    <w:rsid w:val="00B8281D"/>
    <w:rsid w:val="00B92EC4"/>
    <w:rsid w:val="00B93B0D"/>
    <w:rsid w:val="00B96F47"/>
    <w:rsid w:val="00B97BC4"/>
    <w:rsid w:val="00BB067F"/>
    <w:rsid w:val="00BB3856"/>
    <w:rsid w:val="00BB41BF"/>
    <w:rsid w:val="00BB4E3C"/>
    <w:rsid w:val="00BB6A09"/>
    <w:rsid w:val="00BC0168"/>
    <w:rsid w:val="00BC0877"/>
    <w:rsid w:val="00BC16CC"/>
    <w:rsid w:val="00BC1B21"/>
    <w:rsid w:val="00BC2B63"/>
    <w:rsid w:val="00BC3304"/>
    <w:rsid w:val="00BC3D2E"/>
    <w:rsid w:val="00BC481F"/>
    <w:rsid w:val="00BC6EAD"/>
    <w:rsid w:val="00BD1EF3"/>
    <w:rsid w:val="00BD2B64"/>
    <w:rsid w:val="00BD58AB"/>
    <w:rsid w:val="00BD662D"/>
    <w:rsid w:val="00BE0991"/>
    <w:rsid w:val="00BE1FA8"/>
    <w:rsid w:val="00BE247D"/>
    <w:rsid w:val="00BE2DFE"/>
    <w:rsid w:val="00BF1E31"/>
    <w:rsid w:val="00BF1F10"/>
    <w:rsid w:val="00BF4C91"/>
    <w:rsid w:val="00BF71D1"/>
    <w:rsid w:val="00C00710"/>
    <w:rsid w:val="00C0097F"/>
    <w:rsid w:val="00C026E6"/>
    <w:rsid w:val="00C048DB"/>
    <w:rsid w:val="00C05D63"/>
    <w:rsid w:val="00C06155"/>
    <w:rsid w:val="00C06C3B"/>
    <w:rsid w:val="00C06FB1"/>
    <w:rsid w:val="00C10224"/>
    <w:rsid w:val="00C103CB"/>
    <w:rsid w:val="00C1067D"/>
    <w:rsid w:val="00C13CF8"/>
    <w:rsid w:val="00C14D88"/>
    <w:rsid w:val="00C23F74"/>
    <w:rsid w:val="00C24C2C"/>
    <w:rsid w:val="00C24CC5"/>
    <w:rsid w:val="00C254CF"/>
    <w:rsid w:val="00C25618"/>
    <w:rsid w:val="00C26411"/>
    <w:rsid w:val="00C31664"/>
    <w:rsid w:val="00C32E60"/>
    <w:rsid w:val="00C340C7"/>
    <w:rsid w:val="00C3651F"/>
    <w:rsid w:val="00C40EB5"/>
    <w:rsid w:val="00C4607D"/>
    <w:rsid w:val="00C50851"/>
    <w:rsid w:val="00C51748"/>
    <w:rsid w:val="00C526D9"/>
    <w:rsid w:val="00C55DBF"/>
    <w:rsid w:val="00C61D16"/>
    <w:rsid w:val="00C61F1B"/>
    <w:rsid w:val="00C635C0"/>
    <w:rsid w:val="00C64B4D"/>
    <w:rsid w:val="00C724E0"/>
    <w:rsid w:val="00C75547"/>
    <w:rsid w:val="00C77A9B"/>
    <w:rsid w:val="00C80F6D"/>
    <w:rsid w:val="00C83813"/>
    <w:rsid w:val="00C84B50"/>
    <w:rsid w:val="00C92CB8"/>
    <w:rsid w:val="00C941EE"/>
    <w:rsid w:val="00C94A63"/>
    <w:rsid w:val="00CA2B46"/>
    <w:rsid w:val="00CA2C8C"/>
    <w:rsid w:val="00CA30C7"/>
    <w:rsid w:val="00CA6662"/>
    <w:rsid w:val="00CA6D62"/>
    <w:rsid w:val="00CA7B55"/>
    <w:rsid w:val="00CB3563"/>
    <w:rsid w:val="00CB5A50"/>
    <w:rsid w:val="00CB6833"/>
    <w:rsid w:val="00CC1343"/>
    <w:rsid w:val="00CC1F93"/>
    <w:rsid w:val="00CC3E34"/>
    <w:rsid w:val="00CC479E"/>
    <w:rsid w:val="00CC53E8"/>
    <w:rsid w:val="00CC62B9"/>
    <w:rsid w:val="00CD03D9"/>
    <w:rsid w:val="00CD04F0"/>
    <w:rsid w:val="00CD0CDB"/>
    <w:rsid w:val="00CD26A3"/>
    <w:rsid w:val="00CD331F"/>
    <w:rsid w:val="00CD4339"/>
    <w:rsid w:val="00CD4B2B"/>
    <w:rsid w:val="00CD56D1"/>
    <w:rsid w:val="00CE1796"/>
    <w:rsid w:val="00CE2A5D"/>
    <w:rsid w:val="00CE2F6F"/>
    <w:rsid w:val="00CE3216"/>
    <w:rsid w:val="00CE7819"/>
    <w:rsid w:val="00CF25BC"/>
    <w:rsid w:val="00CF4D50"/>
    <w:rsid w:val="00CF63DD"/>
    <w:rsid w:val="00CF718E"/>
    <w:rsid w:val="00CF7790"/>
    <w:rsid w:val="00D033E1"/>
    <w:rsid w:val="00D056D6"/>
    <w:rsid w:val="00D05E23"/>
    <w:rsid w:val="00D06234"/>
    <w:rsid w:val="00D154C6"/>
    <w:rsid w:val="00D16057"/>
    <w:rsid w:val="00D201FC"/>
    <w:rsid w:val="00D21B5C"/>
    <w:rsid w:val="00D24604"/>
    <w:rsid w:val="00D31361"/>
    <w:rsid w:val="00D3266C"/>
    <w:rsid w:val="00D40C0E"/>
    <w:rsid w:val="00D419AE"/>
    <w:rsid w:val="00D41CD4"/>
    <w:rsid w:val="00D41DF7"/>
    <w:rsid w:val="00D420EA"/>
    <w:rsid w:val="00D42470"/>
    <w:rsid w:val="00D4465F"/>
    <w:rsid w:val="00D45571"/>
    <w:rsid w:val="00D506DB"/>
    <w:rsid w:val="00D50F4D"/>
    <w:rsid w:val="00D549EC"/>
    <w:rsid w:val="00D55EA6"/>
    <w:rsid w:val="00D61FEF"/>
    <w:rsid w:val="00D6410E"/>
    <w:rsid w:val="00D66C2A"/>
    <w:rsid w:val="00D6734B"/>
    <w:rsid w:val="00D719E8"/>
    <w:rsid w:val="00D73512"/>
    <w:rsid w:val="00D80ADF"/>
    <w:rsid w:val="00D83318"/>
    <w:rsid w:val="00D84085"/>
    <w:rsid w:val="00D857EF"/>
    <w:rsid w:val="00D86687"/>
    <w:rsid w:val="00D86BF6"/>
    <w:rsid w:val="00D86EA2"/>
    <w:rsid w:val="00D94FED"/>
    <w:rsid w:val="00DA1C6F"/>
    <w:rsid w:val="00DA2EA2"/>
    <w:rsid w:val="00DA380B"/>
    <w:rsid w:val="00DA45A9"/>
    <w:rsid w:val="00DA5B85"/>
    <w:rsid w:val="00DB0569"/>
    <w:rsid w:val="00DB2B5E"/>
    <w:rsid w:val="00DB35E2"/>
    <w:rsid w:val="00DB6671"/>
    <w:rsid w:val="00DB7D66"/>
    <w:rsid w:val="00DC02DD"/>
    <w:rsid w:val="00DC1D13"/>
    <w:rsid w:val="00DC40A9"/>
    <w:rsid w:val="00DC433B"/>
    <w:rsid w:val="00DC4581"/>
    <w:rsid w:val="00DC5684"/>
    <w:rsid w:val="00DD22DB"/>
    <w:rsid w:val="00DD7924"/>
    <w:rsid w:val="00DE35AA"/>
    <w:rsid w:val="00DE360D"/>
    <w:rsid w:val="00DE5F6F"/>
    <w:rsid w:val="00DE6142"/>
    <w:rsid w:val="00DE6C19"/>
    <w:rsid w:val="00DF106B"/>
    <w:rsid w:val="00DF25F9"/>
    <w:rsid w:val="00DF2AC8"/>
    <w:rsid w:val="00DF3FC6"/>
    <w:rsid w:val="00DF4770"/>
    <w:rsid w:val="00E126EF"/>
    <w:rsid w:val="00E143C8"/>
    <w:rsid w:val="00E14A95"/>
    <w:rsid w:val="00E16E45"/>
    <w:rsid w:val="00E20CD6"/>
    <w:rsid w:val="00E2667D"/>
    <w:rsid w:val="00E26909"/>
    <w:rsid w:val="00E27396"/>
    <w:rsid w:val="00E31FB4"/>
    <w:rsid w:val="00E335E1"/>
    <w:rsid w:val="00E34232"/>
    <w:rsid w:val="00E36717"/>
    <w:rsid w:val="00E42BC4"/>
    <w:rsid w:val="00E467EF"/>
    <w:rsid w:val="00E53896"/>
    <w:rsid w:val="00E54E08"/>
    <w:rsid w:val="00E55409"/>
    <w:rsid w:val="00E56430"/>
    <w:rsid w:val="00E622BC"/>
    <w:rsid w:val="00E64055"/>
    <w:rsid w:val="00E65024"/>
    <w:rsid w:val="00E65641"/>
    <w:rsid w:val="00E675ED"/>
    <w:rsid w:val="00E7134D"/>
    <w:rsid w:val="00E71433"/>
    <w:rsid w:val="00E8253C"/>
    <w:rsid w:val="00E868B2"/>
    <w:rsid w:val="00E904F1"/>
    <w:rsid w:val="00EA038D"/>
    <w:rsid w:val="00EA412C"/>
    <w:rsid w:val="00EB1470"/>
    <w:rsid w:val="00EB3721"/>
    <w:rsid w:val="00EB3AC2"/>
    <w:rsid w:val="00EB7CD8"/>
    <w:rsid w:val="00EC01B8"/>
    <w:rsid w:val="00EC14F9"/>
    <w:rsid w:val="00EC2F94"/>
    <w:rsid w:val="00EC330D"/>
    <w:rsid w:val="00EC432F"/>
    <w:rsid w:val="00EC676F"/>
    <w:rsid w:val="00ED03A4"/>
    <w:rsid w:val="00ED12A5"/>
    <w:rsid w:val="00ED2F09"/>
    <w:rsid w:val="00ED484C"/>
    <w:rsid w:val="00ED6977"/>
    <w:rsid w:val="00EE07C5"/>
    <w:rsid w:val="00EE2605"/>
    <w:rsid w:val="00EE2CA9"/>
    <w:rsid w:val="00EE57E1"/>
    <w:rsid w:val="00EE6857"/>
    <w:rsid w:val="00EF07B0"/>
    <w:rsid w:val="00EF49E8"/>
    <w:rsid w:val="00EF7F93"/>
    <w:rsid w:val="00F02847"/>
    <w:rsid w:val="00F02850"/>
    <w:rsid w:val="00F0704A"/>
    <w:rsid w:val="00F1266E"/>
    <w:rsid w:val="00F1339C"/>
    <w:rsid w:val="00F1385F"/>
    <w:rsid w:val="00F16BAF"/>
    <w:rsid w:val="00F17C07"/>
    <w:rsid w:val="00F2365E"/>
    <w:rsid w:val="00F25CD0"/>
    <w:rsid w:val="00F270D9"/>
    <w:rsid w:val="00F27FFB"/>
    <w:rsid w:val="00F31D35"/>
    <w:rsid w:val="00F32FD4"/>
    <w:rsid w:val="00F33200"/>
    <w:rsid w:val="00F33C6C"/>
    <w:rsid w:val="00F35B3F"/>
    <w:rsid w:val="00F37C9E"/>
    <w:rsid w:val="00F37CFE"/>
    <w:rsid w:val="00F408BA"/>
    <w:rsid w:val="00F41E6B"/>
    <w:rsid w:val="00F45288"/>
    <w:rsid w:val="00F454F1"/>
    <w:rsid w:val="00F4787A"/>
    <w:rsid w:val="00F5197A"/>
    <w:rsid w:val="00F57D1D"/>
    <w:rsid w:val="00F57D29"/>
    <w:rsid w:val="00F623FE"/>
    <w:rsid w:val="00F625AD"/>
    <w:rsid w:val="00F652A6"/>
    <w:rsid w:val="00F66768"/>
    <w:rsid w:val="00F723E1"/>
    <w:rsid w:val="00F73283"/>
    <w:rsid w:val="00F74693"/>
    <w:rsid w:val="00F767C4"/>
    <w:rsid w:val="00F77DA7"/>
    <w:rsid w:val="00F80E71"/>
    <w:rsid w:val="00F90754"/>
    <w:rsid w:val="00F91A87"/>
    <w:rsid w:val="00F921B3"/>
    <w:rsid w:val="00F93E63"/>
    <w:rsid w:val="00F94096"/>
    <w:rsid w:val="00F96457"/>
    <w:rsid w:val="00F9767A"/>
    <w:rsid w:val="00F97A5F"/>
    <w:rsid w:val="00FA143B"/>
    <w:rsid w:val="00FA582F"/>
    <w:rsid w:val="00FA5B30"/>
    <w:rsid w:val="00FA5CCD"/>
    <w:rsid w:val="00FB05F9"/>
    <w:rsid w:val="00FB0E6C"/>
    <w:rsid w:val="00FB1949"/>
    <w:rsid w:val="00FB2815"/>
    <w:rsid w:val="00FB49D5"/>
    <w:rsid w:val="00FB4A1E"/>
    <w:rsid w:val="00FB4AA9"/>
    <w:rsid w:val="00FB6E83"/>
    <w:rsid w:val="00FB7567"/>
    <w:rsid w:val="00FB7D41"/>
    <w:rsid w:val="00FD0D69"/>
    <w:rsid w:val="00FD0EA5"/>
    <w:rsid w:val="00FD4F35"/>
    <w:rsid w:val="00FD6A54"/>
    <w:rsid w:val="00FE0C05"/>
    <w:rsid w:val="00FE591F"/>
    <w:rsid w:val="00FF121F"/>
    <w:rsid w:val="00FF5AE8"/>
    <w:rsid w:val="00FF6235"/>
    <w:rsid w:val="01650170"/>
    <w:rsid w:val="0BFD099E"/>
    <w:rsid w:val="16E62913"/>
    <w:rsid w:val="1BA56769"/>
    <w:rsid w:val="238229F6"/>
    <w:rsid w:val="2A7C5908"/>
    <w:rsid w:val="72E22C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宋体" w:hAnsi="Times New Roman" w:eastAsia="仿宋" w:cs="Times New Roman"/>
      <w:snapToGrid w:val="0"/>
      <w:spacing w:val="4"/>
      <w:sz w:val="28"/>
      <w:szCs w:val="24"/>
      <w:lang w:val="en-US" w:eastAsia="zh-CN" w:bidi="ar-SA"/>
    </w:rPr>
  </w:style>
  <w:style w:type="paragraph" w:styleId="2">
    <w:name w:val="heading 1"/>
    <w:basedOn w:val="1"/>
    <w:next w:val="1"/>
    <w:link w:val="104"/>
    <w:qFormat/>
    <w:uiPriority w:val="0"/>
    <w:pPr>
      <w:keepNext/>
      <w:keepLines/>
      <w:pageBreakBefore/>
      <w:spacing w:beforeLines="50" w:afterLines="50"/>
      <w:jc w:val="center"/>
      <w:outlineLvl w:val="0"/>
    </w:pPr>
    <w:rPr>
      <w:b/>
      <w:spacing w:val="0"/>
      <w:kern w:val="44"/>
      <w:sz w:val="44"/>
    </w:rPr>
  </w:style>
  <w:style w:type="paragraph" w:styleId="3">
    <w:name w:val="heading 2"/>
    <w:basedOn w:val="1"/>
    <w:next w:val="1"/>
    <w:link w:val="102"/>
    <w:qFormat/>
    <w:uiPriority w:val="0"/>
    <w:pPr>
      <w:keepNext/>
      <w:keepLines/>
      <w:snapToGrid/>
      <w:spacing w:beforeLines="50" w:afterLines="50"/>
      <w:jc w:val="center"/>
      <w:outlineLvl w:val="1"/>
    </w:pPr>
    <w:rPr>
      <w:rFonts w:ascii="Arial" w:hAnsi="Arial"/>
      <w:b/>
      <w:sz w:val="36"/>
    </w:rPr>
  </w:style>
  <w:style w:type="paragraph" w:styleId="4">
    <w:name w:val="heading 3"/>
    <w:basedOn w:val="1"/>
    <w:next w:val="1"/>
    <w:link w:val="57"/>
    <w:qFormat/>
    <w:uiPriority w:val="0"/>
    <w:pPr>
      <w:keepNext/>
      <w:keepLines/>
      <w:jc w:val="left"/>
      <w:outlineLvl w:val="2"/>
    </w:pPr>
    <w:rPr>
      <w:rFonts w:ascii="黑体"/>
      <w:b/>
      <w:sz w:val="30"/>
    </w:rPr>
  </w:style>
  <w:style w:type="paragraph" w:styleId="5">
    <w:name w:val="heading 4"/>
    <w:basedOn w:val="1"/>
    <w:next w:val="1"/>
    <w:link w:val="58"/>
    <w:qFormat/>
    <w:uiPriority w:val="0"/>
    <w:pPr>
      <w:keepNext/>
      <w:keepLines/>
      <w:spacing w:before="280" w:after="240"/>
      <w:jc w:val="center"/>
      <w:outlineLvl w:val="3"/>
    </w:pPr>
    <w:rPr>
      <w:rFonts w:ascii="黑体" w:hAnsi="Arial" w:eastAsia="黑体"/>
      <w:sz w:val="30"/>
    </w:rPr>
  </w:style>
  <w:style w:type="paragraph" w:styleId="6">
    <w:name w:val="heading 5"/>
    <w:basedOn w:val="1"/>
    <w:next w:val="1"/>
    <w:link w:val="52"/>
    <w:qFormat/>
    <w:uiPriority w:val="0"/>
    <w:pPr>
      <w:keepNext/>
      <w:keepLines/>
      <w:spacing w:before="100" w:after="100"/>
      <w:jc w:val="left"/>
      <w:outlineLvl w:val="4"/>
    </w:pPr>
    <w:rPr>
      <w:rFonts w:ascii="黑体" w:eastAsia="黑体"/>
    </w:rPr>
  </w:style>
  <w:style w:type="paragraph" w:styleId="7">
    <w:name w:val="heading 6"/>
    <w:basedOn w:val="1"/>
    <w:next w:val="1"/>
    <w:link w:val="101"/>
    <w:qFormat/>
    <w:uiPriority w:val="0"/>
    <w:pPr>
      <w:keepNext/>
      <w:keepLines/>
      <w:spacing w:before="20" w:after="20" w:line="300" w:lineRule="auto"/>
      <w:jc w:val="center"/>
      <w:outlineLvl w:val="5"/>
    </w:pPr>
    <w:rPr>
      <w:rFonts w:ascii="黑体" w:hAnsi="黑体" w:eastAsia="黑体"/>
      <w:sz w:val="21"/>
    </w:rPr>
  </w:style>
  <w:style w:type="paragraph" w:styleId="8">
    <w:name w:val="heading 7"/>
    <w:next w:val="1"/>
    <w:link w:val="54"/>
    <w:qFormat/>
    <w:uiPriority w:val="0"/>
    <w:pPr>
      <w:keepNext/>
      <w:keepLines/>
      <w:spacing w:before="40" w:after="40" w:line="288" w:lineRule="auto"/>
      <w:outlineLvl w:val="6"/>
    </w:pPr>
    <w:rPr>
      <w:rFonts w:ascii="黑体" w:hAnsi="Times New Roman" w:eastAsia="黑体" w:cs="Times New Roman"/>
      <w:lang w:val="en-US" w:eastAsia="zh-CN" w:bidi="ar-SA"/>
    </w:rPr>
  </w:style>
  <w:style w:type="paragraph" w:styleId="9">
    <w:name w:val="heading 8"/>
    <w:basedOn w:val="1"/>
    <w:next w:val="1"/>
    <w:link w:val="55"/>
    <w:qFormat/>
    <w:uiPriority w:val="0"/>
    <w:pPr>
      <w:keepNext/>
      <w:widowControl/>
      <w:spacing w:line="240" w:lineRule="auto"/>
      <w:jc w:val="center"/>
      <w:outlineLvl w:val="7"/>
    </w:pPr>
    <w:rPr>
      <w:rFonts w:hAnsi="宋体"/>
      <w:i/>
      <w:iCs/>
      <w:spacing w:val="-6"/>
      <w:sz w:val="18"/>
      <w:szCs w:val="18"/>
    </w:rPr>
  </w:style>
  <w:style w:type="paragraph" w:styleId="10">
    <w:name w:val="heading 9"/>
    <w:basedOn w:val="1"/>
    <w:next w:val="1"/>
    <w:link w:val="56"/>
    <w:qFormat/>
    <w:uiPriority w:val="0"/>
    <w:pPr>
      <w:keepNext/>
      <w:widowControl/>
      <w:spacing w:line="240" w:lineRule="auto"/>
      <w:jc w:val="center"/>
      <w:outlineLvl w:val="8"/>
    </w:pPr>
    <w:rPr>
      <w:rFonts w:hAnsi="宋体"/>
      <w:i/>
      <w:iCs/>
      <w:color w:val="000000"/>
      <w:spacing w:val="-20"/>
      <w:sz w:val="18"/>
      <w:szCs w:val="18"/>
    </w:rPr>
  </w:style>
  <w:style w:type="character" w:default="1" w:styleId="39">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qFormat/>
    <w:uiPriority w:val="0"/>
    <w:pPr>
      <w:spacing w:line="240" w:lineRule="auto"/>
      <w:ind w:firstLine="200" w:firstLineChars="200"/>
    </w:pPr>
    <w:rPr>
      <w:rFonts w:ascii="仿宋_GB2312" w:hAnsi="华文仿宋" w:eastAsia="仿宋_GB2312"/>
      <w:spacing w:val="0"/>
    </w:rPr>
  </w:style>
  <w:style w:type="paragraph" w:styleId="13">
    <w:name w:val="caption"/>
    <w:basedOn w:val="1"/>
    <w:next w:val="1"/>
    <w:qFormat/>
    <w:uiPriority w:val="0"/>
    <w:pPr>
      <w:spacing w:beforeLines="50" w:afterLines="50"/>
      <w:ind w:right="1361" w:firstLine="250" w:firstLineChars="250"/>
      <w:textAlignment w:val="baseline"/>
    </w:pPr>
    <w:rPr>
      <w:rFonts w:ascii="Times New Roman" w:hAnsi="宋体" w:eastAsia="黑体"/>
      <w:snapToGrid/>
      <w:spacing w:val="0"/>
      <w:kern w:val="2"/>
      <w:szCs w:val="21"/>
    </w:rPr>
  </w:style>
  <w:style w:type="paragraph" w:styleId="14">
    <w:name w:val="Document Map"/>
    <w:basedOn w:val="1"/>
    <w:link w:val="114"/>
    <w:semiHidden/>
    <w:unhideWhenUsed/>
    <w:qFormat/>
    <w:uiPriority w:val="99"/>
    <w:rPr>
      <w:rFonts w:eastAsia="宋体"/>
      <w:sz w:val="18"/>
      <w:szCs w:val="18"/>
    </w:rPr>
  </w:style>
  <w:style w:type="paragraph" w:styleId="15">
    <w:name w:val="annotation text"/>
    <w:basedOn w:val="1"/>
    <w:link w:val="117"/>
    <w:semiHidden/>
    <w:unhideWhenUsed/>
    <w:qFormat/>
    <w:uiPriority w:val="99"/>
    <w:pPr>
      <w:jc w:val="left"/>
    </w:pPr>
  </w:style>
  <w:style w:type="paragraph" w:styleId="16">
    <w:name w:val="Body Text"/>
    <w:basedOn w:val="1"/>
    <w:link w:val="73"/>
    <w:qFormat/>
    <w:uiPriority w:val="0"/>
    <w:rPr>
      <w:sz w:val="18"/>
    </w:rPr>
  </w:style>
  <w:style w:type="paragraph" w:styleId="17">
    <w:name w:val="Body Text Indent"/>
    <w:basedOn w:val="1"/>
    <w:link w:val="70"/>
    <w:qFormat/>
    <w:uiPriority w:val="0"/>
    <w:pPr>
      <w:ind w:firstLine="496" w:firstLineChars="200"/>
    </w:pPr>
    <w:rPr>
      <w:rFonts w:eastAsia="宋体"/>
      <w:sz w:val="24"/>
    </w:rPr>
  </w:style>
  <w:style w:type="paragraph" w:styleId="18">
    <w:name w:val="List 2"/>
    <w:basedOn w:val="1"/>
    <w:qFormat/>
    <w:uiPriority w:val="0"/>
    <w:pPr>
      <w:ind w:left="100" w:leftChars="200" w:hanging="200" w:hangingChars="200"/>
    </w:pPr>
  </w:style>
  <w:style w:type="paragraph" w:styleId="19">
    <w:name w:val="Plain Text"/>
    <w:basedOn w:val="1"/>
    <w:link w:val="69"/>
    <w:qFormat/>
    <w:uiPriority w:val="0"/>
    <w:rPr>
      <w:rFonts w:hAnsi="Courier New" w:eastAsia="宋体" w:cs="Courier New"/>
      <w:kern w:val="2"/>
      <w:sz w:val="21"/>
      <w:szCs w:val="21"/>
    </w:rPr>
  </w:style>
  <w:style w:type="paragraph" w:styleId="20">
    <w:name w:val="Date"/>
    <w:basedOn w:val="1"/>
    <w:next w:val="1"/>
    <w:link w:val="72"/>
    <w:qFormat/>
    <w:uiPriority w:val="0"/>
    <w:pPr>
      <w:spacing w:line="288" w:lineRule="auto"/>
      <w:jc w:val="left"/>
      <w:textAlignment w:val="baseline"/>
    </w:pPr>
    <w:rPr>
      <w:sz w:val="20"/>
    </w:rPr>
  </w:style>
  <w:style w:type="paragraph" w:styleId="21">
    <w:name w:val="Body Text Indent 2"/>
    <w:basedOn w:val="1"/>
    <w:link w:val="71"/>
    <w:qFormat/>
    <w:uiPriority w:val="0"/>
    <w:pPr>
      <w:widowControl/>
      <w:spacing w:line="240" w:lineRule="auto"/>
      <w:ind w:firstLine="376" w:firstLineChars="200"/>
      <w:jc w:val="left"/>
    </w:pPr>
    <w:rPr>
      <w:rFonts w:hAnsi="宋体"/>
      <w:sz w:val="18"/>
      <w:szCs w:val="18"/>
    </w:rPr>
  </w:style>
  <w:style w:type="paragraph" w:styleId="22">
    <w:name w:val="Balloon Text"/>
    <w:basedOn w:val="1"/>
    <w:link w:val="115"/>
    <w:semiHidden/>
    <w:unhideWhenUsed/>
    <w:qFormat/>
    <w:uiPriority w:val="99"/>
    <w:pPr>
      <w:spacing w:line="240" w:lineRule="auto"/>
    </w:pPr>
    <w:rPr>
      <w:sz w:val="18"/>
      <w:szCs w:val="18"/>
    </w:rPr>
  </w:style>
  <w:style w:type="paragraph" w:styleId="23">
    <w:name w:val="footer"/>
    <w:basedOn w:val="1"/>
    <w:link w:val="47"/>
    <w:unhideWhenUsed/>
    <w:qFormat/>
    <w:uiPriority w:val="0"/>
    <w:pPr>
      <w:tabs>
        <w:tab w:val="center" w:pos="4153"/>
        <w:tab w:val="right" w:pos="8306"/>
      </w:tabs>
      <w:jc w:val="left"/>
    </w:pPr>
    <w:rPr>
      <w:sz w:val="18"/>
      <w:szCs w:val="18"/>
    </w:rPr>
  </w:style>
  <w:style w:type="paragraph" w:styleId="24">
    <w:name w:val="header"/>
    <w:basedOn w:val="1"/>
    <w:link w:val="46"/>
    <w:unhideWhenUsed/>
    <w:qFormat/>
    <w:uiPriority w:val="0"/>
    <w:pPr>
      <w:pBdr>
        <w:bottom w:val="single" w:color="auto" w:sz="6" w:space="1"/>
      </w:pBdr>
      <w:tabs>
        <w:tab w:val="center" w:pos="4153"/>
        <w:tab w:val="right" w:pos="8306"/>
      </w:tabs>
      <w:jc w:val="center"/>
    </w:pPr>
    <w:rPr>
      <w:sz w:val="18"/>
      <w:szCs w:val="18"/>
    </w:rPr>
  </w:style>
  <w:style w:type="paragraph" w:styleId="25">
    <w:name w:val="toc 1"/>
    <w:basedOn w:val="1"/>
    <w:next w:val="1"/>
    <w:unhideWhenUsed/>
    <w:qFormat/>
    <w:uiPriority w:val="39"/>
  </w:style>
  <w:style w:type="paragraph" w:styleId="26">
    <w:name w:val="List"/>
    <w:basedOn w:val="1"/>
    <w:qFormat/>
    <w:uiPriority w:val="0"/>
    <w:pPr>
      <w:adjustRightInd/>
      <w:snapToGrid/>
      <w:spacing w:line="240" w:lineRule="auto"/>
      <w:ind w:left="200" w:hanging="200" w:hangingChars="200"/>
    </w:pPr>
    <w:rPr>
      <w:rFonts w:ascii="Times New Roman"/>
      <w:snapToGrid/>
      <w:spacing w:val="0"/>
      <w:kern w:val="2"/>
      <w:sz w:val="21"/>
      <w:szCs w:val="20"/>
    </w:rPr>
  </w:style>
  <w:style w:type="paragraph" w:styleId="27">
    <w:name w:val="Body Text Indent 3"/>
    <w:basedOn w:val="1"/>
    <w:link w:val="74"/>
    <w:qFormat/>
    <w:uiPriority w:val="0"/>
    <w:pPr>
      <w:ind w:firstLine="496" w:firstLineChars="200"/>
    </w:pPr>
    <w:rPr>
      <w:rFonts w:eastAsia="宋体"/>
      <w:color w:val="000000"/>
      <w:sz w:val="24"/>
    </w:rPr>
  </w:style>
  <w:style w:type="paragraph" w:styleId="28">
    <w:name w:val="toc 2"/>
    <w:basedOn w:val="1"/>
    <w:next w:val="1"/>
    <w:unhideWhenUsed/>
    <w:qFormat/>
    <w:uiPriority w:val="39"/>
    <w:pPr>
      <w:ind w:left="420" w:leftChars="200"/>
    </w:pPr>
  </w:style>
  <w:style w:type="paragraph" w:styleId="29">
    <w:name w:val="Body Text 2"/>
    <w:basedOn w:val="1"/>
    <w:link w:val="75"/>
    <w:qFormat/>
    <w:uiPriority w:val="0"/>
    <w:pPr>
      <w:spacing w:after="120" w:line="480" w:lineRule="auto"/>
    </w:pPr>
    <w:rPr>
      <w:rFonts w:eastAsia="宋体"/>
      <w:kern w:val="2"/>
      <w:sz w:val="21"/>
    </w:rPr>
  </w:style>
  <w:style w:type="paragraph" w:styleId="30">
    <w:name w:val="List 4"/>
    <w:basedOn w:val="1"/>
    <w:qFormat/>
    <w:uiPriority w:val="0"/>
    <w:pPr>
      <w:adjustRightInd/>
      <w:snapToGrid/>
      <w:spacing w:line="240" w:lineRule="auto"/>
      <w:ind w:left="100" w:leftChars="600" w:hanging="200" w:hangingChars="200"/>
    </w:pPr>
    <w:rPr>
      <w:rFonts w:ascii="Times New Roman"/>
      <w:snapToGrid/>
      <w:spacing w:val="0"/>
      <w:kern w:val="2"/>
      <w:sz w:val="21"/>
      <w:szCs w:val="20"/>
    </w:rPr>
  </w:style>
  <w:style w:type="paragraph" w:styleId="31">
    <w:name w:val="Normal (Web)"/>
    <w:basedOn w:val="1"/>
    <w:unhideWhenUsed/>
    <w:qFormat/>
    <w:uiPriority w:val="0"/>
    <w:pPr>
      <w:widowControl/>
      <w:adjustRightInd/>
      <w:snapToGrid/>
      <w:spacing w:before="100" w:beforeAutospacing="1" w:after="100" w:afterAutospacing="1" w:line="240" w:lineRule="auto"/>
      <w:jc w:val="left"/>
    </w:pPr>
    <w:rPr>
      <w:rFonts w:hAnsi="宋体" w:cs="宋体"/>
      <w:snapToGrid/>
      <w:spacing w:val="0"/>
    </w:rPr>
  </w:style>
  <w:style w:type="paragraph" w:styleId="32">
    <w:name w:val="Title"/>
    <w:basedOn w:val="1"/>
    <w:link w:val="76"/>
    <w:qFormat/>
    <w:uiPriority w:val="0"/>
    <w:pPr>
      <w:autoSpaceDE w:val="0"/>
      <w:autoSpaceDN w:val="0"/>
      <w:spacing w:before="240" w:after="60" w:line="400" w:lineRule="exact"/>
      <w:jc w:val="center"/>
      <w:outlineLvl w:val="0"/>
    </w:pPr>
    <w:rPr>
      <w:rFonts w:ascii="Arial" w:hAnsi="Arial"/>
      <w:b/>
      <w:color w:val="000000"/>
      <w:sz w:val="32"/>
    </w:rPr>
  </w:style>
  <w:style w:type="paragraph" w:styleId="33">
    <w:name w:val="annotation subject"/>
    <w:basedOn w:val="15"/>
    <w:next w:val="15"/>
    <w:link w:val="118"/>
    <w:semiHidden/>
    <w:unhideWhenUsed/>
    <w:qFormat/>
    <w:uiPriority w:val="99"/>
    <w:rPr>
      <w:b/>
      <w:bCs/>
    </w:rPr>
  </w:style>
  <w:style w:type="paragraph" w:styleId="34">
    <w:name w:val="Body Text First Indent 2"/>
    <w:basedOn w:val="17"/>
    <w:link w:val="107"/>
    <w:semiHidden/>
    <w:unhideWhenUsed/>
    <w:qFormat/>
    <w:uiPriority w:val="99"/>
    <w:pPr>
      <w:spacing w:after="120"/>
      <w:ind w:left="420" w:leftChars="200" w:firstLine="420"/>
    </w:pPr>
    <w:rPr>
      <w:rFonts w:eastAsia="仿宋"/>
      <w:sz w:val="28"/>
    </w:rPr>
  </w:style>
  <w:style w:type="table" w:styleId="36">
    <w:name w:val="Table Grid"/>
    <w:basedOn w:val="3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Theme"/>
    <w:basedOn w:val="35"/>
    <w:qFormat/>
    <w:uiPriority w:val="0"/>
    <w:pPr>
      <w:widowControl w:val="0"/>
      <w:adjustRightInd w:val="0"/>
      <w:snapToGrid w:val="0"/>
      <w:spacing w:line="360" w:lineRule="auto"/>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Medium Grid 1 Accent 5"/>
    <w:basedOn w:val="35"/>
    <w:qFormat/>
    <w:uiPriority w:val="67"/>
    <w:rPr>
      <w:rFonts w:ascii="Times New Roman" w:hAnsi="Times New Roman" w:eastAsia="宋体" w:cs="Times New Roman"/>
    </w:rPr>
    <w:tblPr>
      <w:tblBorders>
        <w:top w:val="single" w:color="84B3DF" w:sz="8" w:space="0"/>
        <w:left w:val="single" w:color="84B3DF" w:sz="8" w:space="0"/>
        <w:bottom w:val="single" w:color="84B3DF" w:sz="8" w:space="0"/>
        <w:right w:val="single" w:color="84B3DF" w:sz="8" w:space="0"/>
        <w:insideH w:val="single" w:color="84B3DF" w:sz="8" w:space="0"/>
        <w:insideV w:val="single" w:color="84B3DF" w:sz="8" w:space="0"/>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color="84B3DF" w:sz="18" w:space="0"/>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character" w:styleId="40">
    <w:name w:val="Strong"/>
    <w:qFormat/>
    <w:uiPriority w:val="22"/>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Emphasis"/>
    <w:basedOn w:val="39"/>
    <w:qFormat/>
    <w:uiPriority w:val="20"/>
    <w:rPr>
      <w:i/>
      <w:iCs/>
    </w:rPr>
  </w:style>
  <w:style w:type="character" w:styleId="44">
    <w:name w:val="Hyperlink"/>
    <w:qFormat/>
    <w:uiPriority w:val="99"/>
    <w:rPr>
      <w:color w:val="0000FF"/>
      <w:u w:val="single"/>
    </w:rPr>
  </w:style>
  <w:style w:type="character" w:styleId="45">
    <w:name w:val="annotation reference"/>
    <w:basedOn w:val="39"/>
    <w:semiHidden/>
    <w:unhideWhenUsed/>
    <w:uiPriority w:val="99"/>
    <w:rPr>
      <w:sz w:val="21"/>
      <w:szCs w:val="21"/>
    </w:rPr>
  </w:style>
  <w:style w:type="character" w:customStyle="1" w:styleId="46">
    <w:name w:val="页眉 Char"/>
    <w:basedOn w:val="39"/>
    <w:link w:val="24"/>
    <w:qFormat/>
    <w:uiPriority w:val="99"/>
    <w:rPr>
      <w:sz w:val="18"/>
      <w:szCs w:val="18"/>
    </w:rPr>
  </w:style>
  <w:style w:type="character" w:customStyle="1" w:styleId="47">
    <w:name w:val="页脚 Char"/>
    <w:basedOn w:val="39"/>
    <w:link w:val="23"/>
    <w:qFormat/>
    <w:uiPriority w:val="99"/>
    <w:rPr>
      <w:sz w:val="18"/>
      <w:szCs w:val="18"/>
    </w:rPr>
  </w:style>
  <w:style w:type="character" w:customStyle="1" w:styleId="48">
    <w:name w:val="标题 1 字符"/>
    <w:basedOn w:val="39"/>
    <w:qFormat/>
    <w:uiPriority w:val="9"/>
    <w:rPr>
      <w:rFonts w:ascii="宋体" w:hAnsi="Times New Roman" w:eastAsia="仿宋" w:cs="Times New Roman"/>
      <w:b/>
      <w:bCs/>
      <w:snapToGrid w:val="0"/>
      <w:spacing w:val="4"/>
      <w:kern w:val="44"/>
      <w:sz w:val="44"/>
      <w:szCs w:val="44"/>
    </w:rPr>
  </w:style>
  <w:style w:type="character" w:customStyle="1" w:styleId="49">
    <w:name w:val="标题 2 字符"/>
    <w:basedOn w:val="39"/>
    <w:semiHidden/>
    <w:qFormat/>
    <w:uiPriority w:val="9"/>
    <w:rPr>
      <w:rFonts w:asciiTheme="majorHAnsi" w:hAnsiTheme="majorHAnsi" w:eastAsiaTheme="majorEastAsia" w:cstheme="majorBidi"/>
      <w:b/>
      <w:bCs/>
      <w:snapToGrid w:val="0"/>
      <w:spacing w:val="4"/>
      <w:kern w:val="0"/>
      <w:sz w:val="32"/>
      <w:szCs w:val="32"/>
    </w:rPr>
  </w:style>
  <w:style w:type="character" w:customStyle="1" w:styleId="50">
    <w:name w:val="标题 3 字符"/>
    <w:basedOn w:val="39"/>
    <w:qFormat/>
    <w:uiPriority w:val="9"/>
    <w:rPr>
      <w:rFonts w:ascii="宋体" w:hAnsi="Times New Roman" w:eastAsia="仿宋" w:cs="Times New Roman"/>
      <w:b/>
      <w:bCs/>
      <w:snapToGrid w:val="0"/>
      <w:spacing w:val="4"/>
      <w:kern w:val="0"/>
      <w:sz w:val="32"/>
      <w:szCs w:val="32"/>
    </w:rPr>
  </w:style>
  <w:style w:type="character" w:customStyle="1" w:styleId="51">
    <w:name w:val="标题 4 字符"/>
    <w:basedOn w:val="39"/>
    <w:semiHidden/>
    <w:qFormat/>
    <w:uiPriority w:val="9"/>
    <w:rPr>
      <w:rFonts w:asciiTheme="majorHAnsi" w:hAnsiTheme="majorHAnsi" w:eastAsiaTheme="majorEastAsia" w:cstheme="majorBidi"/>
      <w:b/>
      <w:bCs/>
      <w:snapToGrid w:val="0"/>
      <w:spacing w:val="4"/>
      <w:kern w:val="0"/>
      <w:sz w:val="28"/>
      <w:szCs w:val="28"/>
    </w:rPr>
  </w:style>
  <w:style w:type="character" w:customStyle="1" w:styleId="52">
    <w:name w:val="标题 5 Char"/>
    <w:basedOn w:val="39"/>
    <w:link w:val="6"/>
    <w:qFormat/>
    <w:uiPriority w:val="0"/>
    <w:rPr>
      <w:rFonts w:ascii="黑体" w:hAnsi="Times New Roman" w:eastAsia="黑体" w:cs="Times New Roman"/>
      <w:snapToGrid w:val="0"/>
      <w:spacing w:val="4"/>
      <w:kern w:val="0"/>
      <w:sz w:val="28"/>
      <w:szCs w:val="24"/>
    </w:rPr>
  </w:style>
  <w:style w:type="character" w:customStyle="1" w:styleId="53">
    <w:name w:val="标题 6 字符"/>
    <w:basedOn w:val="39"/>
    <w:qFormat/>
    <w:uiPriority w:val="0"/>
    <w:rPr>
      <w:rFonts w:asciiTheme="majorHAnsi" w:hAnsiTheme="majorHAnsi" w:eastAsiaTheme="majorEastAsia" w:cstheme="majorBidi"/>
      <w:b/>
      <w:bCs/>
      <w:snapToGrid w:val="0"/>
      <w:spacing w:val="4"/>
      <w:kern w:val="0"/>
      <w:sz w:val="24"/>
      <w:szCs w:val="24"/>
    </w:rPr>
  </w:style>
  <w:style w:type="character" w:customStyle="1" w:styleId="54">
    <w:name w:val="标题 7 Char"/>
    <w:basedOn w:val="39"/>
    <w:link w:val="8"/>
    <w:qFormat/>
    <w:uiPriority w:val="0"/>
    <w:rPr>
      <w:rFonts w:ascii="黑体" w:hAnsi="Times New Roman" w:eastAsia="黑体" w:cs="Times New Roman"/>
      <w:kern w:val="0"/>
      <w:sz w:val="20"/>
      <w:szCs w:val="20"/>
    </w:rPr>
  </w:style>
  <w:style w:type="character" w:customStyle="1" w:styleId="55">
    <w:name w:val="标题 8 Char"/>
    <w:basedOn w:val="39"/>
    <w:link w:val="9"/>
    <w:qFormat/>
    <w:uiPriority w:val="0"/>
    <w:rPr>
      <w:rFonts w:ascii="宋体" w:hAnsi="宋体" w:eastAsia="仿宋" w:cs="Times New Roman"/>
      <w:i/>
      <w:iCs/>
      <w:snapToGrid w:val="0"/>
      <w:spacing w:val="-6"/>
      <w:kern w:val="0"/>
      <w:sz w:val="18"/>
      <w:szCs w:val="18"/>
    </w:rPr>
  </w:style>
  <w:style w:type="character" w:customStyle="1" w:styleId="56">
    <w:name w:val="标题 9 Char"/>
    <w:basedOn w:val="39"/>
    <w:link w:val="10"/>
    <w:qFormat/>
    <w:uiPriority w:val="0"/>
    <w:rPr>
      <w:rFonts w:ascii="宋体" w:hAnsi="宋体" w:eastAsia="仿宋" w:cs="Times New Roman"/>
      <w:i/>
      <w:iCs/>
      <w:snapToGrid w:val="0"/>
      <w:color w:val="000000"/>
      <w:spacing w:val="-20"/>
      <w:kern w:val="0"/>
      <w:sz w:val="18"/>
      <w:szCs w:val="18"/>
    </w:rPr>
  </w:style>
  <w:style w:type="character" w:customStyle="1" w:styleId="57">
    <w:name w:val="标题 3 Char"/>
    <w:link w:val="4"/>
    <w:qFormat/>
    <w:uiPriority w:val="0"/>
    <w:rPr>
      <w:rFonts w:ascii="黑体" w:hAnsi="Times New Roman" w:eastAsia="仿宋" w:cs="Times New Roman"/>
      <w:b/>
      <w:snapToGrid w:val="0"/>
      <w:spacing w:val="4"/>
      <w:kern w:val="0"/>
      <w:sz w:val="30"/>
      <w:szCs w:val="24"/>
    </w:rPr>
  </w:style>
  <w:style w:type="character" w:customStyle="1" w:styleId="58">
    <w:name w:val="标题 4 Char"/>
    <w:link w:val="5"/>
    <w:uiPriority w:val="0"/>
    <w:rPr>
      <w:rFonts w:ascii="黑体" w:hAnsi="Arial" w:eastAsia="黑体" w:cs="Times New Roman"/>
      <w:snapToGrid w:val="0"/>
      <w:spacing w:val="4"/>
      <w:kern w:val="0"/>
      <w:sz w:val="30"/>
      <w:szCs w:val="24"/>
    </w:rPr>
  </w:style>
  <w:style w:type="character" w:customStyle="1" w:styleId="59">
    <w:name w:val="Char Char1"/>
    <w:qFormat/>
    <w:uiPriority w:val="0"/>
    <w:rPr>
      <w:rFonts w:ascii="宋体" w:hAnsi="Courier New" w:eastAsia="宋体" w:cs="Courier New"/>
      <w:kern w:val="2"/>
      <w:sz w:val="21"/>
      <w:szCs w:val="21"/>
      <w:lang w:val="en-US" w:eastAsia="zh-CN" w:bidi="ar-SA"/>
    </w:rPr>
  </w:style>
  <w:style w:type="character" w:customStyle="1" w:styleId="60">
    <w:name w:val="Char Char"/>
    <w:qFormat/>
    <w:uiPriority w:val="0"/>
    <w:rPr>
      <w:rFonts w:eastAsia="宋体"/>
      <w:kern w:val="2"/>
      <w:sz w:val="21"/>
      <w:szCs w:val="24"/>
      <w:lang w:val="en-US" w:eastAsia="zh-CN" w:bidi="ar-SA"/>
    </w:rPr>
  </w:style>
  <w:style w:type="character" w:customStyle="1" w:styleId="61">
    <w:name w:val="Char Char3"/>
    <w:qFormat/>
    <w:uiPriority w:val="0"/>
    <w:rPr>
      <w:rFonts w:ascii="宋体" w:eastAsia="宋体"/>
      <w:spacing w:val="4"/>
      <w:sz w:val="24"/>
      <w:lang w:val="en-US" w:eastAsia="zh-CN" w:bidi="ar-SA"/>
    </w:rPr>
  </w:style>
  <w:style w:type="character" w:customStyle="1" w:styleId="62">
    <w:name w:val="Char Char2"/>
    <w:uiPriority w:val="0"/>
    <w:rPr>
      <w:rFonts w:ascii="宋体" w:eastAsia="宋体"/>
      <w:color w:val="000000"/>
      <w:spacing w:val="4"/>
      <w:sz w:val="24"/>
      <w:lang w:val="en-US" w:eastAsia="zh-CN" w:bidi="ar-SA"/>
    </w:rPr>
  </w:style>
  <w:style w:type="character" w:customStyle="1" w:styleId="63">
    <w:name w:val="正文1 Char Char"/>
    <w:link w:val="64"/>
    <w:qFormat/>
    <w:uiPriority w:val="0"/>
    <w:rPr>
      <w:rFonts w:ascii="仿宋_GB2312" w:eastAsia="仿宋_GB2312"/>
      <w:snapToGrid w:val="0"/>
      <w:spacing w:val="4"/>
      <w:sz w:val="28"/>
      <w:szCs w:val="28"/>
    </w:rPr>
  </w:style>
  <w:style w:type="paragraph" w:customStyle="1" w:styleId="64">
    <w:name w:val="正文1"/>
    <w:basedOn w:val="1"/>
    <w:link w:val="63"/>
    <w:qFormat/>
    <w:uiPriority w:val="0"/>
    <w:pPr>
      <w:ind w:firstLine="200" w:firstLineChars="200"/>
    </w:pPr>
    <w:rPr>
      <w:rFonts w:ascii="仿宋_GB2312" w:eastAsia="仿宋_GB2312" w:hAnsiTheme="minorHAnsi" w:cstheme="minorBidi"/>
      <w:kern w:val="2"/>
      <w:szCs w:val="28"/>
    </w:rPr>
  </w:style>
  <w:style w:type="character" w:customStyle="1" w:styleId="65">
    <w:name w:val="章 Char1"/>
    <w:link w:val="66"/>
    <w:qFormat/>
    <w:uiPriority w:val="2"/>
    <w:rPr>
      <w:rFonts w:hAnsi="黑体" w:eastAsia="黑体"/>
      <w:sz w:val="32"/>
    </w:rPr>
  </w:style>
  <w:style w:type="paragraph" w:customStyle="1" w:styleId="66">
    <w:name w:val="章"/>
    <w:basedOn w:val="4"/>
    <w:link w:val="65"/>
    <w:qFormat/>
    <w:uiPriority w:val="2"/>
    <w:pPr>
      <w:pageBreakBefore/>
      <w:spacing w:before="440" w:after="400" w:line="288" w:lineRule="auto"/>
      <w:jc w:val="center"/>
      <w:textAlignment w:val="baseline"/>
    </w:pPr>
    <w:rPr>
      <w:rFonts w:hAnsi="黑体" w:eastAsia="黑体" w:asciiTheme="minorHAnsi" w:cstheme="minorBidi"/>
      <w:b w:val="0"/>
      <w:snapToGrid/>
      <w:spacing w:val="0"/>
      <w:kern w:val="2"/>
      <w:sz w:val="32"/>
      <w:szCs w:val="22"/>
    </w:rPr>
  </w:style>
  <w:style w:type="paragraph" w:customStyle="1" w:styleId="67">
    <w:name w:val="_Style 37"/>
    <w:basedOn w:val="1"/>
    <w:next w:val="68"/>
    <w:qFormat/>
    <w:uiPriority w:val="0"/>
    <w:pPr>
      <w:adjustRightInd/>
      <w:snapToGrid/>
      <w:ind w:firstLine="420" w:firstLineChars="200"/>
    </w:pPr>
    <w:rPr>
      <w:rFonts w:ascii="Calibri" w:hAnsi="Calibri"/>
      <w:snapToGrid/>
      <w:spacing w:val="0"/>
      <w:kern w:val="2"/>
      <w:sz w:val="21"/>
      <w:szCs w:val="22"/>
    </w:rPr>
  </w:style>
  <w:style w:type="paragraph" w:styleId="68">
    <w:name w:val="List Paragraph"/>
    <w:basedOn w:val="1"/>
    <w:qFormat/>
    <w:uiPriority w:val="34"/>
    <w:pPr>
      <w:ind w:firstLine="420" w:firstLineChars="200"/>
    </w:pPr>
  </w:style>
  <w:style w:type="character" w:customStyle="1" w:styleId="69">
    <w:name w:val="纯文本 Char"/>
    <w:basedOn w:val="39"/>
    <w:link w:val="19"/>
    <w:qFormat/>
    <w:uiPriority w:val="0"/>
    <w:rPr>
      <w:rFonts w:ascii="宋体" w:hAnsi="Courier New" w:eastAsia="宋体" w:cs="Courier New"/>
      <w:snapToGrid w:val="0"/>
      <w:spacing w:val="4"/>
      <w:szCs w:val="21"/>
    </w:rPr>
  </w:style>
  <w:style w:type="character" w:customStyle="1" w:styleId="70">
    <w:name w:val="正文文本缩进 Char"/>
    <w:basedOn w:val="39"/>
    <w:link w:val="17"/>
    <w:qFormat/>
    <w:uiPriority w:val="0"/>
    <w:rPr>
      <w:rFonts w:ascii="宋体" w:hAnsi="Times New Roman" w:eastAsia="宋体" w:cs="Times New Roman"/>
      <w:snapToGrid w:val="0"/>
      <w:spacing w:val="4"/>
      <w:kern w:val="0"/>
      <w:sz w:val="24"/>
      <w:szCs w:val="24"/>
    </w:rPr>
  </w:style>
  <w:style w:type="character" w:customStyle="1" w:styleId="71">
    <w:name w:val="正文文本缩进 2 Char"/>
    <w:basedOn w:val="39"/>
    <w:link w:val="21"/>
    <w:qFormat/>
    <w:uiPriority w:val="0"/>
    <w:rPr>
      <w:rFonts w:ascii="宋体" w:hAnsi="宋体" w:eastAsia="仿宋" w:cs="Times New Roman"/>
      <w:snapToGrid w:val="0"/>
      <w:spacing w:val="4"/>
      <w:kern w:val="0"/>
      <w:sz w:val="18"/>
      <w:szCs w:val="18"/>
    </w:rPr>
  </w:style>
  <w:style w:type="character" w:customStyle="1" w:styleId="72">
    <w:name w:val="日期 Char"/>
    <w:basedOn w:val="39"/>
    <w:link w:val="20"/>
    <w:qFormat/>
    <w:uiPriority w:val="0"/>
    <w:rPr>
      <w:rFonts w:ascii="宋体" w:hAnsi="Times New Roman" w:eastAsia="仿宋" w:cs="Times New Roman"/>
      <w:snapToGrid w:val="0"/>
      <w:spacing w:val="4"/>
      <w:kern w:val="0"/>
      <w:sz w:val="20"/>
      <w:szCs w:val="24"/>
    </w:rPr>
  </w:style>
  <w:style w:type="character" w:customStyle="1" w:styleId="73">
    <w:name w:val="正文文本 Char"/>
    <w:basedOn w:val="39"/>
    <w:link w:val="16"/>
    <w:qFormat/>
    <w:uiPriority w:val="0"/>
    <w:rPr>
      <w:rFonts w:ascii="宋体" w:hAnsi="Times New Roman" w:eastAsia="仿宋" w:cs="Times New Roman"/>
      <w:snapToGrid w:val="0"/>
      <w:spacing w:val="4"/>
      <w:kern w:val="0"/>
      <w:sz w:val="18"/>
      <w:szCs w:val="24"/>
    </w:rPr>
  </w:style>
  <w:style w:type="character" w:customStyle="1" w:styleId="74">
    <w:name w:val="正文文本缩进 3 Char"/>
    <w:basedOn w:val="39"/>
    <w:link w:val="27"/>
    <w:qFormat/>
    <w:uiPriority w:val="0"/>
    <w:rPr>
      <w:rFonts w:ascii="宋体" w:hAnsi="Times New Roman" w:eastAsia="宋体" w:cs="Times New Roman"/>
      <w:snapToGrid w:val="0"/>
      <w:color w:val="000000"/>
      <w:spacing w:val="4"/>
      <w:kern w:val="0"/>
      <w:sz w:val="24"/>
      <w:szCs w:val="24"/>
    </w:rPr>
  </w:style>
  <w:style w:type="character" w:customStyle="1" w:styleId="75">
    <w:name w:val="正文文本 2 Char"/>
    <w:basedOn w:val="39"/>
    <w:link w:val="29"/>
    <w:qFormat/>
    <w:uiPriority w:val="0"/>
    <w:rPr>
      <w:rFonts w:ascii="宋体" w:hAnsi="Times New Roman" w:eastAsia="宋体" w:cs="Times New Roman"/>
      <w:snapToGrid w:val="0"/>
      <w:spacing w:val="4"/>
      <w:szCs w:val="24"/>
    </w:rPr>
  </w:style>
  <w:style w:type="character" w:customStyle="1" w:styleId="76">
    <w:name w:val="标题 Char"/>
    <w:basedOn w:val="39"/>
    <w:link w:val="32"/>
    <w:qFormat/>
    <w:uiPriority w:val="0"/>
    <w:rPr>
      <w:rFonts w:ascii="Arial" w:hAnsi="Arial" w:eastAsia="仿宋" w:cs="Times New Roman"/>
      <w:b/>
      <w:snapToGrid w:val="0"/>
      <w:color w:val="000000"/>
      <w:spacing w:val="4"/>
      <w:kern w:val="0"/>
      <w:sz w:val="32"/>
      <w:szCs w:val="24"/>
    </w:rPr>
  </w:style>
  <w:style w:type="paragraph" w:customStyle="1" w:styleId="77">
    <w:name w:val="正文文字缩进 Char Char"/>
    <w:basedOn w:val="1"/>
    <w:next w:val="16"/>
    <w:qFormat/>
    <w:uiPriority w:val="0"/>
    <w:pPr>
      <w:adjustRightInd/>
      <w:snapToGrid/>
      <w:spacing w:after="120" w:line="240" w:lineRule="auto"/>
    </w:pPr>
    <w:rPr>
      <w:rFonts w:ascii="Times New Roman"/>
      <w:snapToGrid/>
      <w:spacing w:val="0"/>
      <w:kern w:val="2"/>
      <w:sz w:val="21"/>
    </w:rPr>
  </w:style>
  <w:style w:type="paragraph" w:customStyle="1" w:styleId="78">
    <w:name w:val="铝土矿正文"/>
    <w:basedOn w:val="1"/>
    <w:qFormat/>
    <w:uiPriority w:val="0"/>
    <w:pPr>
      <w:spacing w:line="560" w:lineRule="atLeast"/>
      <w:ind w:firstLine="560" w:firstLineChars="200"/>
    </w:pPr>
    <w:rPr>
      <w:rFonts w:eastAsia="仿宋_GB2312"/>
      <w:color w:val="FF0000"/>
      <w:szCs w:val="28"/>
    </w:rPr>
  </w:style>
  <w:style w:type="paragraph" w:customStyle="1" w:styleId="79">
    <w:name w:val="Char Char5"/>
    <w:basedOn w:val="1"/>
    <w:qFormat/>
    <w:uiPriority w:val="0"/>
    <w:pPr>
      <w:adjustRightInd/>
      <w:snapToGrid/>
      <w:spacing w:line="240" w:lineRule="auto"/>
    </w:pPr>
    <w:rPr>
      <w:rFonts w:ascii="Times New Roman"/>
      <w:snapToGrid/>
      <w:spacing w:val="0"/>
      <w:kern w:val="2"/>
    </w:rPr>
  </w:style>
  <w:style w:type="paragraph" w:customStyle="1" w:styleId="80">
    <w:name w:val="一."/>
    <w:basedOn w:val="1"/>
    <w:uiPriority w:val="0"/>
    <w:pPr>
      <w:spacing w:before="160" w:after="160" w:line="288" w:lineRule="auto"/>
      <w:jc w:val="center"/>
      <w:textAlignment w:val="baseline"/>
    </w:pPr>
    <w:rPr>
      <w:rFonts w:eastAsia="黑体"/>
      <w:sz w:val="26"/>
    </w:rPr>
  </w:style>
  <w:style w:type="paragraph" w:customStyle="1" w:styleId="81">
    <w:name w:val="1.1.1.1"/>
    <w:basedOn w:val="1"/>
    <w:qFormat/>
    <w:uiPriority w:val="0"/>
    <w:pPr>
      <w:spacing w:before="60" w:after="60"/>
      <w:ind w:firstLine="200" w:firstLineChars="200"/>
    </w:pPr>
    <w:rPr>
      <w:rFonts w:ascii="黑体" w:eastAsia="黑体"/>
    </w:rPr>
  </w:style>
  <w:style w:type="paragraph" w:customStyle="1" w:styleId="82">
    <w:name w:val="样式2"/>
    <w:basedOn w:val="1"/>
    <w:qFormat/>
    <w:uiPriority w:val="0"/>
    <w:pPr>
      <w:tabs>
        <w:tab w:val="right" w:pos="8505"/>
      </w:tabs>
      <w:spacing w:line="336" w:lineRule="auto"/>
      <w:ind w:left="680" w:right="1361"/>
    </w:pPr>
    <w:rPr>
      <w:sz w:val="18"/>
    </w:rPr>
  </w:style>
  <w:style w:type="paragraph" w:customStyle="1" w:styleId="83">
    <w:name w:val="正"/>
    <w:basedOn w:val="1"/>
    <w:qFormat/>
    <w:uiPriority w:val="0"/>
    <w:pPr>
      <w:tabs>
        <w:tab w:val="left" w:pos="2880"/>
        <w:tab w:val="left" w:pos="9360"/>
        <w:tab w:val="left" w:pos="9540"/>
      </w:tabs>
      <w:spacing w:line="400" w:lineRule="exact"/>
      <w:ind w:right="40" w:firstLine="413"/>
    </w:pPr>
    <w:rPr>
      <w:rFonts w:ascii="楷体_GB2312" w:eastAsia="楷体_GB2312"/>
      <w:color w:val="000000"/>
      <w:sz w:val="30"/>
      <w:szCs w:val="20"/>
    </w:rPr>
  </w:style>
  <w:style w:type="paragraph" w:customStyle="1" w:styleId="84">
    <w:name w:val="节"/>
    <w:basedOn w:val="1"/>
    <w:qFormat/>
    <w:uiPriority w:val="0"/>
    <w:pPr>
      <w:spacing w:before="320" w:after="200" w:line="288" w:lineRule="auto"/>
      <w:jc w:val="center"/>
      <w:textAlignment w:val="baseline"/>
      <w:outlineLvl w:val="3"/>
    </w:pPr>
    <w:rPr>
      <w:rFonts w:hAnsi="宋体" w:eastAsia="宋体"/>
      <w:sz w:val="32"/>
    </w:rPr>
  </w:style>
  <w:style w:type="paragraph" w:customStyle="1" w:styleId="85">
    <w:name w:val="Char Char Char Char"/>
    <w:basedOn w:val="1"/>
    <w:qFormat/>
    <w:uiPriority w:val="0"/>
    <w:pPr>
      <w:adjustRightInd/>
      <w:snapToGrid/>
      <w:spacing w:line="240" w:lineRule="auto"/>
    </w:pPr>
    <w:rPr>
      <w:rFonts w:ascii="Times New Roman"/>
      <w:snapToGrid/>
      <w:spacing w:val="0"/>
      <w:kern w:val="2"/>
      <w:sz w:val="21"/>
    </w:rPr>
  </w:style>
  <w:style w:type="paragraph" w:customStyle="1" w:styleId="86">
    <w:name w:val="图例"/>
    <w:basedOn w:val="1"/>
    <w:next w:val="1"/>
    <w:uiPriority w:val="0"/>
    <w:pPr>
      <w:adjustRightInd/>
      <w:snapToGrid/>
      <w:spacing w:line="220" w:lineRule="exact"/>
      <w:jc w:val="center"/>
    </w:pPr>
    <w:rPr>
      <w:rFonts w:ascii="Times New Roman"/>
      <w:snapToGrid/>
      <w:spacing w:val="0"/>
      <w:kern w:val="2"/>
      <w:sz w:val="15"/>
      <w:szCs w:val="20"/>
    </w:rPr>
  </w:style>
  <w:style w:type="paragraph" w:customStyle="1" w:styleId="87">
    <w:name w:val="Char Char Char Char Char Char Char Char Char Char Char Char Char Char Char Char Char Char Char Char Char Char"/>
    <w:basedOn w:val="1"/>
    <w:qFormat/>
    <w:uiPriority w:val="0"/>
    <w:pPr>
      <w:adjustRightInd/>
      <w:snapToGrid/>
      <w:spacing w:line="240" w:lineRule="auto"/>
    </w:pPr>
    <w:rPr>
      <w:rFonts w:ascii="Times New Roman" w:eastAsia="仿宋_GB2312"/>
      <w:snapToGrid/>
      <w:spacing w:val="0"/>
      <w:kern w:val="2"/>
      <w:sz w:val="32"/>
    </w:rPr>
  </w:style>
  <w:style w:type="paragraph" w:customStyle="1" w:styleId="88">
    <w:name w:val="图名"/>
    <w:basedOn w:val="1"/>
    <w:qFormat/>
    <w:uiPriority w:val="0"/>
    <w:pPr>
      <w:spacing w:line="264" w:lineRule="auto"/>
      <w:jc w:val="center"/>
    </w:pPr>
    <w:rPr>
      <w:rFonts w:ascii="黑体" w:eastAsia="黑体"/>
      <w:sz w:val="21"/>
      <w:szCs w:val="21"/>
    </w:rPr>
  </w:style>
  <w:style w:type="paragraph" w:customStyle="1" w:styleId="89">
    <w:name w:val="tm"/>
    <w:basedOn w:val="1"/>
    <w:uiPriority w:val="0"/>
    <w:pPr>
      <w:spacing w:line="288" w:lineRule="auto"/>
      <w:jc w:val="center"/>
    </w:pPr>
    <w:rPr>
      <w:rFonts w:ascii="黑体" w:eastAsia="黑体"/>
      <w:sz w:val="21"/>
    </w:rPr>
  </w:style>
  <w:style w:type="paragraph" w:customStyle="1" w:styleId="90">
    <w:name w:val="人"/>
    <w:basedOn w:val="1"/>
    <w:uiPriority w:val="0"/>
    <w:pPr>
      <w:adjustRightInd/>
      <w:snapToGrid/>
      <w:spacing w:line="240" w:lineRule="auto"/>
    </w:pPr>
    <w:rPr>
      <w:rFonts w:ascii="Times New Roman"/>
      <w:spacing w:val="0"/>
      <w:kern w:val="2"/>
      <w:sz w:val="21"/>
    </w:rPr>
  </w:style>
  <w:style w:type="paragraph" w:customStyle="1" w:styleId="91">
    <w:name w:val="表首栏"/>
    <w:basedOn w:val="1"/>
    <w:next w:val="1"/>
    <w:qFormat/>
    <w:uiPriority w:val="0"/>
    <w:pPr>
      <w:adjustRightInd/>
      <w:snapToGrid/>
      <w:spacing w:line="220" w:lineRule="exact"/>
      <w:jc w:val="center"/>
    </w:pPr>
    <w:rPr>
      <w:rFonts w:ascii="Times New Roman"/>
      <w:b/>
      <w:bCs/>
      <w:snapToGrid/>
      <w:spacing w:val="0"/>
      <w:kern w:val="2"/>
      <w:sz w:val="15"/>
      <w:szCs w:val="20"/>
    </w:rPr>
  </w:style>
  <w:style w:type="paragraph" w:customStyle="1" w:styleId="92">
    <w:name w:val="样式1"/>
    <w:basedOn w:val="1"/>
    <w:qFormat/>
    <w:uiPriority w:val="0"/>
    <w:pPr>
      <w:tabs>
        <w:tab w:val="right" w:pos="8505"/>
      </w:tabs>
      <w:spacing w:line="336" w:lineRule="auto"/>
      <w:ind w:right="1361"/>
    </w:pPr>
    <w:rPr>
      <w:sz w:val="18"/>
    </w:rPr>
  </w:style>
  <w:style w:type="paragraph" w:customStyle="1" w:styleId="93">
    <w:name w:val="2"/>
    <w:basedOn w:val="1"/>
    <w:qFormat/>
    <w:uiPriority w:val="0"/>
    <w:pPr>
      <w:spacing w:line="288" w:lineRule="auto"/>
      <w:ind w:firstLine="621"/>
      <w:textAlignment w:val="baseline"/>
    </w:pPr>
    <w:rPr>
      <w:rFonts w:ascii="黑体" w:eastAsia="黑体"/>
      <w:sz w:val="24"/>
    </w:rPr>
  </w:style>
  <w:style w:type="paragraph" w:customStyle="1" w:styleId="94">
    <w:name w:val="Char Char4"/>
    <w:basedOn w:val="1"/>
    <w:qFormat/>
    <w:uiPriority w:val="0"/>
    <w:pPr>
      <w:adjustRightInd/>
      <w:ind w:firstLine="200" w:firstLineChars="200"/>
    </w:pPr>
    <w:rPr>
      <w:rFonts w:ascii="Times New Roman" w:eastAsia="仿宋_GB2312"/>
      <w:snapToGrid/>
      <w:spacing w:val="0"/>
      <w:kern w:val="2"/>
    </w:rPr>
  </w:style>
  <w:style w:type="paragraph" w:customStyle="1" w:styleId="95">
    <w:name w:val="(一)"/>
    <w:basedOn w:val="1"/>
    <w:qFormat/>
    <w:uiPriority w:val="0"/>
    <w:pPr>
      <w:spacing w:before="20" w:after="20" w:line="288" w:lineRule="auto"/>
    </w:pPr>
    <w:rPr>
      <w:rFonts w:eastAsia="仿宋_GB2312"/>
      <w:sz w:val="27"/>
    </w:rPr>
  </w:style>
  <w:style w:type="paragraph" w:customStyle="1" w:styleId="96">
    <w:name w:val="样式 列表 2表内容居中表内容 + 左"/>
    <w:basedOn w:val="18"/>
    <w:uiPriority w:val="0"/>
    <w:pPr>
      <w:adjustRightInd/>
      <w:snapToGrid/>
      <w:spacing w:line="240" w:lineRule="exact"/>
      <w:ind w:left="0" w:leftChars="0" w:firstLine="0" w:firstLineChars="0"/>
    </w:pPr>
    <w:rPr>
      <w:rFonts w:cs="宋体"/>
      <w:snapToGrid/>
      <w:spacing w:val="0"/>
      <w:kern w:val="2"/>
      <w:sz w:val="15"/>
      <w:szCs w:val="20"/>
    </w:rPr>
  </w:style>
  <w:style w:type="paragraph" w:customStyle="1" w:styleId="97">
    <w:name w:val="reader-word-layer"/>
    <w:basedOn w:val="1"/>
    <w:uiPriority w:val="0"/>
    <w:pPr>
      <w:widowControl/>
      <w:adjustRightInd/>
      <w:snapToGrid/>
      <w:spacing w:before="100" w:beforeAutospacing="1" w:after="100" w:afterAutospacing="1" w:line="240" w:lineRule="auto"/>
      <w:jc w:val="left"/>
    </w:pPr>
    <w:rPr>
      <w:rFonts w:hAnsi="宋体" w:cs="宋体"/>
      <w:snapToGrid/>
      <w:spacing w:val="0"/>
    </w:rPr>
  </w:style>
  <w:style w:type="paragraph" w:styleId="98">
    <w:name w:val="No Spacing"/>
    <w:qFormat/>
    <w:uiPriority w:val="0"/>
    <w:pPr>
      <w:widowControl w:val="0"/>
      <w:ind w:right="1361" w:firstLine="250" w:firstLineChars="250"/>
      <w:jc w:val="both"/>
    </w:pPr>
    <w:rPr>
      <w:rFonts w:ascii="Calibri" w:hAnsi="Calibri" w:eastAsia="宋体" w:cs="Times New Roman"/>
      <w:kern w:val="2"/>
      <w:sz w:val="21"/>
      <w:szCs w:val="22"/>
      <w:lang w:val="en-US" w:eastAsia="zh-CN" w:bidi="ar-SA"/>
    </w:rPr>
  </w:style>
  <w:style w:type="paragraph" w:customStyle="1" w:styleId="99">
    <w:name w:val="Char Char Char Char Char Char Char Char Char"/>
    <w:basedOn w:val="1"/>
    <w:qFormat/>
    <w:uiPriority w:val="0"/>
    <w:pPr>
      <w:adjustRightInd/>
      <w:snapToGrid/>
      <w:spacing w:line="240" w:lineRule="auto"/>
    </w:pPr>
    <w:rPr>
      <w:rFonts w:ascii="Times New Roman"/>
      <w:snapToGrid/>
      <w:spacing w:val="0"/>
      <w:kern w:val="2"/>
      <w:sz w:val="21"/>
    </w:rPr>
  </w:style>
  <w:style w:type="paragraph" w:customStyle="1" w:styleId="100">
    <w:name w:val="Char1"/>
    <w:basedOn w:val="1"/>
    <w:qFormat/>
    <w:uiPriority w:val="0"/>
    <w:pPr>
      <w:adjustRightInd/>
      <w:snapToGrid/>
      <w:spacing w:line="240" w:lineRule="auto"/>
    </w:pPr>
    <w:rPr>
      <w:rFonts w:ascii="Times New Roman"/>
      <w:snapToGrid/>
      <w:spacing w:val="0"/>
      <w:kern w:val="2"/>
    </w:rPr>
  </w:style>
  <w:style w:type="character" w:customStyle="1" w:styleId="101">
    <w:name w:val="标题 6 Char"/>
    <w:link w:val="7"/>
    <w:uiPriority w:val="0"/>
    <w:rPr>
      <w:rFonts w:ascii="黑体" w:hAnsi="黑体" w:eastAsia="黑体" w:cs="Times New Roman"/>
      <w:snapToGrid w:val="0"/>
      <w:spacing w:val="4"/>
      <w:kern w:val="0"/>
      <w:szCs w:val="24"/>
    </w:rPr>
  </w:style>
  <w:style w:type="character" w:customStyle="1" w:styleId="102">
    <w:name w:val="标题 2 Char"/>
    <w:link w:val="3"/>
    <w:qFormat/>
    <w:uiPriority w:val="0"/>
    <w:rPr>
      <w:rFonts w:ascii="Arial" w:hAnsi="Arial" w:eastAsia="仿宋" w:cs="Times New Roman"/>
      <w:b/>
      <w:snapToGrid w:val="0"/>
      <w:spacing w:val="4"/>
      <w:kern w:val="0"/>
      <w:sz w:val="36"/>
      <w:szCs w:val="24"/>
    </w:rPr>
  </w:style>
  <w:style w:type="paragraph" w:customStyle="1" w:styleId="103">
    <w:name w:val="Table Paragraph"/>
    <w:basedOn w:val="1"/>
    <w:qFormat/>
    <w:uiPriority w:val="1"/>
    <w:pPr>
      <w:autoSpaceDE w:val="0"/>
      <w:autoSpaceDN w:val="0"/>
      <w:adjustRightInd/>
      <w:snapToGrid/>
      <w:spacing w:line="240" w:lineRule="auto"/>
      <w:jc w:val="left"/>
    </w:pPr>
    <w:rPr>
      <w:rFonts w:hAnsi="宋体" w:eastAsia="宋体" w:cs="宋体"/>
      <w:snapToGrid/>
      <w:spacing w:val="0"/>
      <w:sz w:val="22"/>
      <w:szCs w:val="22"/>
      <w:lang w:val="zh-CN" w:bidi="zh-CN"/>
    </w:rPr>
  </w:style>
  <w:style w:type="character" w:customStyle="1" w:styleId="104">
    <w:name w:val="标题 1 Char"/>
    <w:link w:val="2"/>
    <w:qFormat/>
    <w:uiPriority w:val="0"/>
    <w:rPr>
      <w:rFonts w:ascii="宋体" w:hAnsi="Times New Roman" w:eastAsia="仿宋" w:cs="Times New Roman"/>
      <w:b/>
      <w:snapToGrid w:val="0"/>
      <w:kern w:val="44"/>
      <w:sz w:val="44"/>
      <w:szCs w:val="24"/>
    </w:rPr>
  </w:style>
  <w:style w:type="paragraph" w:customStyle="1" w:styleId="105">
    <w:name w:val="TOC 标题1"/>
    <w:basedOn w:val="2"/>
    <w:next w:val="1"/>
    <w:semiHidden/>
    <w:unhideWhenUsed/>
    <w:qFormat/>
    <w:uiPriority w:val="39"/>
    <w:pPr>
      <w:pageBreakBefore w:val="0"/>
      <w:widowControl/>
      <w:adjustRightInd/>
      <w:snapToGrid/>
      <w:spacing w:beforeLines="0" w:afterLines="0" w:line="276" w:lineRule="auto"/>
      <w:jc w:val="left"/>
      <w:outlineLvl w:val="9"/>
    </w:pPr>
    <w:rPr>
      <w:rFonts w:ascii="Cambria" w:hAnsi="Cambria" w:eastAsia="宋体"/>
      <w:bCs/>
      <w:snapToGrid/>
      <w:color w:val="365F91"/>
      <w:kern w:val="0"/>
      <w:sz w:val="28"/>
      <w:szCs w:val="28"/>
    </w:rPr>
  </w:style>
  <w:style w:type="table" w:customStyle="1" w:styleId="106">
    <w:name w:val="网格表 2 - 着色 51"/>
    <w:basedOn w:val="35"/>
    <w:uiPriority w:val="47"/>
    <w:rPr>
      <w:rFonts w:ascii="Times New Roman" w:hAnsi="Times New Roman" w:eastAsia="宋体" w:cs="Times New Roman"/>
    </w:rPr>
    <w:tblPr>
      <w:tblBorders>
        <w:top w:val="single" w:color="9CC2E5" w:sz="2" w:space="0"/>
        <w:bottom w:val="single" w:color="9CC2E5" w:sz="2" w:space="0"/>
        <w:insideH w:val="single" w:color="9CC2E5" w:sz="2" w:space="0"/>
        <w:insideV w:val="single" w:color="9CC2E5" w:sz="2" w:space="0"/>
      </w:tblBorders>
      <w:tblCellMar>
        <w:top w:w="0" w:type="dxa"/>
        <w:left w:w="108" w:type="dxa"/>
        <w:bottom w:w="0" w:type="dxa"/>
        <w:right w:w="108" w:type="dxa"/>
      </w:tblCellMar>
    </w:tblPr>
    <w:tblStylePr w:type="firstRow">
      <w:rPr>
        <w:b/>
        <w:bCs/>
      </w:rPr>
      <w:tcPr>
        <w:tcBorders>
          <w:top w:val="nil"/>
          <w:bottom w:val="single" w:color="9CC2E5" w:sz="12" w:space="0"/>
          <w:insideH w:val="nil"/>
          <w:insideV w:val="nil"/>
        </w:tcBorders>
        <w:shd w:val="clear" w:color="auto" w:fill="FFFFFF"/>
      </w:tcPr>
    </w:tblStylePr>
    <w:tblStylePr w:type="lastRow">
      <w:rPr>
        <w:b/>
        <w:bCs/>
      </w:rPr>
      <w:tcPr>
        <w:tcBorders>
          <w:top w:val="double" w:color="9CC2E5"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107">
    <w:name w:val="正文首行缩进 2 Char"/>
    <w:basedOn w:val="70"/>
    <w:link w:val="34"/>
    <w:semiHidden/>
    <w:qFormat/>
    <w:uiPriority w:val="99"/>
    <w:rPr>
      <w:rFonts w:ascii="宋体" w:hAnsi="Times New Roman" w:eastAsia="宋体" w:cs="Times New Roman"/>
      <w:snapToGrid w:val="0"/>
      <w:spacing w:val="4"/>
      <w:kern w:val="0"/>
      <w:sz w:val="24"/>
      <w:szCs w:val="24"/>
    </w:rPr>
  </w:style>
  <w:style w:type="paragraph" w:customStyle="1" w:styleId="108">
    <w:name w:val="表格内容"/>
    <w:qFormat/>
    <w:uiPriority w:val="99"/>
    <w:pPr>
      <w:overflowPunct w:val="0"/>
      <w:adjustRightInd w:val="0"/>
      <w:snapToGrid w:val="0"/>
      <w:spacing w:line="288" w:lineRule="auto"/>
    </w:pPr>
    <w:rPr>
      <w:rFonts w:ascii="宋体" w:hAnsi="Arial" w:eastAsia="宋体" w:cs="Times New Roman"/>
      <w:sz w:val="24"/>
      <w:lang w:val="en-US" w:eastAsia="zh-CN" w:bidi="ar-SA"/>
    </w:rPr>
  </w:style>
  <w:style w:type="table" w:customStyle="1" w:styleId="109">
    <w:name w:val="网格型1"/>
    <w:basedOn w:val="35"/>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0">
    <w:name w:val="网格型2"/>
    <w:basedOn w:val="35"/>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1">
    <w:name w:val="TOC 标题2"/>
    <w:basedOn w:val="2"/>
    <w:next w:val="1"/>
    <w:unhideWhenUsed/>
    <w:qFormat/>
    <w:uiPriority w:val="39"/>
    <w:pPr>
      <w:pageBreakBefore w:val="0"/>
      <w:spacing w:beforeLines="0" w:afterLines="0" w:line="578" w:lineRule="auto"/>
      <w:jc w:val="both"/>
      <w:outlineLvl w:val="9"/>
    </w:pPr>
    <w:rPr>
      <w:bCs/>
      <w:spacing w:val="4"/>
      <w:szCs w:val="44"/>
    </w:rPr>
  </w:style>
  <w:style w:type="table" w:customStyle="1" w:styleId="112">
    <w:name w:val="网格表 2 - 着色 52"/>
    <w:basedOn w:val="35"/>
    <w:uiPriority w:val="47"/>
    <w:rPr>
      <w:rFonts w:ascii="Times New Roman" w:hAnsi="Times New Roman" w:eastAsia="宋体" w:cs="Times New Roman"/>
    </w:rPr>
    <w:tblPr>
      <w:tblBorders>
        <w:top w:val="single" w:color="9CC2E5" w:sz="2" w:space="0"/>
        <w:bottom w:val="single" w:color="9CC2E5" w:sz="2" w:space="0"/>
        <w:insideH w:val="single" w:color="9CC2E5" w:sz="2" w:space="0"/>
        <w:insideV w:val="single" w:color="9CC2E5" w:sz="2" w:space="0"/>
      </w:tblBorders>
      <w:tblCellMar>
        <w:top w:w="0" w:type="dxa"/>
        <w:left w:w="108" w:type="dxa"/>
        <w:bottom w:w="0" w:type="dxa"/>
        <w:right w:w="108" w:type="dxa"/>
      </w:tblCellMar>
    </w:tblPr>
    <w:tblStylePr w:type="firstRow">
      <w:rPr>
        <w:b/>
        <w:bCs/>
      </w:rPr>
      <w:tcPr>
        <w:tcBorders>
          <w:top w:val="nil"/>
          <w:bottom w:val="single" w:color="9CC2E5" w:sz="12" w:space="0"/>
          <w:insideH w:val="nil"/>
          <w:insideV w:val="nil"/>
        </w:tcBorders>
        <w:shd w:val="clear" w:color="auto" w:fill="FFFFFF"/>
      </w:tcPr>
    </w:tblStylePr>
    <w:tblStylePr w:type="lastRow">
      <w:rPr>
        <w:b/>
        <w:bCs/>
      </w:rPr>
      <w:tcPr>
        <w:tcBorders>
          <w:top w:val="double" w:color="9CC2E5"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113">
    <w:name w:val="样式 样式 正文 + 楷体_GB2312 四号 + 首行缩进:  2 字符"/>
    <w:basedOn w:val="1"/>
    <w:qFormat/>
    <w:uiPriority w:val="0"/>
    <w:pPr>
      <w:widowControl/>
      <w:spacing w:line="560" w:lineRule="exact"/>
      <w:ind w:firstLine="200" w:firstLineChars="200"/>
    </w:pPr>
    <w:rPr>
      <w:rFonts w:ascii="楷体_GB2312" w:hAnsi="楷体_GB2312" w:eastAsia="楷体_GB2312" w:cs="宋体"/>
      <w:snapToGrid/>
      <w:spacing w:val="0"/>
      <w:szCs w:val="20"/>
    </w:rPr>
  </w:style>
  <w:style w:type="character" w:customStyle="1" w:styleId="114">
    <w:name w:val="文档结构图 Char"/>
    <w:basedOn w:val="39"/>
    <w:link w:val="14"/>
    <w:semiHidden/>
    <w:qFormat/>
    <w:uiPriority w:val="99"/>
    <w:rPr>
      <w:rFonts w:ascii="宋体" w:hAnsi="Times New Roman" w:eastAsia="宋体" w:cs="Times New Roman"/>
      <w:snapToGrid w:val="0"/>
      <w:spacing w:val="4"/>
      <w:sz w:val="18"/>
      <w:szCs w:val="18"/>
    </w:rPr>
  </w:style>
  <w:style w:type="character" w:customStyle="1" w:styleId="115">
    <w:name w:val="批注框文本 Char"/>
    <w:basedOn w:val="39"/>
    <w:link w:val="22"/>
    <w:semiHidden/>
    <w:qFormat/>
    <w:uiPriority w:val="99"/>
    <w:rPr>
      <w:rFonts w:ascii="宋体" w:hAnsi="Times New Roman" w:eastAsia="仿宋" w:cs="Times New Roman"/>
      <w:snapToGrid w:val="0"/>
      <w:spacing w:val="4"/>
      <w:sz w:val="18"/>
      <w:szCs w:val="18"/>
    </w:rPr>
  </w:style>
  <w:style w:type="paragraph" w:customStyle="1" w:styleId="116">
    <w:name w:val="Char Char Char"/>
    <w:basedOn w:val="1"/>
    <w:qFormat/>
    <w:uiPriority w:val="0"/>
    <w:pPr>
      <w:adjustRightInd/>
      <w:snapToGrid/>
      <w:spacing w:line="240" w:lineRule="auto"/>
      <w:ind w:firstLine="1280" w:firstLineChars="200"/>
    </w:pPr>
    <w:rPr>
      <w:rFonts w:ascii="Tahoma" w:hAnsi="Tahoma"/>
      <w:snapToGrid/>
      <w:spacing w:val="0"/>
      <w:kern w:val="2"/>
      <w:sz w:val="24"/>
      <w:szCs w:val="20"/>
    </w:rPr>
  </w:style>
  <w:style w:type="character" w:customStyle="1" w:styleId="117">
    <w:name w:val="批注文字 Char"/>
    <w:basedOn w:val="39"/>
    <w:link w:val="15"/>
    <w:semiHidden/>
    <w:uiPriority w:val="99"/>
    <w:rPr>
      <w:rFonts w:ascii="宋体" w:hAnsi="Times New Roman" w:eastAsia="仿宋" w:cs="Times New Roman"/>
      <w:snapToGrid w:val="0"/>
      <w:spacing w:val="4"/>
      <w:sz w:val="28"/>
      <w:szCs w:val="24"/>
    </w:rPr>
  </w:style>
  <w:style w:type="character" w:customStyle="1" w:styleId="118">
    <w:name w:val="批注主题 Char"/>
    <w:basedOn w:val="117"/>
    <w:link w:val="33"/>
    <w:semiHidden/>
    <w:uiPriority w:val="99"/>
    <w:rPr>
      <w:rFonts w:ascii="宋体" w:hAnsi="Times New Roman" w:eastAsia="仿宋" w:cs="Times New Roman"/>
      <w:b/>
      <w:bCs/>
      <w:snapToGrid w:val="0"/>
      <w:spacing w:val="4"/>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D2A39-2C3B-48B5-A936-A581AC9E604D}">
  <ds:schemaRefs/>
</ds:datastoreItem>
</file>

<file path=docProps/app.xml><?xml version="1.0" encoding="utf-8"?>
<Properties xmlns="http://schemas.openxmlformats.org/officeDocument/2006/extended-properties" xmlns:vt="http://schemas.openxmlformats.org/officeDocument/2006/docPropsVTypes">
  <Template>Normal</Template>
  <Company>西安富百电子科技有限责任公司</Company>
  <Pages>41</Pages>
  <Words>19870</Words>
  <Characters>20435</Characters>
  <Lines>166</Lines>
  <Paragraphs>46</Paragraphs>
  <TotalTime>1101</TotalTime>
  <ScaleCrop>false</ScaleCrop>
  <LinksUpToDate>false</LinksUpToDate>
  <CharactersWithSpaces>21048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2023-03-22T09:27:00Z</dcterms:created>
  <dc:creator>Administrator</dc:creator>
  <cp:lastModifiedBy>蓝黑</cp:lastModifiedBy>
  <cp:lastPrinted>2022-04-18T09:25:00Z</cp:lastPrinted>
  <dcterms:modified xsi:type="dcterms:W3CDTF">2023-04-18T13:00:25Z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7EEA7C7DBB024EED9914CFC20C875210_13</vt:lpwstr>
  </property>
</Properties>
</file>