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0"/>
        <w:jc w:val="left"/>
        <w:rPr>
          <w:rFonts w:hint="eastAsia" w:eastAsiaTheme="minorEastAsia"/>
          <w:b/>
          <w:bCs/>
          <w:sz w:val="28"/>
          <w:szCs w:val="28"/>
          <w:lang w:eastAsia="zh-CN"/>
        </w:rPr>
      </w:pPr>
      <w:r>
        <w:rPr>
          <w:rFonts w:hint="eastAsia"/>
          <w:b/>
          <w:bCs/>
          <w:sz w:val="28"/>
          <w:szCs w:val="28"/>
        </w:rPr>
        <w:t>附件</w:t>
      </w:r>
      <w:r>
        <w:rPr>
          <w:rFonts w:hint="eastAsia"/>
          <w:b/>
          <w:bCs/>
          <w:sz w:val="28"/>
          <w:szCs w:val="28"/>
          <w:lang w:eastAsia="zh-CN"/>
        </w:rPr>
        <w:t>：</w:t>
      </w:r>
    </w:p>
    <w:p>
      <w:pPr>
        <w:spacing w:line="560" w:lineRule="exact"/>
        <w:ind w:right="140" w:firstLine="140" w:firstLineChars="50"/>
        <w:jc w:val="left"/>
        <w:rPr>
          <w:rFonts w:ascii="黑体" w:hAnsi="黑体" w:eastAsia="黑体"/>
          <w:sz w:val="28"/>
          <w:szCs w:val="28"/>
        </w:rPr>
      </w:pPr>
      <w:r>
        <w:rPr>
          <w:rFonts w:hint="eastAsia" w:ascii="黑体" w:hAnsi="黑体" w:eastAsia="黑体"/>
          <w:sz w:val="28"/>
          <w:szCs w:val="28"/>
        </w:rPr>
        <w:t>一、基准地价内涵</w:t>
      </w:r>
    </w:p>
    <w:p>
      <w:pPr>
        <w:spacing w:line="560" w:lineRule="exact"/>
        <w:ind w:right="140" w:firstLine="560" w:firstLineChars="200"/>
        <w:jc w:val="left"/>
        <w:rPr>
          <w:rFonts w:ascii="黑体" w:hAnsi="黑体" w:eastAsia="黑体"/>
          <w:sz w:val="28"/>
          <w:szCs w:val="28"/>
        </w:rPr>
      </w:pPr>
      <w:r>
        <w:rPr>
          <w:rFonts w:hint="eastAsia" w:ascii="黑体" w:hAnsi="黑体" w:eastAsia="黑体"/>
          <w:sz w:val="28"/>
          <w:szCs w:val="28"/>
        </w:rPr>
        <w:t>（一）城区</w:t>
      </w:r>
    </w:p>
    <w:p>
      <w:pPr>
        <w:spacing w:line="560" w:lineRule="exact"/>
        <w:ind w:right="140" w:firstLine="150" w:firstLineChars="50"/>
        <w:jc w:val="left"/>
        <w:rPr>
          <w:rFonts w:hint="eastAsia" w:asciiTheme="minorEastAsia" w:hAnsiTheme="minorEastAsia"/>
          <w:sz w:val="30"/>
          <w:szCs w:val="30"/>
        </w:rPr>
      </w:pPr>
      <w:r>
        <w:rPr>
          <w:rFonts w:hint="eastAsia" w:asciiTheme="minorEastAsia" w:hAnsiTheme="minorEastAsia"/>
          <w:sz w:val="30"/>
          <w:szCs w:val="30"/>
        </w:rPr>
        <w:t>土地开发程度为“七通一平”（通路、通电、通讯、通上水、通下水、通暖、通气和场地平整），商服用地、住宅用地和公共管理与公用服务用地容积率为1.2，工矿仓储用地容积率为1.0，各用途法定最高出让年期（商业40年、住宅70年、工矿仓储50年、公共管理与公用服务用地50年），评估基准日在2022年12月31日，公开市场价格条件下的完整土地使用权在各级别内的平均价格。</w:t>
      </w:r>
    </w:p>
    <w:p>
      <w:pPr>
        <w:spacing w:line="560" w:lineRule="exact"/>
        <w:ind w:right="140" w:firstLine="560" w:firstLineChars="200"/>
        <w:jc w:val="left"/>
        <w:rPr>
          <w:rFonts w:hint="eastAsia" w:ascii="黑体" w:hAnsi="黑体" w:eastAsia="黑体"/>
          <w:sz w:val="28"/>
          <w:szCs w:val="28"/>
          <w:lang w:eastAsia="zh-CN"/>
        </w:rPr>
      </w:pPr>
      <w:r>
        <w:rPr>
          <w:rFonts w:hint="eastAsia" w:ascii="黑体" w:hAnsi="黑体" w:eastAsia="黑体"/>
          <w:sz w:val="28"/>
          <w:szCs w:val="28"/>
        </w:rPr>
        <w:t>（二）</w:t>
      </w:r>
      <w:r>
        <w:rPr>
          <w:rFonts w:hint="eastAsia" w:ascii="黑体" w:hAnsi="黑体" w:eastAsia="黑体"/>
          <w:sz w:val="28"/>
          <w:szCs w:val="28"/>
          <w:lang w:eastAsia="zh-CN"/>
        </w:rPr>
        <w:t>区域</w:t>
      </w:r>
    </w:p>
    <w:p>
      <w:pPr>
        <w:spacing w:line="560" w:lineRule="exact"/>
        <w:ind w:firstLine="600" w:firstLineChars="200"/>
        <w:jc w:val="left"/>
        <w:rPr>
          <w:rFonts w:asciiTheme="minorEastAsia" w:hAnsiTheme="minorEastAsia"/>
          <w:sz w:val="30"/>
          <w:szCs w:val="30"/>
        </w:rPr>
      </w:pPr>
      <w:r>
        <w:rPr>
          <w:rFonts w:hint="eastAsia" w:asciiTheme="minorEastAsia" w:hAnsiTheme="minorEastAsia"/>
          <w:sz w:val="30"/>
          <w:szCs w:val="30"/>
        </w:rPr>
        <w:t>1.霍尔果斯经济开发区伊宁园区、巴彦岱城西市场及道北地区、苏拉宫工业园区和新天煤化工园区</w:t>
      </w:r>
    </w:p>
    <w:p>
      <w:pPr>
        <w:spacing w:line="560" w:lineRule="exact"/>
        <w:ind w:firstLine="600" w:firstLineChars="200"/>
        <w:jc w:val="left"/>
        <w:rPr>
          <w:rFonts w:asciiTheme="minorEastAsia" w:hAnsiTheme="minorEastAsia"/>
          <w:sz w:val="30"/>
          <w:szCs w:val="30"/>
        </w:rPr>
      </w:pPr>
      <w:r>
        <w:rPr>
          <w:rFonts w:hint="eastAsia" w:asciiTheme="minorEastAsia" w:hAnsiTheme="minorEastAsia"/>
          <w:sz w:val="30"/>
          <w:szCs w:val="30"/>
        </w:rPr>
        <w:t>区域平均地价是指土地开发程度为“五通一平”（通路、通电、通讯、通上水、通下水和场地内自然地势平坦），容积率为1.0，各用途法定最高出让年期（商服用地40年、住宅用地70年、工矿仓储用地50年、公共管理与公共服务用地50年），评估基准日在2022年12月31日，公开市场价格条件下的完整土地使用权国有建设用地的区域平均价格。</w:t>
      </w:r>
    </w:p>
    <w:p>
      <w:pPr>
        <w:spacing w:line="560" w:lineRule="exact"/>
        <w:ind w:firstLine="600" w:firstLineChars="200"/>
        <w:jc w:val="left"/>
        <w:rPr>
          <w:rFonts w:asciiTheme="minorEastAsia" w:hAnsiTheme="minorEastAsia"/>
          <w:sz w:val="30"/>
          <w:szCs w:val="30"/>
        </w:rPr>
      </w:pPr>
      <w:r>
        <w:rPr>
          <w:rFonts w:hint="eastAsia" w:asciiTheme="minorEastAsia" w:hAnsiTheme="minorEastAsia"/>
          <w:sz w:val="30"/>
          <w:szCs w:val="30"/>
        </w:rPr>
        <w:t>2.南岸新区</w:t>
      </w:r>
    </w:p>
    <w:p>
      <w:pPr>
        <w:spacing w:line="560" w:lineRule="exact"/>
        <w:ind w:firstLine="600" w:firstLineChars="200"/>
        <w:jc w:val="left"/>
        <w:rPr>
          <w:rFonts w:asciiTheme="minorEastAsia" w:hAnsiTheme="minorEastAsia"/>
          <w:sz w:val="30"/>
          <w:szCs w:val="30"/>
        </w:rPr>
      </w:pPr>
      <w:r>
        <w:rPr>
          <w:rFonts w:hint="eastAsia" w:asciiTheme="minorEastAsia" w:hAnsiTheme="minorEastAsia"/>
          <w:sz w:val="30"/>
          <w:szCs w:val="30"/>
        </w:rPr>
        <w:t>区域平均地价是指土地开发程度为“六通一平”（通路、通电、通讯、通上水、通下水、通暖和场地内自然地势平坦），容积率为1.0，各用途法定最高出让年期（商服用地40年、住宅用地70年、工矿仓储用地50年、公共管理与公共服务用地50年），评估基准日在2022年12月31日，公开市场价格条件下的完整土地使用权国有建设用地的区域平均价格。</w:t>
      </w:r>
    </w:p>
    <w:p>
      <w:pPr>
        <w:spacing w:line="560" w:lineRule="exact"/>
        <w:ind w:right="140" w:firstLine="140" w:firstLineChars="50"/>
        <w:jc w:val="left"/>
        <w:rPr>
          <w:rFonts w:ascii="黑体" w:hAnsi="黑体" w:eastAsia="黑体"/>
          <w:sz w:val="28"/>
          <w:szCs w:val="28"/>
        </w:rPr>
      </w:pPr>
      <w:r>
        <w:rPr>
          <w:rFonts w:hint="eastAsia" w:ascii="黑体" w:hAnsi="黑体" w:eastAsia="黑体"/>
          <w:sz w:val="28"/>
          <w:szCs w:val="28"/>
        </w:rPr>
        <w:t>二、基准地价表</w:t>
      </w:r>
    </w:p>
    <w:p>
      <w:pPr>
        <w:adjustRightInd w:val="0"/>
        <w:snapToGrid w:val="0"/>
        <w:spacing w:line="560" w:lineRule="exact"/>
        <w:jc w:val="center"/>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lang w:eastAsia="zh-CN"/>
        </w:rPr>
        <w:t>伊宁市</w:t>
      </w:r>
      <w:r>
        <w:rPr>
          <w:rFonts w:hint="eastAsia" w:ascii="仿宋_GB2312" w:hAnsi="Times New Roman" w:eastAsia="仿宋_GB2312" w:cs="Times New Roman"/>
          <w:b/>
          <w:bCs/>
          <w:sz w:val="28"/>
          <w:szCs w:val="28"/>
        </w:rPr>
        <w:t>城区基准地价更新结果表</w:t>
      </w:r>
    </w:p>
    <w:tbl>
      <w:tblPr>
        <w:tblStyle w:val="4"/>
        <w:tblW w:w="4997" w:type="pct"/>
        <w:jc w:val="center"/>
        <w:tblLayout w:type="autofit"/>
        <w:tblCellMar>
          <w:top w:w="0" w:type="dxa"/>
          <w:left w:w="108" w:type="dxa"/>
          <w:bottom w:w="0" w:type="dxa"/>
          <w:right w:w="108" w:type="dxa"/>
        </w:tblCellMar>
      </w:tblPr>
      <w:tblGrid>
        <w:gridCol w:w="1595"/>
        <w:gridCol w:w="1296"/>
        <w:gridCol w:w="1126"/>
        <w:gridCol w:w="1126"/>
        <w:gridCol w:w="1126"/>
        <w:gridCol w:w="1127"/>
        <w:gridCol w:w="1127"/>
      </w:tblGrid>
      <w:tr>
        <w:tblPrEx>
          <w:tblCellMar>
            <w:top w:w="0" w:type="dxa"/>
            <w:left w:w="108" w:type="dxa"/>
            <w:bottom w:w="0" w:type="dxa"/>
            <w:right w:w="108" w:type="dxa"/>
          </w:tblCellMar>
        </w:tblPrEx>
        <w:trPr>
          <w:trHeight w:val="270" w:hRule="atLeast"/>
          <w:jc w:val="center"/>
        </w:trPr>
        <w:tc>
          <w:tcPr>
            <w:tcW w:w="9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用  途</w:t>
            </w:r>
          </w:p>
        </w:tc>
        <w:tc>
          <w:tcPr>
            <w:tcW w:w="73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 位</w:t>
            </w:r>
          </w:p>
        </w:tc>
        <w:tc>
          <w:tcPr>
            <w:tcW w:w="6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一 级</w:t>
            </w:r>
          </w:p>
        </w:tc>
        <w:tc>
          <w:tcPr>
            <w:tcW w:w="6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二 级</w:t>
            </w:r>
          </w:p>
        </w:tc>
        <w:tc>
          <w:tcPr>
            <w:tcW w:w="6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三 级</w:t>
            </w:r>
          </w:p>
        </w:tc>
        <w:tc>
          <w:tcPr>
            <w:tcW w:w="6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四 级</w:t>
            </w:r>
          </w:p>
        </w:tc>
        <w:tc>
          <w:tcPr>
            <w:tcW w:w="6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五 级</w:t>
            </w:r>
          </w:p>
        </w:tc>
      </w:tr>
      <w:tr>
        <w:tblPrEx>
          <w:tblCellMar>
            <w:top w:w="0" w:type="dxa"/>
            <w:left w:w="108" w:type="dxa"/>
            <w:bottom w:w="0" w:type="dxa"/>
            <w:right w:w="108" w:type="dxa"/>
          </w:tblCellMar>
        </w:tblPrEx>
        <w:trPr>
          <w:trHeight w:val="270" w:hRule="atLeast"/>
          <w:jc w:val="center"/>
        </w:trPr>
        <w:tc>
          <w:tcPr>
            <w:tcW w:w="939"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商服用地</w:t>
            </w:r>
          </w:p>
        </w:tc>
        <w:tc>
          <w:tcPr>
            <w:tcW w:w="73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元/平方米</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1745</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1357</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1134</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855</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604</w:t>
            </w:r>
          </w:p>
        </w:tc>
      </w:tr>
      <w:tr>
        <w:tblPrEx>
          <w:tblCellMar>
            <w:top w:w="0" w:type="dxa"/>
            <w:left w:w="108" w:type="dxa"/>
            <w:bottom w:w="0" w:type="dxa"/>
            <w:right w:w="108" w:type="dxa"/>
          </w:tblCellMar>
        </w:tblPrEx>
        <w:trPr>
          <w:trHeight w:val="270" w:hRule="atLeast"/>
          <w:jc w:val="center"/>
        </w:trPr>
        <w:tc>
          <w:tcPr>
            <w:tcW w:w="93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60" w:lineRule="exact"/>
              <w:jc w:val="left"/>
              <w:rPr>
                <w:rFonts w:ascii="仿宋_GB2312" w:hAnsi="宋体" w:eastAsia="仿宋_GB2312" w:cs="宋体"/>
                <w:color w:val="000000"/>
                <w:kern w:val="0"/>
                <w:sz w:val="24"/>
              </w:rPr>
            </w:pPr>
          </w:p>
        </w:tc>
        <w:tc>
          <w:tcPr>
            <w:tcW w:w="73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万元/亩</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116.33</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90.47</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75.6</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57</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40.27</w:t>
            </w:r>
          </w:p>
        </w:tc>
      </w:tr>
      <w:tr>
        <w:tblPrEx>
          <w:tblCellMar>
            <w:top w:w="0" w:type="dxa"/>
            <w:left w:w="108" w:type="dxa"/>
            <w:bottom w:w="0" w:type="dxa"/>
            <w:right w:w="108" w:type="dxa"/>
          </w:tblCellMar>
        </w:tblPrEx>
        <w:trPr>
          <w:trHeight w:val="270" w:hRule="atLeast"/>
          <w:jc w:val="center"/>
        </w:trPr>
        <w:tc>
          <w:tcPr>
            <w:tcW w:w="939"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住宅用地</w:t>
            </w:r>
          </w:p>
        </w:tc>
        <w:tc>
          <w:tcPr>
            <w:tcW w:w="73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元/平方米</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1162</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992</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779</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644</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443</w:t>
            </w:r>
          </w:p>
        </w:tc>
      </w:tr>
      <w:tr>
        <w:tblPrEx>
          <w:tblCellMar>
            <w:top w:w="0" w:type="dxa"/>
            <w:left w:w="108" w:type="dxa"/>
            <w:bottom w:w="0" w:type="dxa"/>
            <w:right w:w="108" w:type="dxa"/>
          </w:tblCellMar>
        </w:tblPrEx>
        <w:trPr>
          <w:trHeight w:val="270" w:hRule="atLeast"/>
          <w:jc w:val="center"/>
        </w:trPr>
        <w:tc>
          <w:tcPr>
            <w:tcW w:w="93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60" w:lineRule="exact"/>
              <w:jc w:val="left"/>
              <w:rPr>
                <w:rFonts w:ascii="仿宋_GB2312" w:hAnsi="宋体" w:eastAsia="仿宋_GB2312" w:cs="宋体"/>
                <w:color w:val="000000"/>
                <w:kern w:val="0"/>
                <w:sz w:val="24"/>
              </w:rPr>
            </w:pPr>
          </w:p>
        </w:tc>
        <w:tc>
          <w:tcPr>
            <w:tcW w:w="73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万元/亩</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77.47</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66.13</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51.93</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42.93</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29.53</w:t>
            </w:r>
          </w:p>
        </w:tc>
      </w:tr>
      <w:tr>
        <w:tblPrEx>
          <w:tblCellMar>
            <w:top w:w="0" w:type="dxa"/>
            <w:left w:w="108" w:type="dxa"/>
            <w:bottom w:w="0" w:type="dxa"/>
            <w:right w:w="108" w:type="dxa"/>
          </w:tblCellMar>
        </w:tblPrEx>
        <w:trPr>
          <w:trHeight w:val="270" w:hRule="atLeast"/>
          <w:jc w:val="center"/>
        </w:trPr>
        <w:tc>
          <w:tcPr>
            <w:tcW w:w="939"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工矿仓储用地</w:t>
            </w:r>
          </w:p>
        </w:tc>
        <w:tc>
          <w:tcPr>
            <w:tcW w:w="73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元/平方米</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580</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425</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310</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225</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148</w:t>
            </w:r>
          </w:p>
        </w:tc>
      </w:tr>
      <w:tr>
        <w:tblPrEx>
          <w:tblCellMar>
            <w:top w:w="0" w:type="dxa"/>
            <w:left w:w="108" w:type="dxa"/>
            <w:bottom w:w="0" w:type="dxa"/>
            <w:right w:w="108" w:type="dxa"/>
          </w:tblCellMar>
        </w:tblPrEx>
        <w:trPr>
          <w:trHeight w:val="270" w:hRule="atLeast"/>
          <w:jc w:val="center"/>
        </w:trPr>
        <w:tc>
          <w:tcPr>
            <w:tcW w:w="93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60" w:lineRule="exact"/>
              <w:jc w:val="left"/>
              <w:rPr>
                <w:rFonts w:ascii="仿宋_GB2312" w:hAnsi="宋体" w:eastAsia="仿宋_GB2312" w:cs="宋体"/>
                <w:color w:val="000000"/>
                <w:kern w:val="0"/>
                <w:sz w:val="24"/>
              </w:rPr>
            </w:pPr>
          </w:p>
        </w:tc>
        <w:tc>
          <w:tcPr>
            <w:tcW w:w="73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万元/亩</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38.67</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28.33</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20.67</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15</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9.87</w:t>
            </w:r>
          </w:p>
        </w:tc>
      </w:tr>
      <w:tr>
        <w:tblPrEx>
          <w:tblCellMar>
            <w:top w:w="0" w:type="dxa"/>
            <w:left w:w="108" w:type="dxa"/>
            <w:bottom w:w="0" w:type="dxa"/>
            <w:right w:w="108" w:type="dxa"/>
          </w:tblCellMar>
        </w:tblPrEx>
        <w:trPr>
          <w:trHeight w:val="435" w:hRule="atLeast"/>
          <w:jc w:val="center"/>
        </w:trPr>
        <w:tc>
          <w:tcPr>
            <w:tcW w:w="939" w:type="pct"/>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公共管理与公共服务用地</w:t>
            </w:r>
          </w:p>
        </w:tc>
        <w:tc>
          <w:tcPr>
            <w:tcW w:w="73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元/平方米</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638</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468</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383</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317</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185</w:t>
            </w:r>
          </w:p>
        </w:tc>
      </w:tr>
      <w:tr>
        <w:tblPrEx>
          <w:tblCellMar>
            <w:top w:w="0" w:type="dxa"/>
            <w:left w:w="108" w:type="dxa"/>
            <w:bottom w:w="0" w:type="dxa"/>
            <w:right w:w="108" w:type="dxa"/>
          </w:tblCellMar>
        </w:tblPrEx>
        <w:trPr>
          <w:trHeight w:val="270" w:hRule="atLeast"/>
          <w:jc w:val="center"/>
        </w:trPr>
        <w:tc>
          <w:tcPr>
            <w:tcW w:w="939"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560" w:lineRule="exact"/>
              <w:jc w:val="left"/>
              <w:rPr>
                <w:rFonts w:ascii="仿宋_GB2312" w:hAnsi="宋体" w:eastAsia="仿宋_GB2312" w:cs="宋体"/>
                <w:color w:val="000000"/>
                <w:kern w:val="0"/>
                <w:sz w:val="24"/>
              </w:rPr>
            </w:pPr>
          </w:p>
        </w:tc>
        <w:tc>
          <w:tcPr>
            <w:tcW w:w="73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万元/亩</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42.53</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31.2</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25.53</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21.13</w:t>
            </w:r>
          </w:p>
        </w:tc>
        <w:tc>
          <w:tcPr>
            <w:tcW w:w="6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宋体" w:eastAsia="仿宋_GB2312" w:cs="宋体"/>
                <w:color w:val="000000"/>
                <w:kern w:val="0"/>
                <w:sz w:val="24"/>
              </w:rPr>
            </w:pPr>
            <w:r>
              <w:rPr>
                <w:rFonts w:hint="default" w:ascii="仿宋_GB2312" w:hAnsi="宋体" w:eastAsia="仿宋_GB2312" w:cs="宋体"/>
                <w:kern w:val="0"/>
                <w:sz w:val="24"/>
                <w:lang w:val="en-US" w:eastAsia="zh-CN"/>
              </w:rPr>
              <w:t>12.33</w:t>
            </w:r>
          </w:p>
        </w:tc>
      </w:tr>
    </w:tbl>
    <w:p>
      <w:pPr>
        <w:adjustRightInd w:val="0"/>
        <w:snapToGrid w:val="0"/>
        <w:jc w:val="center"/>
        <w:rPr>
          <w:rFonts w:hint="eastAsia" w:ascii="仿宋_GB2312" w:hAnsi="Times New Roman" w:eastAsia="仿宋_GB2312" w:cs="Times New Roman"/>
          <w:b/>
          <w:bCs/>
          <w:sz w:val="30"/>
          <w:szCs w:val="30"/>
          <w:lang w:eastAsia="zh-CN"/>
        </w:rPr>
      </w:pPr>
    </w:p>
    <w:p>
      <w:pPr>
        <w:adjustRightInd w:val="0"/>
        <w:snapToGrid w:val="0"/>
        <w:jc w:val="center"/>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lang w:eastAsia="zh-CN"/>
        </w:rPr>
        <w:t>伊宁市</w:t>
      </w:r>
      <w:r>
        <w:rPr>
          <w:rFonts w:hint="eastAsia" w:ascii="仿宋_GB2312" w:hAnsi="Times New Roman" w:eastAsia="仿宋_GB2312" w:cs="Times New Roman"/>
          <w:b/>
          <w:bCs/>
          <w:sz w:val="30"/>
          <w:szCs w:val="30"/>
        </w:rPr>
        <w:t>城区工业用地细分用途基准地价一览表</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6"/>
        <w:gridCol w:w="1216"/>
        <w:gridCol w:w="1216"/>
        <w:gridCol w:w="1218"/>
        <w:gridCol w:w="1220"/>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3" w:type="pct"/>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用途</w:t>
            </w:r>
          </w:p>
        </w:tc>
        <w:tc>
          <w:tcPr>
            <w:tcW w:w="713" w:type="pct"/>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单位</w:t>
            </w:r>
          </w:p>
        </w:tc>
        <w:tc>
          <w:tcPr>
            <w:tcW w:w="713" w:type="pct"/>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一级</w:t>
            </w:r>
          </w:p>
        </w:tc>
        <w:tc>
          <w:tcPr>
            <w:tcW w:w="713" w:type="pct"/>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二级</w:t>
            </w:r>
          </w:p>
        </w:tc>
        <w:tc>
          <w:tcPr>
            <w:tcW w:w="714" w:type="pct"/>
            <w:vAlign w:val="center"/>
          </w:tcPr>
          <w:p>
            <w:pPr>
              <w:widowControl/>
              <w:adjustRightInd w:val="0"/>
              <w:snapToGrid w:val="0"/>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三级</w:t>
            </w:r>
          </w:p>
        </w:tc>
        <w:tc>
          <w:tcPr>
            <w:tcW w:w="715" w:type="pct"/>
            <w:vAlign w:val="center"/>
          </w:tcPr>
          <w:p>
            <w:pPr>
              <w:widowControl/>
              <w:adjustRightInd w:val="0"/>
              <w:snapToGrid w:val="0"/>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四级</w:t>
            </w:r>
          </w:p>
        </w:tc>
        <w:tc>
          <w:tcPr>
            <w:tcW w:w="716" w:type="pct"/>
            <w:vAlign w:val="center"/>
          </w:tcPr>
          <w:p>
            <w:pPr>
              <w:widowControl/>
              <w:adjustRightInd w:val="0"/>
              <w:snapToGrid w:val="0"/>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3" w:type="pct"/>
            <w:vMerge w:val="restar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工业用地</w:t>
            </w:r>
          </w:p>
        </w:tc>
        <w:tc>
          <w:tcPr>
            <w:tcW w:w="713" w:type="pct"/>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元/平方米</w:t>
            </w:r>
          </w:p>
        </w:tc>
        <w:tc>
          <w:tcPr>
            <w:tcW w:w="713"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580</w:t>
            </w:r>
          </w:p>
        </w:tc>
        <w:tc>
          <w:tcPr>
            <w:tcW w:w="713"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425</w:t>
            </w:r>
          </w:p>
        </w:tc>
        <w:tc>
          <w:tcPr>
            <w:tcW w:w="714"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310</w:t>
            </w:r>
          </w:p>
        </w:tc>
        <w:tc>
          <w:tcPr>
            <w:tcW w:w="715"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225</w:t>
            </w:r>
          </w:p>
        </w:tc>
        <w:tc>
          <w:tcPr>
            <w:tcW w:w="716"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3" w:type="pct"/>
            <w:vMerge w:val="continue"/>
            <w:vAlign w:val="center"/>
          </w:tcPr>
          <w:p>
            <w:pPr>
              <w:widowControl/>
              <w:adjustRightInd w:val="0"/>
              <w:snapToGrid w:val="0"/>
              <w:jc w:val="center"/>
              <w:rPr>
                <w:rFonts w:hint="eastAsia" w:ascii="仿宋_GB2312" w:hAnsi="宋体" w:eastAsia="仿宋_GB2312" w:cs="宋体"/>
                <w:kern w:val="0"/>
                <w:sz w:val="24"/>
              </w:rPr>
            </w:pPr>
          </w:p>
        </w:tc>
        <w:tc>
          <w:tcPr>
            <w:tcW w:w="713" w:type="pct"/>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万元/亩</w:t>
            </w:r>
          </w:p>
        </w:tc>
        <w:tc>
          <w:tcPr>
            <w:tcW w:w="713"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38.67</w:t>
            </w:r>
          </w:p>
        </w:tc>
        <w:tc>
          <w:tcPr>
            <w:tcW w:w="713"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28.33</w:t>
            </w:r>
          </w:p>
        </w:tc>
        <w:tc>
          <w:tcPr>
            <w:tcW w:w="714"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20.67</w:t>
            </w:r>
          </w:p>
        </w:tc>
        <w:tc>
          <w:tcPr>
            <w:tcW w:w="715"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15</w:t>
            </w:r>
          </w:p>
        </w:tc>
        <w:tc>
          <w:tcPr>
            <w:tcW w:w="716"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3" w:type="pct"/>
            <w:vMerge w:val="restar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仓储用地</w:t>
            </w:r>
          </w:p>
        </w:tc>
        <w:tc>
          <w:tcPr>
            <w:tcW w:w="713" w:type="pct"/>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元/平方米</w:t>
            </w:r>
          </w:p>
        </w:tc>
        <w:tc>
          <w:tcPr>
            <w:tcW w:w="713"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621</w:t>
            </w:r>
          </w:p>
        </w:tc>
        <w:tc>
          <w:tcPr>
            <w:tcW w:w="713"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455</w:t>
            </w:r>
          </w:p>
        </w:tc>
        <w:tc>
          <w:tcPr>
            <w:tcW w:w="714"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380</w:t>
            </w:r>
          </w:p>
        </w:tc>
        <w:tc>
          <w:tcPr>
            <w:tcW w:w="715"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315</w:t>
            </w:r>
          </w:p>
        </w:tc>
        <w:tc>
          <w:tcPr>
            <w:tcW w:w="716"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13" w:type="pct"/>
            <w:vMerge w:val="continue"/>
            <w:vAlign w:val="center"/>
          </w:tcPr>
          <w:p>
            <w:pPr>
              <w:widowControl/>
              <w:adjustRightInd w:val="0"/>
              <w:snapToGrid w:val="0"/>
              <w:jc w:val="center"/>
              <w:rPr>
                <w:rFonts w:ascii="仿宋_GB2312" w:hAnsi="宋体" w:eastAsia="仿宋_GB2312" w:cs="宋体"/>
                <w:kern w:val="0"/>
                <w:sz w:val="24"/>
              </w:rPr>
            </w:pPr>
          </w:p>
        </w:tc>
        <w:tc>
          <w:tcPr>
            <w:tcW w:w="713" w:type="pct"/>
            <w:vAlign w:val="center"/>
          </w:tcPr>
          <w:p>
            <w:pPr>
              <w:widowControl/>
              <w:adjustRightInd w:val="0"/>
              <w:snapToGrid w:val="0"/>
              <w:jc w:val="center"/>
              <w:rPr>
                <w:rFonts w:ascii="仿宋_GB2312" w:hAnsi="宋体" w:eastAsia="仿宋_GB2312" w:cs="宋体"/>
                <w:kern w:val="0"/>
                <w:sz w:val="24"/>
              </w:rPr>
            </w:pPr>
            <w:r>
              <w:rPr>
                <w:rFonts w:hint="eastAsia" w:ascii="仿宋_GB2312" w:hAnsi="宋体" w:eastAsia="仿宋_GB2312" w:cs="宋体"/>
                <w:kern w:val="0"/>
                <w:sz w:val="24"/>
              </w:rPr>
              <w:t>万元/亩</w:t>
            </w:r>
          </w:p>
        </w:tc>
        <w:tc>
          <w:tcPr>
            <w:tcW w:w="713"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41.4</w:t>
            </w:r>
          </w:p>
        </w:tc>
        <w:tc>
          <w:tcPr>
            <w:tcW w:w="713"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30.33</w:t>
            </w:r>
          </w:p>
        </w:tc>
        <w:tc>
          <w:tcPr>
            <w:tcW w:w="714"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25.33</w:t>
            </w:r>
          </w:p>
        </w:tc>
        <w:tc>
          <w:tcPr>
            <w:tcW w:w="715"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21</w:t>
            </w:r>
          </w:p>
        </w:tc>
        <w:tc>
          <w:tcPr>
            <w:tcW w:w="716" w:type="pct"/>
            <w:vAlign w:val="center"/>
          </w:tcPr>
          <w:p>
            <w:pPr>
              <w:widowControl/>
              <w:adjustRightInd w:val="0"/>
              <w:snapToGrid w:val="0"/>
              <w:jc w:val="center"/>
              <w:rPr>
                <w:rFonts w:hint="eastAsia" w:ascii="仿宋_GB2312" w:hAnsi="宋体" w:eastAsia="仿宋_GB2312" w:cs="宋体"/>
                <w:kern w:val="0"/>
                <w:sz w:val="24"/>
              </w:rPr>
            </w:pPr>
            <w:r>
              <w:rPr>
                <w:rFonts w:hint="eastAsia" w:ascii="仿宋_GB2312" w:hAnsi="宋体" w:eastAsia="仿宋_GB2312" w:cs="宋体"/>
                <w:kern w:val="0"/>
                <w:sz w:val="24"/>
              </w:rPr>
              <w:t>11.93</w:t>
            </w:r>
          </w:p>
        </w:tc>
      </w:tr>
    </w:tbl>
    <w:p>
      <w:pPr>
        <w:pStyle w:val="6"/>
        <w:spacing w:line="560" w:lineRule="exact"/>
        <w:ind w:firstLine="420"/>
        <w:jc w:val="center"/>
        <w:sectPr>
          <w:pgSz w:w="11906" w:h="16838"/>
          <w:pgMar w:top="1440" w:right="1797" w:bottom="1440" w:left="1797" w:header="851" w:footer="992" w:gutter="0"/>
          <w:cols w:space="425" w:num="1"/>
          <w:docGrid w:type="linesAndChars" w:linePitch="312" w:charSpace="0"/>
        </w:sectPr>
      </w:pPr>
    </w:p>
    <w:p>
      <w:pPr>
        <w:pStyle w:val="6"/>
        <w:ind w:firstLine="0" w:firstLineChars="0"/>
        <w:jc w:val="center"/>
        <w:rPr>
          <w:rFonts w:ascii="仿宋_GB2312" w:eastAsia="仿宋_GB2312" w:cs="Times New Roman"/>
          <w:b/>
          <w:bCs/>
          <w:sz w:val="30"/>
          <w:szCs w:val="30"/>
        </w:rPr>
      </w:pPr>
      <w:r>
        <w:rPr>
          <w:rFonts w:hint="eastAsia" w:ascii="仿宋_GB2312" w:eastAsia="仿宋_GB2312" w:cs="Times New Roman"/>
          <w:b/>
          <w:bCs/>
          <w:sz w:val="30"/>
          <w:szCs w:val="30"/>
          <w:lang w:eastAsia="zh-CN"/>
        </w:rPr>
        <w:t>区域平均</w:t>
      </w:r>
      <w:r>
        <w:rPr>
          <w:rFonts w:hint="eastAsia" w:ascii="仿宋_GB2312" w:eastAsia="仿宋_GB2312" w:cs="Times New Roman"/>
          <w:b/>
          <w:bCs/>
          <w:sz w:val="30"/>
          <w:szCs w:val="30"/>
        </w:rPr>
        <w:t>地价结果表</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8"/>
        <w:gridCol w:w="429"/>
        <w:gridCol w:w="572"/>
        <w:gridCol w:w="430"/>
        <w:gridCol w:w="573"/>
        <w:gridCol w:w="430"/>
        <w:gridCol w:w="573"/>
        <w:gridCol w:w="430"/>
        <w:gridCol w:w="573"/>
        <w:gridCol w:w="430"/>
        <w:gridCol w:w="573"/>
        <w:gridCol w:w="430"/>
        <w:gridCol w:w="573"/>
        <w:gridCol w:w="501"/>
        <w:gridCol w:w="573"/>
        <w:gridCol w:w="501"/>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区域用途</w:t>
            </w:r>
          </w:p>
        </w:tc>
        <w:tc>
          <w:tcPr>
            <w:tcW w:w="11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伊宁园区</w:t>
            </w:r>
          </w:p>
        </w:tc>
        <w:tc>
          <w:tcPr>
            <w:tcW w:w="11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巴彦岱城西市场及道北地区</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苏拉宫工业园区</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新天煤化工园区</w:t>
            </w:r>
          </w:p>
        </w:tc>
        <w:tc>
          <w:tcPr>
            <w:tcW w:w="11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南岸新区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区域一</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区域二</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区域一</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区域二</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区域一</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区域一</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区域一</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区域二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元/平方米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万元/亩</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元/平方米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万元/亩</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元/平方米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万元/亩</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元/平方米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万元/亩</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元/平方米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万元/亩</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元/平方米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万元/亩</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元/平方米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万元/亩</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元/平方米</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万元/亩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商服用地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606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40.4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462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542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36.13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445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29.67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377</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25.13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377</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25.13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1336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89.07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1095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住宅用地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490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32.67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21.07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390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980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65.33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755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工业用地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9.87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13.33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9.87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9.87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9.87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14.73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物流仓储用地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179</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11.93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14.53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179</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11.93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179</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11.93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179</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11.93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179</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公共管理与公共服务用地</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296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19.73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16.93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454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30.27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353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23.53</w:t>
            </w:r>
          </w:p>
        </w:tc>
      </w:tr>
    </w:tbl>
    <w:p>
      <w:pPr>
        <w:pStyle w:val="6"/>
        <w:ind w:firstLine="0" w:firstLineChars="0"/>
        <w:rPr>
          <w:rFonts w:ascii="仿宋_GB2312" w:eastAsia="仿宋_GB2312"/>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D3BCF"/>
    <w:rsid w:val="1DAD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after="120"/>
    </w:pPr>
  </w:style>
  <w:style w:type="paragraph" w:customStyle="1" w:styleId="6">
    <w:name w:val="4正文"/>
    <w:basedOn w:val="1"/>
    <w:qFormat/>
    <w:uiPriority w:val="0"/>
    <w:pPr>
      <w:spacing w:line="360" w:lineRule="auto"/>
      <w:ind w:firstLine="20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2023-09-14T09:12:00Z</dcterms:created>
  <dc:creator>Administrator</dc:creator>
  <cp:lastModifiedBy>Administrator</cp:lastModifiedBy>
  <dcterms:modified xsi:type="dcterms:W3CDTF">2023-09-14T09:13:17Z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