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伊宁</w:t>
      </w:r>
      <w:r>
        <w:rPr>
          <w:rFonts w:ascii="宋体" w:hAnsi="宋体" w:eastAsia="宋体" w:cs="宋体"/>
          <w:b/>
          <w:bCs/>
          <w:sz w:val="44"/>
          <w:szCs w:val="44"/>
        </w:rPr>
        <w:t>市交通运输局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2026年</w:t>
      </w:r>
      <w:r>
        <w:rPr>
          <w:rFonts w:ascii="宋体" w:hAnsi="宋体" w:eastAsia="宋体" w:cs="宋体"/>
          <w:b/>
          <w:bCs/>
          <w:sz w:val="44"/>
          <w:szCs w:val="44"/>
        </w:rPr>
        <w:t>涉企行政检查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 xml:space="preserve">标准 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tbl>
      <w:tblPr>
        <w:tblStyle w:val="2"/>
        <w:tblW w:w="126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7"/>
        <w:gridCol w:w="2367"/>
        <w:gridCol w:w="4364"/>
        <w:gridCol w:w="3798"/>
        <w:gridCol w:w="15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序号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检查事项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检查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内容和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依据</w:t>
            </w:r>
          </w:p>
        </w:tc>
        <w:tc>
          <w:tcPr>
            <w:tcW w:w="3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检查标准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对在役地方高速公路养护监督检查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《中华人民共和国公路法》第八条、第六十九条；《公路安全保护条例》第三条、第四十七条</w:t>
            </w:r>
          </w:p>
        </w:tc>
        <w:tc>
          <w:tcPr>
            <w:tcW w:w="37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一、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检查坚持的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基本原则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坚持法定性、公平公正、比例原则和公开透明。检查事项严格限定法律授权范围，杜绝随意检查；平等对待各类市场主体；根据企业风险等级实施差异化监管；检查依据、程序及结果依法向社会公开。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二、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检查要求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程序规范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计划先行：年度检查计划报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政府备案，推行"双随机一公开"模式（随机抽检对象、随机选派人员、结果公开），除应急检查外提前3日书面通知企业。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过程严谨：执法须2人以上并出示证件，全程佩戴执法记录仪，检查记录由企业签字确认。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结果处置：7日内反馈结果，需整改的明确时限，行政处罚严格履行告知、听证程序。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三、核心检查内容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聚焦安全生产、合规经营、生态环保三大领域：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>安全生产：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企业主体责任落实、车辆动态监控、驾驶员资质及安全培训；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>合规经营：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运输许可证有效性、车辆技术检测、运费结算备案；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>生态环保：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货运车辆排放达标、维修企业危废处置合规性。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四、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突出维护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企业权益保障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明确企业有权核验执法人员身份、对检查过程录音录像，享有陈述申辩、听证及法律救济权利。设立投诉渠道（执法监督科电话：0999-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8120420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），严禁执法人员无理由频繁检查、索要无关材料、擅自扣押资产或收受利益。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五、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检查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禁止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下列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行为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无正当理由重复检查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超范围索要材料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违规扣押证照车辆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接受企业利益输送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对交通运输工程造价监督检查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交通运输工程造价管理办法》第三条；《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公路工程造价监督管理办法》第五条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6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对公路建设工程安全质量监督检查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《中华人民共和国安全生产法》第六十二条；《建设工程质量管理条例》第四十七条；《公路建设监督管理办法》第二十一条、第二十二条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对公路建设市场主体的检查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《中华人民共和国安全生产法》第十条、第六十五条；《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招标投标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管理办法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》第四条；《建设工程质量管理条例》第四条；《建设工程安全生产管理条例》第四十条；《公路建设市场管理办法》第九条；《公路工程建设项目招标投标管理办法》第六十一条、第六十二条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对公路建设市场管理、建设程序执行、招标投标管理、信用管理、合同履约管理检查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招标投标法实施条例》第四条，《建设工程质量管理条例》第四条、第四十七条，《公路建设市场管理办法》第八条、第九条，《公路工程建设项目招标投标管理办法》第三条、第六十一条，《公路建设市场督查工作规则》第三条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交通运输行业安全生产监督检查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《中华人民共和国安全生产法》第十条、第六十五条；《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自治区安全生产条例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》第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4、5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条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对公路服务设施的检查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《中华人民共和国公路法》第六十九条；《公路安全保护条例》第三条；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4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对道路客运、货运（含危货运输）企业经营许可（备案）情况的检查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旅客运输及客运站管理规定》、《道路危险货物运输管理规定》、《道路旅客运输企业安全管理规范》、《汽车客运站安全生产规范》、《危险货物道路运输安全管理办法》、《道路货物运输及站场管理规定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对道路客运、货运（含危货运输）企业安全生产管理的检查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旅客运输及客运站管理规定》、《道路危险货物运输管理规定》、《道路旅客运输企业安全管理规范》《汽车客运站安全生产规范》《危险货物道路运输安全管理办法》、《道路货物运输及站场管理规定》、《危险化学品安全管理条例》、《道路运输企业和城市客运企业安全生产重大事故隐患判定标准（试行）》、《危险货物道路运输规则》、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自治区安全生产条例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对道路客运、货运（含危货运输）企业动态监控系统的检查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《中华人民共和国道路运输条例》、《道路运输车辆动态监督管理办法》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对汽车客运站安全生产管理的检查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《中华人民共和国道路运输条例》、《道路旅客运输及客运站管理规定》、《汽车客运站安全生产规范》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对危险货物运输企业停车场设置的检查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《中华人民共和国道路运输条例》、《道路危险货物运输管理规定》、《危险货物道路运输安全管理办法》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对道路客运、货运（含危货）车辆技术状况的检查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《中华人民共和国道路运输条例》、《道路运输车辆技术管理规定》、《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道路运输条例》、《道路运输危险货物车辆标志》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对道路客运、货运（含危货运输）从业人员资质情况的检查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《中华人民共和国道路运输条例》、《道路运输从业人员管理规定》、《道路运输企业主要负责人和安全生产管理人员安全考核管理办法》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对道路客运、货运（含危货运输）企业安全教育培训情况的检查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汽车客运站安全生产规范》、《危险货物道路运输安全管理办法》、《道路旅客运输及客运站管理规定》、《道路危险货物运输管理规定》、《道路货物运输及站场管理规定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机动车维修企业备案及安全生产管理情况检查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《中华人民共和国道路运输条例》、《机动车维修管理规定》、《汽车维修业经营业务条件》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小微型客车租赁企业备案及安全生产管理情况检查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《小微型客车租赁经营服务管理办法》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机动车驾驶员培训机构备案及安全生产管理情况检查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《中华人民共和国道路运输条例》、《机动车驾驶员培训管理规定》、《道路运输企业和城市客运企业安全生产重大事故隐患判定标准（试行）》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公交、出租、网约车企业经营许可情况的检查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《城市公共交通条例》、《城市公共汽车和电车客运管理规定》、《网络预约出租汽车经营服务管理暂行办法》、《巡游出租汽车经营服务管理规定》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6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公交、出租、网约车企业安全生产管理检查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城市公共交通条例》、《城市公共汽车和电车客运管理规定》、《网络预约出租汽车经营服务管理暂行办法》、《巡游出租汽车经营服务管理规定》、《出租汽车运营服务规范》、《道路运输企业和城市客运企业安全生产重大事故隐患判定标准（试行）》、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自治区安全生产条例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公交、出租、网约车从业人员资质情况的检查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《城市客运企业主要负责和安全生产管理人员安全考核管理办法》、《出租汽车驾驶员从业资格管理规定》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对水路运输经营者资质保持情况的检查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《国内水路运输管理条例》第四条、第十七条、第三十四条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23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对水路运输经营者是否超越经营范围从事经营活动的检查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《国内水路运输管理条例》第四条、第三十三条　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bookmarkStart w:id="0" w:name="OLE_LINK1" w:colFirst="0" w:colLast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24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对运输船舶的经营资格条件和相关证书有效性，是否与企业经营范围相适应的检查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《国内水路运输管理条例》第四条、第十三条、第十八条　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25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对水路运输企业、经营户经营情况的检查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《国内水路运输管理条例》第四条、第十二条、第四十二条　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26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对船舶运营安全管理情况的检查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《国内水路运输管理条例》第四条、第十八条、第三十八条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27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对客运船舶投保承运人责任保险情况的检查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《国内水路运输管理条例》第四条、第十九条、第三十九条　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28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对船舶污染防治情况的检查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《国内水路运输管理条例》第四条、第二十八条　</w:t>
            </w:r>
          </w:p>
        </w:tc>
        <w:tc>
          <w:tcPr>
            <w:tcW w:w="3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bookmarkEnd w:id="0"/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lYTE2YTZmOGZhZTcxOTFhYjg3MWQxNzViZDU5MjgifQ=="/>
  </w:docVars>
  <w:rsids>
    <w:rsidRoot w:val="5D8B61C9"/>
    <w:rsid w:val="54631FA3"/>
    <w:rsid w:val="5D8B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2762</Words>
  <Characters>2799</Characters>
  <Lines>0</Lines>
  <Paragraphs>0</Paragraphs>
  <TotalTime>9</TotalTime>
  <ScaleCrop>false</ScaleCrop>
  <LinksUpToDate>false</LinksUpToDate>
  <CharactersWithSpaces>2811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2025-07-25T10:08:00Z</dcterms:created>
  <dc:creator>陈龙</dc:creator>
  <cp:lastModifiedBy>陈龙</cp:lastModifiedBy>
  <dcterms:modified xsi:type="dcterms:W3CDTF">2026-06-30T11:06:56Z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1D3D246B19C94818A39C32927D7FCEAC_11</vt:lpwstr>
  </property>
</Properties>
</file>