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财政专项业务费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伊宁市财政局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伊宁市财政局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财政工作涉及预算评审、绩效评价、财务审计等专业领域，第三方机构具备更专业的技术团队和丰富经验，能确保工作质量。第三方作为独立主体，可避免内部人员利益关联，保证评审、审计等结果客观。财政部门人力有限，复杂项目若自行完成需增加编制，聘请第三方可灵活解决人力不足问题，降低行政成本。引入第三方可对财政管理形成外部监督，规范权力运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主要内容：聘请第三完成绩效管理单位数224个，完成预算公开单位数量224个；通过项目实施，提高财政服务能力。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实施情况：已完成完成绩效管理单位数225个，完成预算公开单位数量224个；通过项目实施，提高了财政服务能力。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资金投入情况：该项目年初预算数0万元，全年预算数1268万元，该项目资金落实到位1268万元。资金来源为</w:t>
      </w:r>
      <w:r>
        <w:rPr>
          <w:rStyle w:val="18"/>
          <w:rFonts w:hint="eastAsia" w:ascii="楷体" w:hAnsi="楷体" w:eastAsia="楷体"/>
          <w:spacing w:val="-4"/>
          <w:sz w:val="32"/>
          <w:szCs w:val="32"/>
          <w:lang w:eastAsia="zh-CN"/>
        </w:rPr>
        <w:t>年</w:t>
      </w:r>
      <w:r>
        <w:rPr>
          <w:rStyle w:val="18"/>
          <w:rFonts w:hint="eastAsia" w:ascii="楷体" w:hAnsi="楷体" w:eastAsia="楷体"/>
          <w:spacing w:val="-4"/>
          <w:sz w:val="32"/>
          <w:szCs w:val="32"/>
        </w:rPr>
        <w:t>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资金使用情况：该项目年初预算数0万元，全年预算数1268万元，全年执行数1268万元，预算执行率为100%，用于：</w:t>
      </w:r>
      <w:r>
        <w:rPr>
          <w:rStyle w:val="18"/>
          <w:rFonts w:hint="eastAsia" w:ascii="楷体" w:hAnsi="楷体" w:eastAsia="楷体"/>
          <w:spacing w:val="-4"/>
          <w:sz w:val="32"/>
          <w:szCs w:val="32"/>
        </w:rPr>
        <w:tab/>
        <w:t>预算绩效管理服务费53.5万元、基建项目评审成本876.69万元、其他服务费成本337.81万元。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1、总体目标：目标1：聘请第三完成绩效管理单位数224个，完成预算公开单位数量224个； 目标2：通过项目实施，提高财政服务能力。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2、阶段性目标：将专业分工、公正监督与效能提升深度融合，构建更科学的财政管理体系通过购买服务快速整合第三方优质资源，既降低行政成本，又能借助行业竞争倒逼服务质量提升，推动财政管理向 “专业外包、效能优先” 的现代化模式转型。</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财政专项业务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此次我单位根据《财政支出绩效评价管理暂行办法》（财预〔2020〕10号）文件要求实施评价工作，本次评价对象为财政专项业务费项目，评价核心为项目的资金投入、产出及效益。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2025年5月9日-5月12日，评价工作进入实施阶段，评价组收集绩效评价相关数据资料，并与项目实施负责人沟通，了解资金的内容、操作流程、管理机制、资金使用方向等情况，分析形成初步结论。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2025年5月14日- 5月16日，评价组按照绩效评价的原则和规范，对取得的资料进行审查核实，对采集的数据进行分析，按照绩效评价指标评分表逐项进行打分、分析，汇总各方评价结果，综合分析并形成评价结论。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本项目严格按照科学公正、统筹兼顾、激励约束、公开透明的绩效评价原则，采用比较法，坚持计划绩效评价标准对本项目的立项、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财政专项业务费项目评价得分情况：总分100分，项目决策占20分，得分20分；项目过程占20分，得分20分；项目产出占20分，得分20分；项目成本占10分，得分10分，项目效益占30分，得分100分，项目总得分100分。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专项业务费项目将项目绩效目标细化分解为具体的绩效指标，一级指标共4条，二级指标共6条，三级指标共9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本项目实际分配资金以《关于申请财政专项业务费项目资金的请示》为依据进行资金分配，预算资金分配依据充分，资金分配额度合理，与我单位实际需求相适应。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实际到位资金1268万元，预算资金1268万元，资金到位率100.00%。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年初预算数0万元，全年预算数1268万元，全年执行数1268万元，预算执行率为100.00%。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bookmarkStart w:id="0" w:name="_GoBack"/>
      <w:bookmarkEnd w:id="0"/>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1、数量指标：指标1：完成绩效管理单位数量</w:t>
      </w:r>
      <w:r>
        <w:rPr>
          <w:rStyle w:val="18"/>
          <w:rFonts w:hint="eastAsia" w:ascii="楷体" w:hAnsi="楷体" w:eastAsia="楷体"/>
          <w:spacing w:val="-4"/>
          <w:sz w:val="32"/>
          <w:szCs w:val="32"/>
        </w:rPr>
        <w:tab/>
        <w:t>，指标值：&gt;=225个</w:t>
      </w:r>
      <w:r>
        <w:rPr>
          <w:rStyle w:val="18"/>
          <w:rFonts w:hint="eastAsia" w:ascii="楷体" w:hAnsi="楷体" w:eastAsia="楷体"/>
          <w:spacing w:val="-4"/>
          <w:sz w:val="32"/>
          <w:szCs w:val="32"/>
        </w:rPr>
        <w:tab/>
        <w:t>，业绩值225个，指标完成率100%；指标2： 完成预算公开单位数量</w:t>
      </w:r>
      <w:r>
        <w:rPr>
          <w:rStyle w:val="18"/>
          <w:rFonts w:hint="eastAsia" w:ascii="楷体" w:hAnsi="楷体" w:eastAsia="楷体"/>
          <w:spacing w:val="-4"/>
          <w:sz w:val="32"/>
          <w:szCs w:val="32"/>
        </w:rPr>
        <w:tab/>
        <w:t>，指标值：&gt;=224个，业绩值224个，指标完成率100%。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w:t>
      </w:r>
      <w:r>
        <w:rPr>
          <w:rStyle w:val="18"/>
          <w:rFonts w:hint="eastAsia" w:ascii="楷体" w:hAnsi="楷体" w:eastAsia="楷体"/>
          <w:spacing w:val="-4"/>
          <w:sz w:val="32"/>
          <w:szCs w:val="32"/>
        </w:rPr>
        <w:tab/>
        <w:t>，指标值：=100%，业绩值100%，指标完成率100%。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w:t>
      </w:r>
      <w:r>
        <w:rPr>
          <w:rStyle w:val="18"/>
          <w:rFonts w:hint="eastAsia" w:ascii="楷体" w:hAnsi="楷体" w:eastAsia="楷体"/>
          <w:spacing w:val="-4"/>
          <w:sz w:val="32"/>
          <w:szCs w:val="32"/>
        </w:rPr>
        <w:tab/>
        <w:t>，指标值：=100%，业绩值100%，指标完成率100%。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1、经济成本指标：指标1：预算绩效管理服务费</w:t>
      </w:r>
      <w:r>
        <w:rPr>
          <w:rStyle w:val="18"/>
          <w:rFonts w:hint="eastAsia" w:ascii="楷体" w:hAnsi="楷体" w:eastAsia="楷体"/>
          <w:spacing w:val="-4"/>
          <w:sz w:val="32"/>
          <w:szCs w:val="32"/>
        </w:rPr>
        <w:tab/>
        <w:t>，指标值：  &lt;=55万元，业绩值53.5万元，指标完成率97.27%；指标2：基建项目评审成本，指标值：&lt;=850万元，业绩值876.69万元，指标完成率96.96%。指标3：其他服务费成本</w:t>
      </w:r>
      <w:r>
        <w:rPr>
          <w:rStyle w:val="18"/>
          <w:rFonts w:hint="eastAsia" w:ascii="楷体" w:hAnsi="楷体" w:eastAsia="楷体"/>
          <w:spacing w:val="-4"/>
          <w:sz w:val="32"/>
          <w:szCs w:val="32"/>
        </w:rPr>
        <w:tab/>
        <w:t>，指标值：&lt;=363万元，业绩值337.81万元，指标完成率93.06%。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2、社会效益指标：指标1：提高财政服务能力</w:t>
      </w:r>
      <w:r>
        <w:rPr>
          <w:rStyle w:val="18"/>
          <w:rFonts w:hint="eastAsia" w:ascii="楷体" w:hAnsi="楷体" w:eastAsia="楷体"/>
          <w:spacing w:val="-4"/>
          <w:sz w:val="32"/>
          <w:szCs w:val="32"/>
        </w:rPr>
        <w:tab/>
        <w:t>，指标值：有效提高</w:t>
      </w:r>
      <w:r>
        <w:rPr>
          <w:rStyle w:val="18"/>
          <w:rFonts w:hint="eastAsia" w:ascii="楷体" w:hAnsi="楷体" w:eastAsia="楷体"/>
          <w:spacing w:val="-4"/>
          <w:sz w:val="32"/>
          <w:szCs w:val="32"/>
        </w:rPr>
        <w:tab/>
        <w:t>，业绩值基本达成目标，指标完成率100%。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满意度指标：指标1：第三方满意度</w:t>
      </w:r>
      <w:r>
        <w:rPr>
          <w:rStyle w:val="18"/>
          <w:rFonts w:hint="eastAsia" w:ascii="楷体" w:hAnsi="楷体" w:eastAsia="楷体"/>
          <w:spacing w:val="-4"/>
          <w:sz w:val="32"/>
          <w:szCs w:val="32"/>
        </w:rPr>
        <w:tab/>
        <w:t>，指标值：&gt;=95%，业绩值100%，指标完成率105.26%。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绩效目标值设置不精准，导致完成率存在偏差，今后精准的设置目标值。</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严格按照相应的业务管理制度，规范各项经费的开支；资金使用规范，符合国家财经法规和财务管理以及有关资金管理办法的规定；资金的拨付有完整的审批程序和手续。</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C5C1E2F"/>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4</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2025-07-10T08:09:57Z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