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棚户区改造房屋征收项目5号地征收资金及汉人街家具城分公司商户征迁补偿安置费及搬运费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伊宁市琼科瑞克街道办事处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伊宁市琼科瑞克街道办事处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叶尔迈克·居马太</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根据市委、市政府的工作部署，城市更新办的工作要求，为保证伊犁“欢乐嘉年华”智慧文旅城项目的顺利实施，我街道对伊犁“欢乐嘉年华”文旅项目用地5号地开展征收工作，该用地涉及5户征迁户，其中2户为企业单位，3户为居民个人,征收补偿款及商户安置费、搬迁费6475.40万元。该项目的实施将有效改善我街道辖区居民居住环境，提升居民生活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主要内容：1.涉及征迁户数5户，补偿资金6475.40万元；2.改善辖区居民居住环境，提升居民生活幸福感。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实施情况：已完成支付5户征迁户及安置费搬迁费6475.40万元；通过项目的实施，改善了辖区居民居住环境，提升了居民生活幸福感。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资金投入情况：该项目年初预算数0万元，全年预算数6475.40万元，该项目资金落实到位6475.40万元。资金来源为年中追加预算。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资金使用情况：该项目年初预算数0万元，全年预算数6475.40万元，全年执行数6475.40万元，预算执行率为100%，用于：征迁户征收补偿资金6463.40万元，商户安置费及搬运费12万元。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1、总体目标：1.涉及征迁户数5户，补偿资金6475.40万元；2.改善辖区居民居住环境，提升居民生活幸福感。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2、阶段性目标：支付5户征迁户补偿资金6463.40元，汉人街家具城商户安置及搬运费12万元。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棚户区改造房屋征收项目5号地征收资金及汉人街家具城分公司商户征迁补偿安置费及搬运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棚户区改造房屋征收项目5号地征收资金及汉人街家具城分公司商户征迁补偿安置费及搬运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2025年4月10日，开始前期准备工作，评价组通过前期调研确定绩效评价对象和范围，确定了评价的目的、方法以及评价的原则，根据项目的内容和特征制定了评价指标体系及评价标准；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2025年4月15日-4月24日，评价工作进入实施阶段，评价组收集绩效评价相关数据资料，并与项目实施负责人沟通，了解资金的内容、操作流程、管理机制、资金使用方向等情况，分析形成初步结论。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2025年4月25日-4月30日，评价组按照绩效评价的原则和规范，对取得的资料进行审查核实，对采集的数据进行分析，按照绩效评价指标评分表逐项进行打分、分析，汇总各方评价结果，综合分析并形成评价结论。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棚户区改造房屋征收项目5号地征收资金及汉人街家具城分公司商户征迁补偿安置费及搬运费项目评价得分情况：总分100分，项目决策占20分，得分19分；项目过程占20分，得分19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项目立项依据《后滩湿地五号地片区房屋征收决定的公告》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③项目预期产出效益和效果基本符合正常的业绩水平；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综上所述，本项目的绩效目标设置较合理。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棚户区改造房屋征收项目5号地征收资金及汉人街家具城分公司商户征迁补偿安置费及搬运费项目将项目绩效目标细化分解为具体的绩效指标，一级指标共4条，二级指标共6条，三级指标共7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棚户区改造房屋征收项目5号地第1批1户拨付征收资金的申请》、《关于棚户区改造房屋征收项目5号地第3批拨付征收资金的申请》、《关于棚户区改造房屋征收项目5号地第5批1户拨付征收资金的申请》、《关于棚户区改造房屋征收项目5号地第7批2户拨付征收资金的申请》、《关于申请汉人街家具城分公司商户征迁补偿安置费及搬运费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实际到位资金6475.40万元，预算资金6475.40万元，资金到位率100.00%。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年初预算数0万元，全年预算数6475.40万元，全年执行数6475.40万元，预算执行率为100.00%。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①已制定相应的财务和业务管理制度，有待完善。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②财务和业务管理制度合法、合规、较完整。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综上所述，本项目管理制度建设基本健全。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1、数量指标：指标1：征收补偿发放次数，指标值：=1次，业绩值1次，指标完成率100%。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2、质量指标：指标1：征收资金使用合规率，指标值：=100%，业绩值100%，指标完成率100%。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3、时效指标：指标1：征收资金支付及时率，指标值：=100%，业绩值100%，指标完成率100%。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1、经济成本指标：指标1：征迁户安置费及搬迁费，指标值：&lt;=12万元，业绩值12万元，指标完成率100%；指标2：征收补偿资金，指标值：&lt;=6463.40万元，业绩值6463.40万元，指标完成率100%。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2、社会效益指标：指标1：征收补偿户数，指标值：&gt;=5户，业绩值5户，指标完成率100%。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4、满意度指标：指标1：征迁户满意度，指标值：&gt;=95%，业绩值100%，指标完成率105.26%。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1.？创新工作方法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多元化的补偿方式，除了货币补偿和产权调换外，还尝试了如“回购房安置”等新型补偿方式，为被征收群众提供了更多的选择，促进了征收工作的顺利开展。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2.？团队建设与协作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了征收工作队伍的建设，通过培训、考核等方式，提高了工作人员的业务水平和工作能力。强化了部门之间的协作配合，建立了征收工作联席会议制度，不定期召开会议，协调解决征收工作中遇到的问题和困难。通过部门之间的紧密协作，形成了工作合力，提高了征收工作的整体效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绩效目标合理性：项目所设定的绩效目标依据不够科学、合理。应充分考虑指标设定的可实施性，可考核性，尽可能量化、细化。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管理制度健全性：业务管理制度不够健全，业务管理制度不能有效保障项目的顺利实施。例如，部分征收项目由于前期准备工作不充分、手续办理不及时等原因，导致工作进度滞后，未能按照预定时间节点完成征收任务。需要进一步加强项目的前期准备工作，提高工作效率。</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1、绩效目标设定应清晰准确，指标全面完整、科学合理，标准恰当适宜、易于评价。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2、加强和完善街道财务和业务管理制度，强化绩效评价结果运用，定期对绩效目标运行情况进行跟踪管理和监控，对项目实施过程中的薄弱环节，及时制定改进和提高工作效率的措施。</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D656ECA"/>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