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伊办村、社区办公经费及服务群众专项经费项目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伊宁市伊犁河路街道办事处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伊宁市伊犁河路街道办事处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摆晓峰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1、项目背景：共建共治共享的治理格局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居民参与意识增强，对社区事务的知情权、监督权需求上升。绩效评价需引入群众反馈机制，将“群众满意度”作为核心考核指标，推动形成“政府主导、社会协同、群众参与”的治理模式。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社区经费使用效能待提升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部分街道社区存在经费分配不合理、使用透明度不足、项目实施与群众需求脱节等问题，需通过绩效评价优化资源配置。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群众需求多元化与复杂化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城市化进程中，社区居民对公共服务的需求从“基本保障”向“品质提升”转变（如智慧养老、社区应急能力建设等），倒逼经费使用更精准高效。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主要内容：目标1：保障村社区运转个数7个，保障村社区正常运转12个月。 目标2：通过项目实施，有效优化干部职工办公环境，提升干部履职效能，更好为居民服务，收益居民达到23281人。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实施情况：该项目已完成保障7个社区运转，同时也保障社区正常运转12个月。最后有效优化干部职工的办公环境并且给村社区环境带来了优化的舒适的环境。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资金投入情况：该项目年初预算数245万元，全年预算数245万元，该项目资金落实到位245万元。资金来源为年初部门预算。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资金使用情况：该项目年初预算数245万元，全年预算数245万元，全年执行数173.81万元，预算执行率为70.94%，用于：社区办公经费成本101.26万元，社区服务群众专项经费成本72.55万元。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1、总体目标：目标1：保障村社区运转个数7个，保障村社区正常运转12个月。 目标2：有效优化干部职工的办公环境。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2、阶段性目标：保障村社区运转个数7个，保障村社区正常运转12个月。 有效优化干部职工的办公环境。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办村、社区办公经费及服务群众专项经费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此次我单位根据《财政支出绩效评价管理暂行办法》（财预〔2020〕10号）文件要求实施评价工作，本次评价对象为伊办村、社区办公经费及服务群众专项经费项目，评价核心为项目的资金投入、产出及效益。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本次项目支出绩效自评采用最低成本方法。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2025年5月7日-5月8日，评价工作进入实施阶段，评价组收集绩效评价相关数据资料，并与项目实施负责人沟通，了解资金的内容、操作流程、管理机制、资金使用方向等情况，分析形成初步结论。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本项目严格按照科学公正、统筹兼顾、激励约束、公开透明的绩效评价原则，采用最低成本评价方法，坚持计划绩效评价标准对本项目的立项、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办村、社区办公经费及服务群众专项经费项目评价得分情况：总分100分，项目决策占20分，得分20分；项目过程占20分，得分17.6分；项目产出占20分，得分17.9分；项目成本占10分，得分7分，项目效益占30分，得分30分，项目总得分92.5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办村、社区办公经费及服务群众专项经费项目将项目绩效目标细化分解为具体的绩效指标，一级指标共4条，二级指标共6条，三级指标共8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本项目实际分配资金以《关于申请伊办村、社区办公经费及服务群众专项经费项目资金的请示》为依据进行资金分配，预算资金分配依据充分，资金分配额度合理，与我单位实际需求相适应。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实际到位资金245万元，预算资金245万元，资金到位率100%。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年初预算数245万元，全年预算数245万元，全年执行数173.81万元，预算执行率为70.94%。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1、数量指标：指标1：保障社区运转个数，指标值：&gt;=7个，业绩值7个，指标完成率100%；指标2：保障社区运转时长，指标值：=12个月，业绩值12个月，指标完成率100%。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2、质量指标：指标1：社区资金使用合规率，指标值：=100%，业绩值=100% ，指标完成率72.06%；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3、时效指标：指标1：社区服务群众及时率，指标值：=95% ，业绩值=100%，指标完成率105.26%；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1、经济成本指标：指标1：社区办公经费成本，指标值：&lt;=140万元，业绩值101.26万元，指标完成率72.32%；指标2：社区服务群众专项经费成本，指标值：&lt;=105万元 ，业绩值72.55万元，指标完成率69.1%。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1、经济效益指标：指标1：受益社区居民数量，指标值：&gt;=23281人 ，业绩值23281人，指标完成率100%。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满意度指标：指标1：社区群众满意度，指标值：&gt;=95%，业绩值100%，指标完成率105.26%。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1.提前对接业务科室和社区，按“民生优先、急事先办”原则排序项目（如优先保障养老服务、老旧小区改造），压缩非必要支出。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2.实行“无预算不支出”，临时新增项目需经党工委财经会议审议（如追加额度超5万元需附专项说明）。</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3.每季度在街道公示栏公开民生资金发放明细（如低保金额、高龄津贴名单等），附咨询电话接受监督。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社区资金使用合规率、</w:t>
      </w:r>
      <w:r>
        <w:rPr>
          <w:rStyle w:val="18"/>
          <w:rFonts w:hint="eastAsia" w:ascii="楷体" w:hAnsi="楷体" w:eastAsia="楷体"/>
          <w:spacing w:val="-4"/>
          <w:sz w:val="32"/>
          <w:szCs w:val="32"/>
        </w:rPr>
        <w:tab/>
        <w:t>社区办公经费成本、社区服务群众专项经费成本指标未达预期目标，因财政局年底拨付资金较晚，导致无法及时使用。</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一、加强业务指导与培训</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1.定期组织基层财务人员参加财政政策、财务软件操作等专题培训，提升业务能力。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2.建立常态化沟通机制，通过线上答疑、实地调研等方式，及时解决街道财务工作中的具体问题。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二、优化资金管理与拨付流程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简化专项资金申请及拨付流程，缩短审批周期，确保资金及时到位，保障基层民生项目和重点工作推进。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加强对街道资金使用的事前指导，明确预算编制细则，减少因政策理解偏差导致的资金使用效率问题。</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6E9F5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2025-07-10T08:21:40Z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