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伊宁市文旅局化债项目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伊宁市文化体育广播电视和旅游局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伊宁市文化体育广播电视和旅游局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王志强</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伊宁市文旅产业资源丰富，发展潜力巨大，但当前文旅局存量债务对行业持续发展形成制约，6个化债项目亟待资金支持以化解风险。同时，优化营商环境是吸引投资、激活市场活力的关键。为破除发展瓶颈，保障文旅产业稳健前行，亟需推进化债项目落地，并同步营造良好营商环境，赋能文旅产业高质量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主要内容：目标1：支付伊宁市文旅局化债项目6个 目标2：营造良好营商环境，促进伊宁市文旅产业发展。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实施情况：已完成支付伊宁市文旅局化债项目6个，营造良好营商环境，促进伊宁市文旅产业发展。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资金投入情况：该项目年初预算数0万元，全年预算数692.06万元，该项目资金落实到位692.06万元。资金来源为年中追加预算。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0万元，全年预算数692.06万元，全年执行数692.06万元，预算执行率为100%，用于：支付伊宁市商工平台化债项目成本109.2万元，支付伊宁市体育馆三标段音响显示屏项目成本0.94万元，支付关于申请俄罗斯风情园项目回收补偿资金的报告项目成本180万元，其余4个项目还债成本401.92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1、总体目标：支付伊宁市文旅局化债项目6个，营造良好营商环境，促进伊宁市文旅产业发展。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支付伊宁市文旅局化债项目6个，其中：支付伊宁市商工平台化债项目成本109.2万元，支付伊宁市体育馆三标段音响显示屏项目成本0.94万元，支付关于申请俄罗斯风情园项目回收补偿资金的报告项目成本180万元，其余4个项目还债成本401.92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伊宁市文旅局化债项目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此次我单位根据《财政支出绩效评价管理暂行办法》（财预〔2020〕10号）文件要求实施评价工作，本次评价对象为伊宁市文旅局化债项目，评价核心为项目资金投入、产出及效益。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（一）成本效益分析法。是指将投入与产出、效益进行关联性分析的方法。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2025年5月1日，开始前期准备工作，评价组通过前期调研确定绩效评价对象和范围，确定了评价的目的、方法以及评价的原则，根据项目的内容和特征制定了评价指标体系及评价标准；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2025年5月2日-5月4日，评价工作进入实施阶段，评价组收集绩效评价相关数据资料，并与项目实施负责人沟通，了解资金的内容、操作流程、管理机制、资金使用方向等情况，分析形成初步结论。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2025年5月5日-5月9日，评价组按照绩效评价的原则和规范，对取得的资料进行审查核实，对采集的数据进行分析，按照绩效评价指标评分表逐项进行打分、分析，汇总各方评价结果，综合分析并形成评价结论。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本项目严格按照科学公正、统筹兼顾、激励约束、公开透明的绩效评价原则，采用其它评价方法，坚持计划绩效评价标准对本项目的立项、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文旅局化债项目项目评价得分情况：总分100分，项目决策占20分，得分19分；项目过程占20分，得分20分；项目产出占20分，得分20分；项目成本占10分，得分10分，项目效益占30分，得分30分，项目总得分99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③事前未经过必要的可行性研究、专家论证、风险评估。经过绩效评估、集体决策。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③项目预期产出效益和效果符合正常的业绩水平；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伊宁市文旅局化债项目692.06万元将项目绩效目标细化分解为具体的绩效指标，一级指标共4条，二级指标共6条，三级指标共9条，其中量化指标条数共8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本项目实际分配资金以《关于申请2024年化债项目资金的请示》为依据进行资金分配，预算资金分配依据充分，资金分配额度合理，与我单位实际需求相适应。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实际到位资金692.06万元，预算资金692.06万元，资金到位率100%。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年初预算数0万元，全年预算数692.06万元，全年执行数692.06万元，预算执行率为100%。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1、数量指标：支付伊宁市文旅化债项目个数，指标值：=6个，业绩值6个，指标完成率100%。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2、质量指标：资金使用合规率，指标值：=100%，业绩值100%，指标完成率100%。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3、时效指标：资金支付及时率，指标值：=100%，业绩值100%，指标完成率100%。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支付伊宁市商工平台化债项目成本，指标值：&lt;=109.2万元，业绩值109.2万元，指标完成率100%；指标2：支付伊宁市体育馆三标段音响显示屏项目成本，指标值：&lt;=0.94万元，业绩值0.94万元，指标完成率100%。指标3：支付关于申请俄罗斯风情园项目回收补偿资金的报告项目成本，指标值：&lt;=180万元，业绩值180万元，指标完成率100%；指标4：支付其余4个项目还债成本，指标值：&lt;=401.92万元，业绩值401.92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2、社会效益指标：促进伊宁市文旅产业发展，指标值：有效促进，业绩值基本达成目标，指标完成率100%。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4、满意度指标：企业满意度，指标值：&gt;=90%，业绩值100%，指标完成率111.11%。</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加强学习。进一步明确如何参照考核体系，科学合理设定绩效目标，充分发挥预算绩效管理工作效用。财务上，会计核算要更加详细，为本单位各项工作的开展、总结、评估提供有效数据资料支撑,为各项业务工作更好的开展提供帮助，严格履行审批手续，强化项目资金管理，严格预算支出管理。</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2024年本单位项目支出绩效目标全部达成，不存在未完成原因分析。</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在今后制定项目预算工作中，我单位将提高对资源、产品市场行情的调研能力，将投资概算进一步精确化，从项目预算资金执行率。</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 w:val="6B2553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2025-07-10T08:21:38Z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