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伊宁市宁远街道村、社区办公经费及服务群众专项经费项目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伊宁市宁远街道办事处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伊宁市宁远街道办事处</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阿尔孜古丽·买买提</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实施村（社区）经费项目是夯实基层治理根基、推动城乡协调发展的关键举措。首先，它能保障基层组织正常运转，村（社区）日常工作涵盖治安维护、环境卫生管理、政策宣传落实等，充足经费确保人员薪酬发放、办公耗材购置等，使基层服务不断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其次，经费项目助力民生改善。通过建设道路、照明设施、文体广场等基础设施，可直接提升居民生活便利性与幸福感；开展助老扶弱、技能培训、文化活动等惠民服务，能满足群众多样化需求，解决群众急难愁盼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最后，经费的注入为基层创新发展提供可能。支持村（社区）探索特色产业、创新治理模式，激发基层活力，吸引人才回流，增强居民参与基层事务的积极性，推动形成共建共治共享的基层治理新格局，为乡村振兴和城市精细化治理提供有力支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主要内容：保障8个社区正常运转，保障全年12个月正常运转。有效优化干部职工的办公环境。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实施情况：已完成保障8个社区全年正常运转。有效优化了干部职工的办公环境。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资金投入情况：该项目年初预算数280万元，全年预算数280万元，该项目资金落实到位174.49万元。资金来源为年初部门预算。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资金使用情况：该项目年初预算数280万元，全年预算数280万元，全年执行数174.45万元，预算执行率为63.32%，用于：</w:t>
      </w:r>
      <w:r>
        <w:rPr>
          <w:rStyle w:val="18"/>
          <w:rFonts w:hint="eastAsia" w:ascii="楷体" w:hAnsi="楷体" w:eastAsia="楷体"/>
          <w:spacing w:val="-4"/>
          <w:sz w:val="32"/>
          <w:szCs w:val="32"/>
        </w:rPr>
        <w:tab/>
        <w:t>社区运转经费119.25万元、服务群众专项经费成本55.24万元。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1、总体目标：保障8个社区正常运转，保障全年12个月正常运转。有效优化干部职工的办公环境。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2、阶段性目标：保障8个社区正常运转，保障全年12个月正常运转。有效优化干部职工的办公环境。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宁市宁远街道村、社区办公经费及服务群众专项经费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宁远街道村、社区办公经费及服务群众专项经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本次项目支出绩效自评采用公众评判法。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2025年5月7日-5月8日，评价工作进入实施阶段，评价组收集绩效评价相关数据资料，并与项目实施负责人沟通，了解资金的内容、操作流程、管理机制、资金使用方向等情况，分析形成初步结论。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2025年5月9日- 5月10日，评价组按照绩效评价的原则和规范，对取得的资料进行审查核实，对采集的数据进行分析，按照绩效评价指标评分表逐项进行打分、分析，汇总各方评价结果，综合分析并形成评价结论。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本项目严格按照科学公正、统筹兼顾、激励约束、公开透明的绩效评价原则，采用公众评判法，坚持计划标准对本项目的立项、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宁远街道村、社区办公经费及服务群众专项经费项目评价得分情况：总分100分，项目决策占20分，得分20分；项目过程占20分，得分17分；项目产出占20分，得分17.3分；项目成本占10分，得分6分，项目效益占30分，得分30分，项目总得分90.3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宁远街道村、社区办公经费及服务群众专项经费项目将项目绩效目标细化分解为具体的绩效指标，一级指标共4条，二级指标共6条，三级指标共8条，其中量化指标条数共8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本项目实际分配资金以《关于明确村（社区）专项服务群众经费使用范围的通知》为依据进行资金分配，预算资金分配依据充分，资金分配额度合理，与我单位实际需求相适应。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实际到位资金280万元，预算资金280万元，资金到位率100%。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年初预算数280万元，全年预算数280万元，全年执行数174.49万元，预算执行率为62.32%。</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1、数量指标：指标1：保障社区数量，指标值：=8个，业绩值8个，指标完成率100 %；指标2：保障社区运转时长，指标值：=12个月，业绩值12个月，指标完成率100%。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2、质量指标：指标1：资金使用合规率，指标值：=100 % ，业绩值100%，指标完成率62.32%。</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3、时效指标：指标1：社区服务群众及时率，指标值：=100 %，业绩值100 %，指标完成率100%。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1、经济成本指标：指标1：社区运转经费，指标值： &lt;=160万元 ，业绩值119.25万元，指标完成率74.53%；指标2：服务群众专项经费成本，指标值：&lt;=120万元，业绩值 55.24万元 ，指标完成率46.03%。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2、社会效益指标：指标1：受益社区居民数量 ，指标值：&gt;=30719人，业绩值30719人，指标完成率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满意度指标：指标1：社区群众满意度，指标值：&gt;=95%，业绩值100%，指标完成率105.26%。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一、强化预算管理，确保资金规范使用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精准编制预算，在项目启动前，联合业务部门开展需求调研，明确经费使用范围（如活动经费、设备采购、人员补贴等），细化预算科目，避免“拍脑袋”决策。引入“零基预算”理念，逐项审核开支必要性，杜绝超标准、超范围列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动态监控执行，建立预算执行台账，按月/季度对比实际支出与预算差异，分析原因并及时调整。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设置预警机制，对超进度支付或异常支出（如大额现金支付）提前介入核查。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二、完善内控制度，防范财务风险</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分权与制衡，严格分离“申请、审批、支付、复核”岗位职责，避免“一人通办”。大额支出（如工程款、采购）实行集体决策，留存会议记录备查。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合同与票据管理，所有采购、服务合同需经财务审核条款（如付款条件、违约责任），确保合规性。规范票据审核：发票需与合同、验收单“三单匹配”，杜绝白条、无效凭证入账。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指标1：社区运转经费，指标值：&lt;=160万元 ，业绩值68.56万元，指标完成率42.85%；偏差原因：支付手续缓慢导致资金未能及时支付，今后加强资金支付进度。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指标2：服务群众专项经费成本，指标值：&lt;=120万元，业绩值 55.24万元 ，指标完成率46.03%。偏差原因：支付手续缓</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1、明确责任分工：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财务部门负责目标值合理性审核（如成本类指标），各社区主导效果类指标设计（如服务覆盖率）。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联合评审机制：</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目标初稿需经“各社区+财务+居民代表”三方会审，重点核查目标与资源的匹配性。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2、参考历史数据或同类项目水平，避免目标过高/过低。</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工具：利用3年历史数据平均值±10%浮动设定基准值。</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36284"/>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2025-07-10T08:26:23Z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