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汽车消费补贴项目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伊宁市商务和工业信息化局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伊宁市商务和工业信息化局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黎燕</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在当前经济环境下，消费作为经济增长的关键动力，其重要性愈发凸显，为有效应对经济下行压力，激发消费活力，国家及各地政府积极探索政策路径，2024年实施的消费补贴项目，是基于对经济形势的精准把握，旨在通过政策引导与市场机制相结合，提升消费者的购买意愿与支付能力，推动消费市场的复苏与繁荣，进而为经济增长注入持续动力。消费补贴项目意义重大，它能有效扩大内需，稳定经济增长，推动经济向好发展；还能提高居民生活品质，满足人民日益增长的美好生活需要，促进相关产业发展，带动就业，形成经济发展的良性循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主要内容：目标1:消费补贴人数5000人。目标2:提高居民消费水平，提高企业就业人数。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实施情况：已消费补贴人数5000人。提高了居民消费水平，提高了企业就业人数。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资金投入情况：该项目年初预算数0万元，全年预算数1008.88万元，该项目资金落实到位1008.88万元。资金来源为年中追加预算。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资金使用情况：该项目年初预算数0万元，全年预算数1008.88万元，全年执行数1008.88万元，预算执行率为100%，用于：消费补贴成本2017.76元/人。</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1、总体目标：目标1:消费补贴人数5000人。目标2:提高居民消费水平，提高企业就业人数。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2、阶段性目标：消费补贴人数5000人，消费补贴成本2017.76元/人。通过项目的实施，提高居民消费水平，提高企业就业人数。</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汽车消费补贴项目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此次我单位根据《财政支出绩效评价管理暂行办法》（财预〔2020〕10号）文件要求实施评价工作，本次评价对象为汽车消费补贴项目，评价核心为项目的资金投入、产出及效益。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（一）成本效益分析法。是指将投入与产出、效益进行关联性分析的方法。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2025年5月7日-5月9日，评价工作进入实施阶段，评价组收集绩效评价相关数据资料，并与项目实施负责人沟通，了解资金的内容、操作流程、管理机制、资金使用方向等情况，分析形成初步结论。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2025年5月10日-5月12日，评价组按照绩效评价的原则和规范，对取得的资料进行审查核实，对采集的数据进行分析，按照绩效评价指标评分表逐项进行打分、分析，汇总各方评价结果，综合分析并形成评价结论。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本项目严格按照科学公正、统筹兼顾、激励约束、公开透明的绩效评价原则，采用成本效益分析评价方法，坚持计划绩效评价标准对本项目的立项、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汽车消费补贴项目评价得分情况：总分100分，项目决策占20分，得分18分；项目过程占20分，得分20分；项目产出占20分，得分20分；项目成本占10分，得分10分，项目效益占30分，得分30分，项目总得分98分。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项目立项依据《新疆维吾尔自治区2024年汽车置换更新补贴实施细则》。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③事前未经过必要的可行性研究、专家论证。经过风险评估、绩效评估、集体决策。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①该项目为补贴项目，绩效目标相较其它项目较简单。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汽车消费补贴项目将项目绩效目标细化分解为具体的绩效指标，一级指标共4条，二级指标共7条，三级指标共7条，其中量化指标条数共5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本项目实际分配资金以《新疆维吾尔自治区2024年汽车置换更新补贴实施细则》为依据进行资金分配，预算资金分配依据充分，资金分配额度合理，与我单位实际需求相适应。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实际到位资金1008.88万元，预算资金1008.88万元，资金到位率100%。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年初预算数0万元，全年预算数1008.88万元，全年执行数1008.88万元，预算执行率为100%。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1、数量指标：指标1：消费补贴人数，指标值：=5000人，业绩值5000人，指标完成率100%。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2、质量指标：指标1：资金使用合规率，指标值：=100%，业绩值100%，指标完成率100%。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3、时效指标：指标1：资金拨付及时率，指标值：=100%，业绩值100%，指标完成率100%。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1、经济成本指标：指标1：消费补贴成本，指标值：≤2017.76元/人，业绩值2017.76元/人，指标完成率100%。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1、经济效益指标：指标1：提高居民消费水平，指标值：有效提高，业绩值基本达成目标，指标完成率100%。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2、社会效益指标：指标1：提高企业就业人数，指标值：有效提高，业绩值基本达成目标，指标完成率100%。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4、满意度指标：指标1：群众满意度，指标值：≥90%，业绩值100%，指标完成率111.11%。</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实施过程中，首先采用“大数据+动态监测”模式，精准定位消费热点与群众需求，动态调整补贴方向，提升资金使用效率。其次，建立跨部门联合监管机制，通过数据比对、实地抽查等方式，严防补贴资金滥用。此外，注重政企联动，鼓励企业推出叠加优惠，扩大补贴政策的带动效应，同时定期开展政策效果评估，根据反馈及时优化实施策略，确保项目取得实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2024年本单位项目支出绩效目标全部达成，不存在未完成原因分析。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1.精准规划补贴范围：结合消费市场调研数据，优先覆盖家电、新能源汽车、文旅等重点领域，同时关注新兴消费场景，如智能家居、绿色消费等，提升补贴政策的靶向性。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2.优化申领流程：依托数字化政务平台，打造“线上一键申领”模式，简化审批环节，实现补贴资金快速到账；针对老年群体等特殊人群，开通线下便捷通道，确保政策惠及全体。</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3.强化监管与评估：建立动态监测机制，严格审核企业资质与资金流向，防止虚假交易套取补贴；定期开展项目效果评估，根据市场反馈及时调整补贴标准与方式。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4.加强宣传引导：通过多渠道宣传，如短视频、社区宣讲等，提高政策知晓度；鼓励企业推出配套优惠，形成政策与市场联动效应，放大补贴杠杆作用。</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2BDE7D3E"/>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2025-07-10T08:30:12Z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