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缴纳耕地占用税及滞纳金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伊宁市自然资源局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伊宁市自然资源局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傅洪博</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2025年04月27日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根据《中华人民共和国耕地占用税法》及其实施办法，占用耕地从事非农业建设的单位和个人，需依法缴纳耕地占用税。自然资源系统作为土地资源管理的重要部门，有责任和义务确保各类占用耕地的行为依法纳税，以维护国家税收政策的严肃性和权威性，保护耕地资源、促进土地资源合理利用和可持续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主要内容：缴纳耕地占用税批次用地宗数20宗。持续提高公共服务能力，促进税收收入增加。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实施情况：已持续提高公共服务能力，促进税收收入增加；缴纳耕地占用税批次用地宗数20宗。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资金投入情况：该项目年初预算数20792.27万元，全年预算数20792.27万元，该项目资金落实到位20792.27万元。资金来源为年初部门预算。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资金使用情况：该项目年初预算数20792.27万元，全年预算数20792.27万元，全年执行数20792.27万元，预算执行率为100.00%，用于：缴纳耕地占用税9420万元，缴纳耕地占用税滞纳金11372.27万元。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1、总体目标：缴纳耕地占用税批次用地宗数20宗。持续提高公共服务能力，促进税收收入增加。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第一阶段：完成项目核查与申报准备，确保税款计算精准。完成与税务部门、财政部门的沟通对接，明确缴纳流程及节点。第二阶段：按时足额完成耕地占用税及滞纳金缴纳，优化流程。第三阶段：强化内部监管，提升公共服务能力，助力税收增收。第四阶段：形成长效管理机制，持续优化公共服务与税收征管效能。</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缴纳耕地占用税及滞纳金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此次我单位根据《财政支出绩效评价管理暂行办法》（财预〔2020〕10号）文件要求实施评价工作，本次评价对象为缴纳耕地占用税及滞纳金项目，评价核心为项目的资金投入、产出及效益。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本次项目支出绩效自评采用因素分析法。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本次项目支出绩效自评采用因素分析法。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本项目严格按照科学公正、统筹兼顾、激励约束、公开透明的绩效评价原则，采用因素分析法评价方法，坚持计划标准绩效评价标准对本项目的立项、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缴纳耕地占用税及滞纳金项目评价得分情况：总分100分，项目决策占20分，得分19分；项目过程占20分，得分20分；项目产出占20分，得分20分；项目成本占10分，得分10分，项目效益占30分，得分30分，项目总得分99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项目立项依据《关于申请拨付耕地占用税款的请示》。综上所述，本项目的立项依据充分。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③事前经过绩效评估、集体决策。未经过必要的可行性研究、专家论证、风险评估。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缴纳耕地占用税及滞纳金项目将项目绩效目标细化分解为具体的绩效指标，一级指标共4条，二级指标共6条，三级指标共7条，其中量化指标条数共6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本项目实际分配资金以《关于申请拨付耕地占用税款的请示》为依据进行资金分配，预算资金分配依据充分，资金分配额度合理，与我单位实际需求相适应。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实际到位资金20792.27万元，预算资金20792.27万元，资金到位率100.00%。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年初预算数20792.27万元，全年预算数20792.27万元，全年执行数20792.27万元，预算执行率为100.00%。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1、数量指标：指标1：缴纳耕地占用税批次用地宗数，指标值：&gt;=20宗，业绩值20宗，指标完成率100.00%。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2、质量指标：指标1：资金使用合规率，指标值：=100%，业绩值100%，指标完成率100.00%。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3、时效指标：指标1：缴纳耕地占用税及时率，指标值：=100% ，业绩值100%，指标完成率100.00%。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1、经济成本指标：指标1：缴纳耕地占用税，指标值：&lt;=9420万元，业绩值9420万元，指标完成率100.00%；指标2：缴纳耕地占用税滞纳金，指标值：&lt;=11372.27万元，业绩值11372.27万元，指标完成率100.00%。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2、社会效益指标：指标1：提高公共服务能力，指标值：有效提高，业绩值基本达成目标，指标完成率100.00%。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4、满意度指标：指标1：税务局满意度，指标值：=100%，业绩值100%，指标完成率100.00%。</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过程中的主要经验做法一是科学规划与制度保障，建立从项目立项、预算编制实施监管到绩效评价机制。二是加强部门协作，建立信息共享机制。耕地占用税征收涉及多个部门，信息共享至关重要。多方协同与公众参与，建立跨部门联动机制（如自然资源、财政、税务、林草等部门协同），确保税务部门能够及时掌握税源情况，为精准征收提供有力支持。三是强化政策宣传，提高纳税意识。引入社会力量参与，通过专家论证等方式，优化项目方案，提升社会满意度。四是开展风险防控，加强项目跟踪管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项目立项审批流程有待于进一步完善，项目立项事前未经过风险评估、绩效评估，审批流程不完整。二是绩效目标设定不合理，项目绩效目标与立项初衷脱节，指标设置模糊不可量化。绩效目标不明确，难以衡量。三是内部监管需进一步提高，未建立常态化的项目监督机制。</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1、完善立项审批流程，夯实项目实施基础。构建科学、规范、高效的立项审批体系，强化项目前期论证和风险评估。</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2、优化绩效目标设定，提升考核科学性。构建“精准化、可衡量、动态化”绩效目标体系，确保目标与项目任务精密结合。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3.强化内部监管，保障项目高效执行。强化人员培训，提升专业能力。</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1DF351E"/>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2025-07-10T08:30:14Z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