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PPP支出责任-东西区污水处理厂污水处理费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伊宁市城市管理局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伊宁市城市管理局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何洪</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随着城市规模的不断扩大，城市的工业废水和生活污水排放量也将逐步增加。伊宁市划分为4个污水系统，即东区污水处理厂污水系统、西区污水处理厂污水系统、伊宁市第三污水处理厂污水系统和伊犁河南岸新区污水处理厂系统。东区污水处理厂污水系统主要由老城区、东城区的污水管组成，污水经处理达标后可用于城市杂用水、工业循环冷却水或就近排入伊犁河。西区污水处理厂污水系统主要由西城区的污水管网组成，污水经处理达标后可用于城市杂用水、工业循环冷却水或就近排入伊犁河。伊宁市第三污水处理厂主要由开发区、G218以北片区、苏拉宫工业园区的污水管网组成，污水经处理达标后可用于城市杂用水、工业循环冷却水或就近排入伊犁河。伊犁河南岸新区污水处理厂主要由南岸新区的污水管网组成，污水经处理达标后可用于城市杂用水或就近排入伊犁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污水处理量达到4320万方，污水处理时长达到12个月。目标2：改善当地生态环境，建设花园城市，推动当地经济社会实现“绿色、和谐、共享”发展的应有之意，符合国家环保政策的要求。提升伊宁市的基础设施建设条件，提升城市形象，为伊宁市的招商引资提供更好的配套条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污水处理量达到4320万方，污水处理时长达到12个月。改善当地生态环境，建设花园城市，推动当地经济社会实现“绿色、和谐、共享”发展的应有之意，符合国家环保政策的要求。提升伊宁市的基础设施建设条件，提升城市形象，为伊宁市的招商引资提供更好的配套条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资金投入情况：该项目年初预算数9600万元，全年预算数9600万元，该项目资金落实到位9600万元。资金来源为年初部门预算。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资金使用情况：该项目年初预算数9600万元，全年预算数9600万元，全年执行数9224.7万元，预算执行率为96.09%，用于：污水处理成本768.72万元/月。</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污水处理量达到4320万方，污水处理时长达到12个月。目标2：改善当地生态环境，建设花园城市，推动当地经济社会实现“绿色、和谐、共享”发展的应有之意，符合国家环保政策的要求。提升伊宁市的基础设施建设条件，提升城市形象，为伊宁市的招商引资提供更好的配套条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实现污水处理实施的高效稳定运行，设备故障率控制在5%以内。目标2：污水无害化处理率达到100%，通过污水处理的有效实施，显著改善区域地表水环境质量，提升生态系统健康水平，为伊宁市的可持续发展提供有力保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PPP支出责任-东西区污水处理厂污水处理费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此次我单位根据《财政支出绩效评价管理暂行办法》（财预〔2020〕10号）文件要求实施评价工作，本次评价对象为PPP支出责任-东西区污水处理厂污水处理费，评价核心为项目的资金投入、产出及效益。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本次项目支出绩效自评采用历史标准。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2025年5月7日-5月8日，评价工作进入实施阶段，评价组收集绩效评价相关数据资料，并与项目实施负责人沟通，了解资金的内容、操作流程、管理机制、资金使用方向等情况，分析形成初步结论。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2025年5月9日-5月12日，评价组按照绩效评价的原则和规范，对取得的资料进行审查核实，对采集的数据进行分析，按照绩效评价指标评分表逐项进行打分、分析，汇总各方评价结果，综合分析并形成评价结论。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本项目严格按照科学公正、统筹兼顾、公开透明的绩效评价原则，采用因素分析评价方法，坚持计划绩效评价标准对本项目的立项、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PPP支出责任-东西区污水处理厂污水处理费评价得分情况：总分100分，项目决策占20分，得分19分；项目过程占20分，得分19.9分；项目产出占20分，得分20分；项目成本占10分，得分10分，项目效益占30分，得分30分，项目总得分98.9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项目立项依据伊市城管字【2024】188号《关于申请伊宁市东西区污水处理厂污水处理服务费的请示》综上所述，本项目的立项依据充分。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②项目绩效目标与实际工作内容有少许偏差；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PPP支出责任-东西区污水处理厂污水处理费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本项目实际分配资金以《关于申请伊宁市东西区污水处理厂污水处理服务费的请示》为依据进行资金分配，预算资金分配依据充分，资金分配额度合理，与我单位实际需求相适应。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实际到位资金9600万元，预算资金9600万元，资金到位率100.00%。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年初预算数9600万元，全年预算数9600万元，全年执行数9224.7万元，预算执行率为96.09%。</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1、数量指标：指标1：污水处理量，指标值：&gt;=4320万方，业绩值4662.03万方，指标完成率107.92%；指标2：污水处理时长，指标值：=12个月，业绩值12个月，指标完成率100%。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2、质量指标：城乡污水处理达标率，指标值：=100%，业绩值100%，指标完成率100%；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3、时效指标：污水处理任务完成及时率，指标值：=100%，业绩值100%，指标完成率100%。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1、经济成本指标：污水处理成本，指标值：&lt;=800万元/月，业绩值768.72万元/月，指标完成率96.09%。</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2、社会效益指标：水质污染减少率，指标值：&gt;=98%，业绩值98%，指标完成率100%。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满意度指标：市民满意度，指标值：&gt;=95%，业绩值100%，指标完成率105.26%。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坚持统筹兼顾的原则。我单位与项目办和下属其他单位相关业务科室在对项目支出绩效评价时，应坚持统一规划、明确职责、相互衔接，避免重复浪费。自主制定计划实施，预算部门评价应有计划、有重点、有步骤的开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坚持绩效相关原则。项目支出评价应坚持定量指标与定性指标相结合的方式，系统反映项目支出所产生的效益和可持续影响情况。使评价结果与项目支出绩效目标有直接的联系，并能够真是恰当反映目标的实现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3、坚持公开透明的原则，项目支出绩效评价结果依法依规予以公开，自觉接受社会各方面的监督。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1、污水处理量，绩效目标值设置不精准，缺乏科学合理的污水处理量评估体系，对处理过程中的各种因素考虑不全面，今后精准目标的设置。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2、污水处理成本，绩效目标值设置不精准，今后精准目标的设置。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3、市民满意度。绩效目标值设置不精准，市民在短期内难以看到明显变化，因此低估对项目的满意度，今后精准目标的设置。</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1、设置目标包括总目标和阶段性目标，在设置项目目标时存在项目人员专业性不强，与项目部门缺乏沟通协调导致绩效目标值设置不精准。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2、项目绩效管理的广度和深度不足，项目绩效工作流于形式，今后认真对待项目绩效工作，精准设置项目指标值，避免出现扣分情况。</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24B8E"/>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DFD4CA9"/>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