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中央医疗服务与保障能力提升[公立医院综合改革]补助资金</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伊宁市妇幼保健院</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伊宁市妇幼保健院</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尚海清</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2025年05月07日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我院目前使用的信息化系统不能满足医院的日常运营，整个信息系统功能也无法满足临床业务需求，统计数据不准确及无法支撑医疗安全管理等问题，距离实现妇幼保健绩效考核要求的电子病历三级有很大的差距，特别是对于基础业务系统的信息化管理较为薄弱，大部分业务工作还是采用传统的人工记录、统计等，制约了我院智能化水平的发展，因此升级智能化系统。</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主要内容：我院目前使用的信息化系统不能满足妇女儿童保健的需求，制约了我院智能化水平的发展，因此我院升级智能化系统1套。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通过项目的实施，减轻医务人员负担，提高我院服务能力。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实施情况：本年度我院升级智能化系统1套,通过项目的实施，减轻了医务人员负担，提高了我院服务能力。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资金投入情况：该项目年初预算数30万元，全年预算数30万元，该项目资金落实到位30万元。资金来源为年初部门预算。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资金使用情况：该项目年初预算数30万元，全年预算数30万元，全年执行数30万元，预算执行率为100%，用于：更换信息化系统30万元/套。</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1、总体目标：目标1:我院目前使用的信息化系统不能满足妇女儿童保健的需求，制约了我院智能化水平的发展，因此我院升级智能化系统1套。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目标2:通过项目的实施，减轻医务人员负担，提高我院服务能力。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2、阶段性目标：减轻医务人员负担，为就诊患者提供方便快捷的支付方式。</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中央医疗服务与保障能力提升[公立医院综合改革]补助资金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中央医疗服务与保障能力提升[公立医院综合改革]补助资金，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本次项目支出绩效自评采用比较法。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本次项目支出绩效自评采用计划标准。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2025年5月7日，开始前期准备工作，评价组通过前期调研确定绩效评价对象和范围，确定了评价的目的、方法以及评价的原则，根据项目的内容和特征制定了评价指标体系及评价标准；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2025年5月8日-5月9日，评价工作进入实施阶段，评价组收集绩效评价相关数据资料，并与项目实施负责人沟通，了解资金的内容、操作流程、管理机制、资金使用方向等情况，分析形成初步结论。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2025年5月10日- 5月11日，评价组按照绩效评价的原则和规范，对取得的资料进行审查核实，对采集的数据进行分析，按照绩效评价指标评分表逐项进行打分、分析，汇总各方评价结果，综合分析并形成评价结论。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本项目严格按照科学公正、统筹兼顾、激励约束、公开透明的绩效评价原则，采用比较法评价方法，坚持计划标准绩效评价标准对本项目的立项、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中央医疗服务与保障能力提升[公立医院综合改革]补助资金项目评价得分情况：总分100分，项目决策占20分，得分18分；项目过程占20分，得分20分；项目产出占20分，得分20分；项目成本占10分，得分10分，项目效益占30分，得分30分，项目总得分98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项目立项依据《伊市卫健党发[2022]20号》。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③事前已经过绩效评估、集体决策。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中央医疗服务与保障能力提升[公立医院综合改革]补助资金项目将项目绩效目标细化分解为具体的绩效指标，一级指标共4条，二级指标共6条，三级指标共7条，其中量化指标条数共7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①预算编制未经过科学论证；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③预算额度测算依据不够充分，按照标准编制；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本项目实际分配资金以《关于下拨2024年中央财政医疗服务与保障能力提升（公立医院综合改革）补助资金的方案》为依据进行资金分配，预算资金分配依据充分，资金分配额度合理，与我单位实际需求相适应。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实际到位资金30万元，预算资金30万元，资金到位率100%。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年初预算数30万元，全年预算数30万元，全年执行数30万元，预算执行率为100%。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1、数量指标：指标1：更换信息化系统数量 ，指标值： &gt;=1套，业绩值 1套，指标完成率 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2、质量指标：指标1：项目验收通过率，指标值：=100%，业绩值100% ，指标完成率 100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3、时效指标：指标1：项目完成及时率，指标值：=100%，业绩值 100% ，指标完成率 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1、经济成本指标：指标1：更换信息化系统成本，指标值： &lt;=30万/套，业绩值 30万/套，指标完成率 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2、社会效益指标：指标1：门诊就诊人数，指标值：&gt;=78268人次，业绩值87706人次，指标完成率112.06%。指标2：妇幼保健院服务能力提高率 &gt;=30%，指标值：30%，业绩值 30%，指标完成率 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满意度指标：指标1：医患满意度，指标值：&gt;=95%，业绩值100%，指标完成率105.26%。</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院使用的信息化系统不能满足医院的日常运营，整个信息系统功能也无法满足临床业务需求。2024年中央财政医疗服务与保障能力提升（公立医院综合改革）补助资金项目，通过数字化医院建设对医院业务、管理信息的整合、强化信息交换和共享，为各种信息采集、存储、数据挖掘、开展精细化管理提供了便利。有助于加强医院内部管理，保障医疗质量，提高服务效率，合理控制医疗费用，方便群众就医，加强了区域医疗协作，完善了医院绩效考核制度，加强医院医疗行为、医疗质量安全和经济运行的监管。</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门诊就诊人次指标出现偏差，因更换系统，单位服务能力提升，服务人员增加，导致偏差率达12.06%。</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1、根据国家对医疗卫生信息化建设的进一步要求，参照医疗行业信息化建设趋势，我院信息化系统模块相对较少，系统功能有待完善。</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 w:val="7C2F51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2025-07-10T08:37:32Z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