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伊宁市边境经济合作区社区卫生服务中心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伊宁市边境经济合作区社区卫生服务中心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高红玉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公共卫生项目直接关系全民健康与社会发展。财政持续加大公共卫生财政投入，推进基本服务均等化、疾病防控、应急能力建设等项目。在此背景下，开展项目支出绩效评价，旨在科学评估资金使用效果，检验疫苗接种率提升、慢性病管理覆盖等目标达成情况，优化资源配置，强化管理责任，构建预算管理闭环，确保资金惠及民生，为健康中国战略提供保障，也为政策优化提供数据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主要内容：目标1：适龄儿童国家免疫规划疫苗接种率≥90%：7岁儿童健康管理率≥85%；孕产妇系统管理率≥90%；高血压患者管理人数11231人；2型糖尿病患者管理人数5285人。老年人中医药健康管理率60%。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实施情况：已完成高血压患者管理人数11247人；2型糖尿病患者管理人数5297人。老年人中医药健康管理率99.06%。 群众满意度不断提高。通过项目的实施，城乡居民公共卫生差距不断缩小。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资金投入情况：该项目年初预算数717.71万元，全年预算数717.71万元，该项目资金落实到位717.71万元。资金来源为年初部门预算。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资金使用情况：该项目年初预算数717.71万元，全年预算数717.71万元，全年执行数717.71万元，预算执行率为100.00%，用于：资金支付平均成本179.43万元/次。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1、总体目标：目标1：适龄儿童国家免疫规划疫苗接种率≥90%：7岁儿童健康管理率≥85%；孕产妇系统管理率≥90%；高血压患者管理人数11231人；2型糖尿病患者管理人数5285人。老年人中医药健康管理率60%。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2、阶段性目标：目标1：适龄儿童国家免疫规划疫苗接种率≥90%：7岁儿童健康管理率≥85%；孕产妇系统管理率≥90%；高血压患者管理人数11231人；2型糖尿病患者管理人数5285人。老年人中医药健康管理率60%。 目标2：城乡居民公共卫生差距不断缩小，群众满意度不断提高。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此次我单位根据《财政支出绩效评价管理暂行办法》（财预〔2020〕10号）文件要求实施评价工作，本次评价对象为2024年中央基本公共服务补助经费，评价核心为项目的资金投入、产出及效益。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18分；项目过程占20分，得分20分；项目产出占20分，得分19分；项目成本占10分，得分10分，项目效益占30分，得分30分，项目总得分97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③事前已经过绩效评估、集体决策。未经过专家论证、风险评估。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10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实际到位资金717.71万元，预算资金717.71万元，资金到位率100.00%。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年初预算数717.71万元，全年预算数717.71万元，全年执行数717.71万元，预算执行率为100.00%。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1、数量指标：指标1：高血压患者管理人数，指标值：&gt;=11231人 ，业绩值=11247人，指标完成率100.14%；指标2：2型糖尿病患者管理人数，指标值：&gt;=5285人，业绩值 =5297人，指标完成率100.21%。指标3：老年人中医药健康管理率，指标值：&gt;=60%，业绩值=99.06%，指标完成率165.11%；指标4：资金发放次数，指标值：&gt;=4次，业绩值=4次，指标完成率100.00%。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2、质量指标：指标1：居民规范化电子健康档案覆盖率，指标值：&gt;=90%，业绩值=73.66%，指标完成率81.84%；指标2：传染病和突发公共卫生事件报告率，指标值：&gt;=95%，业绩值=100%，指标完成率105.26%。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1、经济成本指标：指标1：资金支付平均成本，指标值：&lt;=179.43万元/次，业绩值=179.43万元/次，指标完成率100%。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2、社会效益指标：指标1：政策知晓率，指标值：&gt;=80%，业绩值=100%，指标完成率125%。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1、强化顶层设计：建立跨部门协作机制，明确卫生、财政、教育等部门职责，如慢性病防控中联合社区、学校开展健康干预。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2、注重基层能力建设：通过培训提升基层医护人员公卫服务水平，如为全科医生开设传染病防控专项课程，完善基层诊疗设备配置。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3、创新宣传模式：利用新媒体（短视频、公众号）普及健康知识，结合传统手段（社区讲座、宣传栏），提升公众参与度。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4、动态监测与评估：建立数据追踪系统，实时分析项目效果，及时调整策略，如根据疫苗接种率数据优化接种点布局，确保服务可及性。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5、聚焦重点人群：针对儿童、老年人等群体定制方案，如为老年人免费体检并建立健康档案，为儿童开展龋齿预防项目，提升服务精准性。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质量指标中居民规范化电子健康档案覆盖率目标值90%，业绩值=73.66%，完成率81.84%，指标得分8.18，原因是年初设定指标不合理，目标值过高，原因为：基层信息化建设滞后，居民配合度不足、档案更新维护不及时，部门间数据互通不畅，考核监督机制不完善，以及宣传动员和技术培训不到位，导致建档及覆盖率提升受阻。</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  加强数字化能力建设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加速公卫服务数字化转型，开发统一的信息管理平台，整合居民健康档案、疫苗接种记录等数据，实现跨机构动态共享。推广“互联网+公卫”模式，如通过APP推送个性化健康提醒、在线预约疫苗接种。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强化基层人才保障体系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善基层公卫人员激励机制，提高薪资待遇并设立专项补贴，吸引专业人才下沉。建立“定向培养+定期轮训”模式，与医学院校合作开设公卫专业定向班，同时每年组织专家团队赴基层开展实操培训，提升应急处置和慢性病管理等核心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 完善动态评估与应急响应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制定科学的项目评估指标体系，结合居民满意度调查及时优化服务流程。针对传染病等突发公共卫生事件，定期开展多部门应急演练，强化监测预警与快速响应衔接，提升系统韧性。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 推动精准化与可持续发展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依托大数据分析人群健康需求，如针对老龄化地区重点布局慢性病管理项目，针对流动人口集中区域加强疫苗查漏补种。</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0631F7A"/>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