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伊宁市都来提巴格街道社区卫生服务中心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伊宁市都来提巴格街道社区卫生服务中心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热依沙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适龄儿童国家免疫规划疫苗接种率≥95%：7岁儿童健康管理率≥95%；孕产妇系统管理率≥90%；高血压患者管理人数2514人；2型糖尿病患者管理人数967人。l老年人中医药健康管理率≥90%，儿童中医药管理率≥60%，肺结核管理率≥95%，社区在册居家严重精神障碍患者健康管理率≥90%，居民规范化电子健康档案覆盖率≥65%，高血压，糖尿病患者基层规范管理服务率≥80%，65岁及以上老年人规范健康管理率≥67%，传染病和突发公共卫生事件报告率100%，各项公共卫生服务符合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实施情况：截止到2024年12月30日，已完成2型糖尿病患者管理人数967人，高血压患者管理人数2514人，适龄儿童国家免疫规划疫苗接种率100.28%。通过项目实施，提高了居民健康生活水平及健康意识。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资金投入情况：该项目年初预算数165.66万元，全年预算数165.66万元，该项目资金落实到位165.66万元。资金来源为年初部门预算。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165.66万元，全年预算数165.66万元，全年执行数165.66万元，预算执行率为100%，用于：每季度41.415万元，对城乡居民健康问题实施干预措施，减少主要健康危险因素，有效预防和控制主要传染病及慢性病，使城乡居民享有均等化的基本公共卫生服务，提高居民健康生活水平及健康意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适龄儿童国家免疫规划疫苗接种率≥95%：7岁儿童健康管理率≥95%；孕产妇系统管理率≥90%；高血压患者管理人数2514人；2型糖尿病患者管理人数967人。l老年人中医药健康管理率≥90%，儿童中医药管理率≥60%，肺结核管理率≥95%，社区在册居家严重精神障碍患者健康管理率≥90%，居民规范化电子健康档案覆盖率≥65%，高血压，糖尿病患者基层规范管理服务率≥80%，65岁及以上老年人规范健康管理率≥67%，传染病和突发公共卫生事件报告率100%，各项公共卫生服务符合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适龄儿童国家免疫规划疫苗接种率：95%；高血压患者管理人数：2514；2型糖尿病患者管理人数：967；社区在册居家严重精神障碍患者健康管理率：90%；居民规范化电子健康档案覆盖率：65%；传染病和突发公共卫生事件报告率：100%；资金支付及时率：100%；资金支付平均成本：41.415；政策知晓率：80%；资金发放次数：4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19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是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②项目绩效目标与实际工作内容具有一定偏差率，年初满意度设置偏低，实际满意度已达到100%；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实际到位资金165.66万元，预算资金165.66万元，资金到位率100%。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年初预算数165.66万元，全年预算数165.66万元，全年执行数165.66万元，预算执行率为100.00%。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95%，业绩值95.27%，指标完成率100.28%；指标2：高血压患者管理人数，指标值：&gt;=2514人，业绩值2514人，指标完成率100%；指标3：2型糖尿病患者管理人数，指标值：&gt;=967人，业绩值 967人，指标完成率100%；指标4：社区在册居家严重精神障碍患者健康管理率，指标值：&gt;=90%，业绩值90%，指标完成率100%；指标5：资金发放次数，指标值：&gt;=4次，业绩值4次，指标完成率100%。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2、质量指标：指标1：居民规范化电子健康档案覆盖率，指标值：&gt;=65%，业绩值65.62%，指标完成率100.95%；指标2：传染病和突发公共卫生事件报告率，指标值：=100%，业绩值100%，指标完成率100%。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1、经济成本指标：指标1：资金支付平均成本，指标值：&lt;=41.415万元/次，业绩值41.415万元/次，指标完成率100%。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满意度指标：指标1：群众满意度，指标值：&gt;=95%，业绩值  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健全公共卫生相关工作制度，制定岗位规范，细化考核内容，将人员收入与工作绩效挂钩，提高基本公共卫生服务质量和效率，落实日常考核管理。提高工作人员公共卫生服务和突发公共卫生事件应急处置能力，使辖区居民人人享有基本公共卫生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二是利用健康教育宣传、个性化教育、健康义诊等方式开展宣传防病知识，使群众对重点慢性病防治知识知晓率。针对慢病门诊的患者，开展中医体质辨识等服务。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三是加强科室和人才梯队建设，优化为居民服务技术水平，提升公共卫生服务的影响力，让居民更好的享受“不出门”的基层医疗服务。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居民满意度年初指标设置为80%,偏低，经过实际自评达到100%；居民规范化电子健康档案覆盖率年初设定指标值大于等于65%，实际完成65.62%，指标完成率100.95%；项目绩效目标与实际工作内容具有一定偏差率。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通过严格执行项目计划，对项目执行中出现情况及时调整，纠正偏差，业务精准设置绩效指标，保证项目及时完成。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利用医联体、医共体专科联盟优势，由上级医院专家定期坐诊，共同开展家庭医生签约服务，为家庭医生签约服务质量和诊疗水平奠定基础。选送业务骨干到上级医院进修深造学习。鼓励职工以各种形式参加本专业学历教育、继续教向，建立一支高素质、高技能的专业人才梯队。实施中心优质服务提升工作，结合开展的优质服务示范社区创建活动，建立符合中心服务特点及评价体系，全方位提升服务能力，改善服务质量。</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31648F3"/>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