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伊宁市喀尔墩乡伊勒力干也尔社区卫生服务站</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伊宁市喀尔墩乡伊勒力干也尔社区卫生服务站</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佟文芳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对城乡居民健康问题实施干预措施，减少主要健康危险因素，有效预防和控制主要传染病及慢性病，使城乡居民享有均等化的基本公共卫生服务，提高居民健康生活水平及健康意识，巩固现有项目，扩展服务内容，提高服务水平，突出重点，预防和控制重大疾病，有效预防和控制主要传染病及慢性病，使城乡居民享有均等化的基本公共卫生服务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7岁儿童健康管理率≥85%；孕产妇系统管理率≥90%；高血压患者管理人数2167人；2型糖尿病患者管理人数953人。老年人中医药健康管理率60%。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实施情况:截止2024年12月31日，基本达成目标，2型糖尿病患者管理人数958人，高血压患者管理人数2171人，使城乡居民享有均等化的基本公共卫生服务，提高了居民健康生活水平及健康意识。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资金投入情况：该项目年初预算数183.67万元，全年预算数183.67万元，该项目资金落实到位183.67万元。资金来源为年初部门预算。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资金使用情况：该项目年初预算数183.67万元，全年预算数183.67万元，全年执行数183.67万元，预算执行率为100%，用于：资金支付每次45.92万元，共支付4次。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7岁儿童健康管理率≥85%；孕产妇系统管理率≥90%；高血压患者管理人数2167人；2型糖尿病患者管理人数953人；老年人中医药健康管理率60%；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90%：7岁儿童健康管理率≥85%；孕产妇系统管理率≥90%；高血压患者管理人数2167人；2型糖尿病患者管理人数953人；老年人中医药健康管理率60%；居民规范化电子健康档案覆盖率≥90%；健康教育讲座12次以上。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2025年5月2日-5月5日，评价工作进入实施阶段，评价组收集绩效评价相关数据资料，并与项目实施负责人沟通，了解资金的内容、操作流程、管理机制、资金使用方向等情况，分析形成初步结论。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本项目严格按照科学公正、统筹兼顾、激励约束、公开透明的绩效评价原则，采用因素分析法分析评价方法，坚持计划标准绩效评价标准对本项目的立项、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项目立项依据伊州财政【2023】62号关于提前下达2024年中央基本公共卫生服务补助资金为依据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2、立项程序规范性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①项目绩效目标细化分解具体的绩效指标不明确，资金支付平均成本没有细化；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项目将项目绩效目标细化分解为具体的绩效指标，一级指标共4条，二级指标共6条，三级指标共10条,其中量化指标条数共10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本项目实际分配资金以伊州财政【2023】62号关于提前下达2024年中央基本公共卫生服务补助资金为依据进行资金分配为依据进行资金分配，预算资金分配依据充分，资金分配额度合理，与我单位实际需求相适应。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实际到位资金183.67万元，预算资金183.67万元，资金到位率100%。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年初预算数183.67万元，全年预算数183.67万元，全年执行数183.67万元，预算执行率为100%。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高血压患者管理人数，指标值：&gt;=2167人，业绩值2171人，指标完成率100.18%；指标2：2型糖尿病患者管理人数，指标值：&gt;=953人，业绩值958人，指标完成率100.52%；指标3：老年人中医药健康管理率，指标值：&gt;=60%，业绩值63.97%，指标完成率106.62%；指标4：资金支付次数，指标值：&gt;=4次，业绩值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2、质量指标：指标1：居民规范化电子健康档案覆盖率，指标值：&gt;=90%，业绩值97.43%，指标完成率108.26%；指标2：传染病和突发公共卫生事件报告率，指标值：&gt;=95%，业绩值100%，指标完成率105.26%；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1、经济成本指标：资金支付平均成本，指标值：＜=45.92万元/次，业绩值45.92万元/次，指标完成率100%；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2、社会效益指标：政策知晓率，指标值：&gt;=80%，业绩值80%，指标完成率100%。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1、依托社区卫生服务中心，家庭医生签约服务与公共卫生项目结合，针对高血压、糖尿病等重点人群开展个性化管理。推广电子健康档案动态更新，实现跨机构数据共享，减少重复工作。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2、利用大数据分析识别高危人群，精准推送健康干预措施（如疫苗接种提醒）。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3、针对孕产妇、儿童、老年人、慢性病患者等群体，开展定期随访、免费体检和健康教育。</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4、通过“医防融合”模式，将基本医疗与公共卫生服务结合（如慢病用药与健康指导同步）。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5、开展“健康讲座进社区”活动，普及健康知识，发动社区志愿者参与健康促进，提高居民健康素养。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的问题：老年人中医药健康管理率年初指标设置为大于等于60%,偏低，经过实际自评达到63.97%；居民满意度年初指标设置为80%,偏低，经过实际自评达到100%；居民规范化电子健康档案覆盖率年初设定指标值大于等于90%，实际完成97.43%，指标完成率108.26%；传染病和突发公共卫生事件报告率年初指标设置为大于等于95%,偏低，经过实际自评达到100%；项目绩效目标与实际工作内容具有一定偏差率。通过严格执行项目计划，对项目执行中出现情况及时调整，纠正偏差，业务精准设置绩效指标，保证项目及时完成。项目所设定的绩效目标是否依据充分，是否符合客观实际，用以反映和考核项目绩效目标与项目实施的相符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分析：基层服务能力薄弱，基层待遇低导致人才流失，医务人员数量不足、专业水平参差不齐，部分服务流于形式。宣传方式单一，缺乏针对性；服务设计未充分结合居民实际需求。指标设置不合理，难以适应新要求考核标准设计不合理，缺乏动态调整机制。</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基本公共卫生项目的实施成效显著，但在资金、人力、技术和管理层面仍需持续优化。未来需以居民健康需求为导向，通过政策创新和技术赋能，推动公共卫生服务从覆盖率向满意度升级，真正实现健康公平。</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DE35893"/>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