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工商联2020年三分之二绩效奖</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伊宁市工商业联合会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伊宁市工商业联合会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吴鹏</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 xml:space="preserve">    为深入贯彻《中华人民共和国公务员法》《事业单位人事管理条例》《新疆维吾尔自治区机关事业单位工作人员绩效考核管理办法》《伊宁市机关事业单位绩效考核与绩效奖励发放实施细则》等文件精神，全面落实机关事业单位绩效考核激励政策，保障干部职工合法薪酬待遇，充分调动干部职工履职尽责、担当作为的积极性、主动性和创造性，稳定干部队伍，提升工作效能，更好履行工商联团结服务民营经济、搭建政企沟通桥梁、加强商会建设、参政议政、优化营商环境等核心职能。本项目属于人员待遇保障类项目，资金专项用于补发兑现本单位干部职工2020年度绩效考核三分之二奖励。</w:t>
        <w:br/>
        <w:t>2、主要内容及实施情况</w:t>
        <w:br/>
        <w:t>主要内容：</w:t>
        <w:br/>
        <w:t>严格按照伊宁市组织部、财政局核定的绩效奖励标准与发放范围，对本单位2020年度在岗且符合发放条件的干部职工开展资格审核、绩效分值核算、奖励金额计算、内部公示、逐级审批、资金申请及发放兑现等工作，确保政策执行标准统一、程序规范、公开公正、不漏一人、不错一笔。计划完成发放2020年2/3绩效奖励，计划一次性发放6人。</w:t>
        <w:br/>
        <w:t>实施情况：</w:t>
        <w:br/>
        <w:t xml:space="preserve">    项目于2025年按照组织部统一部署启动实施，完成政策梳理、人员信息核对、绩效档案调取、奖励标准核算、内部公示无异议、报批备案、资金拨付、凭证归档等全流程工作。项目实施全程严格遵守人事、财务、内控管理制度，手续完备、资料齐全、流程合规，2025年底前已全面完成2020年三分之二绩效奖全部发放任务。完成发放2020年2/3绩效奖励，一次性发放6人。</w:t>
        <w:br/>
        <w:t></w:t>
        <w:br/>
        <w:t>3、资金投入和使用情况</w:t>
        <w:br/>
        <w:t>资金投入情况：该项目年初预算数0.00万元，全年预算数6.07万元，该项目资金落实到位6.07万元。资金来源为本级部门预算。</w:t>
        <w:br/>
        <w:t>资金使用情况：截止到2025年12月31日，本项目实际支付资金6.07万元，预算执行率为100%，主要用于：发放苗承玺绩效8667元、高欣绩效9334元、贾闰良绩效10000元、孙金起绩效9334元、梁敬鹏绩效9334元、党玉春绩效14000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1、总体目标：计划完成发放2020年三分之二绩效奖励，计划一次性发放6人。通过此项目的实施，将有效提高干部工作积极性，激发干部活力，促进各项工作高效落实。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此次我单位根据《财政支出绩效评价管理暂行办法》（财预〔2020〕10号）文件要求实施评价工作，本次评价对象为工商联2020年三分之二绩效奖项目，评价核心为项目的资金投入、产出及效益。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我单位根据本项目资金的性质和特点，本次项目支出绩效自评采用比较方法。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本项目立项依据充分、程序规范，绩效目标合理明确；资金足额到位、专款专用、拨付及时，预算执行率100%；组织实施管理制度健全、执行有效；项目按时完成全部发放任务，核算准确、无差错；有效落实激励政策，稳定了干部队伍，提升了工作积极性，干部职工满意度高。</w:t>
        <w:br/>
        <w:t>综合效益方面，项目社会效益表现突出，表现在：一是强化非公经济人士理想信念教育和政策宣讲引导，凝聚民营经济发展共识；二是搭建政企沟通桥梁，持续优化营商环境，畅通企业诉求反映渠道；三是引导会员企业积极参与光彩事业、公益慈善及脱贫攻坚工作，主动履行社会责任，彰显民营企业家担当，维护社会和谐稳定。</w:t>
        <w:br/>
        <w:t>（二）评价结论</w:t>
        <w:br/>
        <w:t>工商联2020年三分之二绩效奖项目评价得分情况：总分100分，项目决策占20分，得分20分；项目过程占20分，得分20分；项目产出占30分，得分20分；项目效益占30分，得分30分，项目总得分为100分。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宁市委组织部下发的《伊宁市绩效奖励发放办法（试行）》；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①项目有绩效目标；具体明确了“计划完成发放2020年三分之二绩效奖励，计划一次性发放6人。通过此项目的实施，将有效提高干部工作积极性，激发干部活力，促进各项工作高效落实的效果”。</w:t>
        <w:br/>
        <w:t>②项目绩效目标与实际工作内容具有相关性；</w:t>
        <w:br/>
        <w:t>③完成了对6人2020年三分之二绩效奖励金的发放，达到激发了干部的工作活力，促进了工作的落实，提高了干部工作的积极性的效益，项目预期产出效益和效果符合正常的业绩水平；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工商联2020年三分之二绩效奖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伊宁市绩效奖励发放办法》、《2020年度伊宁市绩效考核奖励申报表》，以“精准测算、按需配置”为原则，结合项目实施方案及具体任务清单开展，参考既往同类项目支出，测算支出6.07万元。预算编制过程经过业务科室、财务部门双重审核，无漏项、超项情况，预算内容与项目“工商联2020年三分之二绩效奖”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实际到位资金6.07万元，预算资金6.07万元，资金到位率100%。</w:t>
        <w:br/>
        <w:t>本指标满分为4.00分，根据评分标准得4分。</w:t>
        <w:br/>
        <w:t>（2）预算执行率</w:t>
        <w:br/>
        <w:t>全年预算数6.07万元，全年执行数6.07万元，预算执行率为100%。</w:t>
        <w:br/>
        <w:t>本指标满分为4.00分，根据评分标准得4分。</w:t>
        <w:br/>
        <w:t>（3）资金使用合规性</w:t>
        <w:br/>
        <w:t>本项目资金支出符合《预算法》、《政府会计制度》、《伊宁市工商业联合会单位资金管理办法》。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工商联绩效管理办法》、《伊宁市工商联收支业务管理制度》、《伊宁市工商联政府采购业务管理制度》《伊宁市工商联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工商联绩效管理办法》、《伊宁市工商联收支业务管理制度》、《伊宁市工商联政府采购业务管理制度》、《伊宁市工商联合同管理制度》等相关管理规定，项目具备完整规范的立项程序综上分析，项目执行遵守相关法律法规和相关管理规定。</w:t>
        <w:br/>
        <w:t>②干部花名册、财务支付凭证等资料齐全并及时归档。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1、数量指标：指标1：绩效发放人数，指标值：&gt;=6人，业绩值6人，指标完成率100%；</w:t>
        <w:br/>
        <w:t>指标2：绩效发放次数，指标值：=1次，业绩值1次，指标完成率100%。</w:t>
        <w:br/>
        <w:t>综上所述，本指标满分为7.00分，根据评分标准得7分。</w:t>
        <w:br/>
        <w:t>（2）质量达标率</w:t>
        <w:br/>
        <w:t>质量指标：指标1：绩效发放准确率，指标值：=100%，业绩值100%，指标完成率100%；指标2：资金使用合规率，指标值：=100%，业绩值100%，指标完成率100%。</w:t>
        <w:br/>
        <w:t>综上所述，本指标满分为7.00分，根据评分标准得7分。</w:t>
        <w:br/>
        <w:t>（3）完成及时性</w:t>
        <w:br/>
        <w:t>时效指标：指标1：绩效发放及时率，指标值：=100%，业绩值100%，指标完成率100%。</w:t>
        <w:br/>
        <w:t>综上所述，本指标满分为6.00分，根据评分标准得6分。</w:t>
        <w:br/>
        <w:t>成本节约率</w:t>
        <w:br/>
        <w:t>经济成本指标：指标1：绩效人均发放成本，指标值：&lt;=1.01万元/人，业绩值1.01万元/人，指标完成率100 %。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项目效益类指标由1个二级指标和2个三级指标构成，权重分30.00分，实际得分30分。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严格执行人事财政政策，统一标准、规范流程、公开公示，确保绩效奖发放公平公正。二是强化资金全流程管控，专款专用、精准核算、及时支付，保障资金安全高效。三是健全审核与档案管理机制，做到全程留痕、有据可查，提升项目规范化水平。四是坚持绩效导向，将奖励与考核挂钩，充分发挥激励作用，提升队伍凝聚力战斗力。</w:t>
        <w:br/>
        <w:t>（二）存在的问题及原因分析</w:t>
        <w:br/>
        <w:t>1、绩效管理方面：绩效目标设定笼统，缺乏量化细化指标，可考核性不强。绩效管理意识薄弱，重资金执行、轻目标管控，精细化管理不足。事中绩效动态监控缺失，事后自评流于形式，结果运用不足。</w:t>
        <w:br/>
        <w:t>2、内控及档案管理方面：绩效发放专项内控制度不完善，岗位权责划分不够清晰。人员不足导致内控体系建设滞后，未落实不相容岗位分离，分工制约机制不足。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严把资金发放审核关口。完善内控制度，建立人员信息跨部门联审核验机制，规范审核流程，杜绝不合规发放。规范绩效管理全流程。科学设置可量化、可考核的绩效指标；建立事中常态化监控，做实绩效自评，强化评价结果整改应用。</w:t>
        <w:br/>
        <w:t>2、健全内控与档案管理。完善绩效奖励发放专项管理细则，明晰岗位职责、落实岗位制衡；明确档案管理责任，做到资料齐全、及时规范归档。加强政策学习与部门联动。常态化开展绩效政策业务培训，统一执行口径；建立日常沟通协调机制，畅通信息共享渠道。</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