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艾办美居房地产开发有限公司项目补偿资金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伊宁市艾兰木巴格街道办事处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伊宁市艾兰木巴格街道办事处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莎维莉·阿克木汗</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当前我国大力推进城市更新与老旧城区提质升级，旧城改造作为重大民生工程和城市发展重点任务，契合国家城镇更新政策导向与地方城市规划发展要求。片区多为建成年代久远的老旧楼栋，房屋结构老化、墙体开裂、屋面渗漏，消防安全隐患突出。项目实施后，可彻底消除建筑与消防安全隐患，完善道路、管网等基础配套，优化人居环境卫生面貌，补齐公共服务设施短板，有效改善群众居住条件和生活环境，同时优化城区空间布局、提升城市品位形象，激活片区发展活力，切实增进民生福祉，推动城市建设高质量发展。</w:t>
        <w:br/>
        <w:t>2、主要内容及实施情况</w:t>
        <w:br/>
        <w:t>主要内容：</w:t>
        <w:br/>
        <w:t>2015年8月，按照伊市纪要【2015】35号第八次建委会纪要内容，将天山街以南、天山街二巷、第九小学以西北侧约11.72亩，纳入2015年旧城改造计划，该企业采用自主征收置换方式，对该地块60户土地房屋产权实施征收，晨光家园、新峰大厦项目根据《伊宁市第十六届人民政府2014年度第五次常委会议》列为旧城改造项目。项目旨在进一步完善城市功能布局，提升城区人居环境品质，保障群众居住安全。该项目土地出让金已全部缴纳。美居佳苑项目旧城改造项目旧城改造补偿资金总 1685.606万元，已由艾兰木巴格街道2016年拨付1529.6158 万元，剩余155.9902 万元。三个项目总计未返还金额:782.0262万元。现向人民政府申请三个项目总计未返还金额782.0262万元。</w:t>
        <w:br/>
        <w:t>实施情况：</w:t>
        <w:br/>
        <w:t>已完成向伊犁美居房地产开发有限公司支付补偿资金，通过项目的实施，保障了企业正常工作，改善了征收群众生活水平。</w:t>
        <w:br/>
        <w:t>3、资金投入和使用情况</w:t>
        <w:br/>
        <w:t>资金投入情况：该项目年初预算数0万元，全年预算数782.03万元，该项目资金落实到位782.03万元。资金来源为本级部门预算。</w:t>
        <w:br/>
        <w:t>资金使用情况：截止到2025年12月31日，本项目实际支付资金782.03万元，预算执行率为100%，主要用于：支付晨光家园项目费用466.04万元、新峰大厦项目费用160万元、美居佳苑一期二期项目费用155.99万元。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1、总体目标：根据关于申请拨付伊犁美居房地产开发有限公司补偿资金的报告 伊宁市艾办【2025】16号文件，根据《伊宁市第十六届人民政府 2014 年度第五次常务会议》列为旧城改造项目，目前该项目土地出让金已文件全部缴纳。美居佳苑项目旧城改造项目旧城改造补偿资金总 1685.606万元，已由艾兰木巴格街道2016年拨付1529.6158 万元，剩余155.9902 万元。三个项目总计未返还金额:782.0262万元。现向人民政府申请三个项目总计未返还金额782.0262万元。保障企业正常工作，改善征收群众生活水平。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</w:t>
        <w:br/>
        <w:t>艾办美居房地产开发有限公司项目补偿资金项目，评价核心为项目的资金投入、产出及效益。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我单位根据本项目资金的性质和特点，本次项目支出绩效自评采用成本效益分析法、因素分析法。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综合效益方面，项目社会效益表现突出，表现在：通过项目的实施，发挥了推动城市更新与市容提升效益，保障了企业正常工作，改善了征收群众生活水平，提升了居民幸福感。</w:t>
        <w:br/>
        <w:t>（二）评价结论</w:t>
        <w:br/>
        <w:t>艾办美居房地产开发有限公司项目补偿资金项目评价得分情况：总分100分，项目决策占20分，得分18分；项目过程占20分，得分20分；项目产出占30分，得分30分；项目效益占30分，得分30分，项目总得分为98分。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项目立项符合《国务院办公厅关于规范国有土地使用权出让收支管理的通知》（国办发 2026 100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①项目有绩效目标；根据关于申请拨付伊犁美居房地产开发有限公司补偿资金的报告 伊宁市艾办【2025】16号文件，根据《伊宁市第十六届人民政府 2014 年度第五次常务会议》列为旧城改造项目，目前该项目土地出让金已文件全部缴纳。美居佳苑项目旧城改造项目旧城改造补偿资金总 1685.606万元，已由艾兰木巴格街道2016年拨付1529.6158 万元，剩余155.9902 万元。三个项目总计未返还金额:782.0262万元。现向人民政府申请三个项目总计未返还金额782.0262万元。保障企业正常工作，改善征收群众生活水平。</w:t>
        <w:br/>
        <w:t>②项目绩效目标与实际工作内容具有相关性；</w:t>
        <w:br/>
        <w:t>③完成了征收补偿开发商个数1家，涉及项目个数3个，达到保障企业正常工作效益，项目预期产出效益和效果符合正常的业绩水平；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①将项目绩效目标分解为具体的绩效指标；质量指标、时效指标、成本指标未进行细化。</w:t>
        <w:br/>
        <w:t>②通过清晰、可衡量的指标值予以体现；</w:t>
        <w:br/>
        <w:t>③与项目目标任务数或计划数相对应。</w:t>
        <w:br/>
        <w:t>艾办美居房地产开发有限公司项目补偿资金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综上所述，本指标满分为3.00分，根据评分标准得1分，本项目的绩效目标明确。</w:t>
        <w:br/>
        <w:t>3、资金投入</w:t>
        <w:br/>
        <w:t>（1）预算编制科学性</w:t>
        <w:br/>
        <w:t>本项目预算编制伊宁市住建局【2024】320号文件内容，涉及艾兰木巴格街道辖区对伊犁美居房地产开发有限公司建设项目3处；美居房地项目其中未返还项目：晨光佳苑466.036万元、美居佳苑一期二期155.9902万元、新峰大厦160万元，总计未返还金额：782.0262万元，以“精准测算、按需配置”为原则，结合项目实施方案及具体任务清单开展，测算支出782.03万元。预算编制过程经过业务科室、财务部门双重审核，无漏项、超项情况，预算内容与项目“保障企业正常工作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本项目实际分配资金以《关于申请艾办美居房地产开发有限公司项目补偿资金项目资金的请示》为依据进行资金分配，预算资金分配依据充分，资金分配额度合理，与我单位实际需求相适应。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实际到位资金782.03万元，预算资金782.03万元，资金到位率100%。</w:t>
        <w:br/>
        <w:t>本指标满分为4.00分，根据评分标准得4分。</w:t>
        <w:br/>
        <w:t>（2）预算执行率</w:t>
        <w:br/>
        <w:t>全年预算数782.03万元，全年执行数782.03万元，预算执行率为100%。</w:t>
        <w:br/>
        <w:t>本指标满分为4.00分，根据评分标准得4分。</w:t>
        <w:br/>
        <w:t>（3）资金使用合规性</w:t>
        <w:br/>
        <w:t>本项目资金支出符合《预算法》、《政府会计制度》、《伊宁市艾兰木巴格街道办事处资金管理办法》。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艾兰木巴格街道办事处收支业务管理制度》、《伊宁市艾兰木巴格街道办事处政府采购业务管理制度》、《伊宁市艾兰木巴格街道办事处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艾兰木巴格街道办事处收支业务管理制度》、《伊宁市艾兰木巴格街道办事处政府采购业务管理制度》、《伊宁市艾兰木巴格街道办事处合同管理制度》等相关管理规定，项目具备完整规范的立项程序综上分析，项目执行遵守相关法律法规和相关管理规定。</w:t>
        <w:br/>
        <w:t>②申请拨付伊犁美居房地产开发有限公司补偿资金的报告、收据、国库集中支付凭证等资料齐全并及时归档。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1、数量指标：指标1：征收补偿开发商个数，指标值：=1家，业绩值1家，指标完成率100%；</w:t>
        <w:br/>
        <w:t>指标2：涉及项目个数，指标值：=3个，业绩值3个，指标完成率100%。</w:t>
        <w:br/>
        <w:t>综上所述，本指标满分为7.00分，根据评分标准得7分。</w:t>
        <w:br/>
        <w:t>（2）质量达标率</w:t>
        <w:br/>
        <w:t>质量指标：指标1：征收补偿开发商覆盖率，指标值：=100%，业绩值100%，指标完成率100%。</w:t>
        <w:br/>
        <w:t>综上所述，本指标满分为7.00分，根据评分标准得7分。</w:t>
        <w:br/>
        <w:t>（3）完成及时性</w:t>
        <w:br/>
        <w:t>时效指标：指标1：征收补偿支付及时率，指标值：=100%，业绩值100%，指标完成率100%。</w:t>
        <w:br/>
        <w:t>综上所述，本指标满分为6.00分，根据评分标准得6分。</w:t>
        <w:br/>
        <w:t>成本节约率</w:t>
        <w:br/>
        <w:t>经济成本指标：指标1：征收补偿开发商费用成本，指标值：&lt;=782.03万元/家，业绩值782.03万元/家，指标完成率100%。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②社会效益指标：指标1：保障企业正常工作，指标值：=100%，业绩值=100%，指标完成率100%。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满意度指标：指标1：征收补偿开发商满意度，指标值：=100%，业绩值100%，指标完成率100%。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始终把政策合规作为征收补偿工作的前提，严格依据国家及地方征收相关法律法规，制定科学、统一、透明的征收补偿方案，明确补偿标准、安置方式、奖励政策、实施流程等核心内容。坚持一把尺子量到底、一个标准执行到底，杜绝随意调整、暗箱操作，确保政策执行不走样、不偏差。同时提前做好政策解读、风险评估、合法性审查，从源头保障征收工作合法合规、有理有据，为项目顺利推进提供制度保障。</w:t>
        <w:br/>
        <w:t>全面推行阳光征收、透明补偿，将征收范围、补偿标准、安置房源、评估结果、奖励办法、工作流程、监督电话等全部向社会公开公示，做到全过程可查询、可监督。坚持“公开是常态、不公开是例外”，主动接受群众、社会及纪检部门监督，有效消除群众疑虑、化解信息不对称矛盾，以公开赢信任、以透明顺民心，从根本上减少争议、信访与矛盾。</w:t>
        <w:br/>
        <w:t>（二）存在的问题及原因分析</w:t>
        <w:br/>
        <w:t>业务能力参差不齐：部分一线工作人员对征收政策、法律条款、补偿核算等内容掌握不扎实，处理复杂问题时缺乏经验，导致工作效率低、争议频发。</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针对一线征收人员、复核人员、政策审核人员，分别制定专项培训计划，重点围绕《土地管理法》《国有土地上房屋征收与补偿条例》及地方配套政策、补偿核算标准、争议调解技巧开展系统培训，确保政策理解无偏差。</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