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河南建业二期项目征收补偿款</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伊宁市墩买里街道办事处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伊宁市墩买里街道办事处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米瑞</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2026年04月29日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伊宁市城市更新办2021年发布的建业二期征收公告，墩买里街道办事处受伊宁市政府委托，聚焦砖瓦厂片区人居环境提升，以保障和改善民生为出发点和落脚点，着力打造舒适宜居的生活环境，让群众切实共享城市更新发展成果，不断提升幸福感与获得感。我街道办事处依据城市更新改造政策，具体实施了砖瓦厂片区河南建业二期项目征收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计划完成砖瓦厂片区河南建业二期项目国有土地上房屋征收与补偿工作，包括征收调查、评估、协议签订、补偿资金核算等环节。完成10户征收协议签订工作。按照评估价值核算，10户征收补偿款涉及土地面积2766.59平方米、房屋面积2708.18平方米，补偿资金共计20371225.00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严格按照城市更新改造相关政策及征收公告要求，规范开展征收全流程工作，保障被征收群众合法权益。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依托征收改造，推进片区人居环境改善，为后续城市更新项目实施奠定基础。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已按程序完成10户被征收户的征收调查、评估及征收协议签订工作，征收流程公开透明。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已按评估结果完成10户征收补偿款核算，补偿资金总额20371225.00元，资金测算依据充分、数据准确。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征收工作整体平稳推进，未发生重大信访矛盾或违规争议事项，为项目后续实施创造了良好条件。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资金投入情况：该项目年初预算数0万元，全年预算数2037.12万元，该项目资金落实到位2037.12万元。资金来源为本级部门预算。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2037.12万元，预算执行率为100.00%，主要用于：1月份实际支付5户费用1361.16万元、2月份实际支付1户费用36万元、3月份实际支付2户费用101.22万元、4月份实际支付2户费用538.74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1、总体目标：该项目涉及拆迁户数10户，涉及拆迁补偿面积土地面积2766.59平方米，房屋面积2708.18平方米。通过项目实施，促进城市更新。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此次我单位根据《财政支出绩效评价管理暂行办法》（财预〔2020〕10号）文件要求实施评价工作，本次评价对象为河南建业二期项目征收补偿款项目，评价核心为项目的资金投入、产出及效益。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突出，表现在：聚焦砖瓦厂片区人居环境提升，以保障和改善民生为出发点和落脚点，着力打造舒适宜居的生活环境，让群众切实共享城市更新发展成果，不断提升幸福感与获得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河南建业二期项目征收补偿款项目评价得分情况：总分100分，项目决策占20分，得分18分；项目过程占20分，得分20分；项目产出占30分，得分30分；项目效益占30分，得分30分，项目总得分为98分。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项目决策类指标由3个二级指标和6个三级指标构成，权重分20.00分，实际得分18分。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依据《国有土地上房屋征收与补偿条例》（国务院第590号令、《新疆维吾尔自治区实施《国有土地上房屋征收与补偿条例》办法》（新疆维吾尔自治区人民政府令第187号等有关规定；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①项目有绩效目标；具体明确了：补偿拆迁户数10户，涉及拆迁补偿面积土地面积2766.59平方米，房屋面积2708.18平方米。通过项目实施，促进了城市更新的核心内容。目标设定依据充分。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③完成了河南建业二期项目，已补偿拆迁户数10户，涉及拆迁补偿面积土地面积2766.59平方米，房屋面积2708.18平方米。通过项目实施，促进了城市更新，项目预期产出效益和效果符合正常的业绩水平；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①将项目绩效目标分解为具体的绩效指标；质量指标、时效指标未细化设置指标。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河南建业二期项目征收补偿款项目将项目绩效目标细化分解为具体的绩效指标，一级指标共3条，二级指标共5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综上所述，本指标满分为3.00分，根据评分标准得1.00分，本项目的绩效目标明确。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通过国有土地上房屋征收与补偿相关政策文件、补偿标准，以“精准测算、按需配置”为原则，结合项目实施方案及具体任务清单开展，参考既往同类项目支出，测算支出2037.12万元。预算编制过程经过业务科室、财务部门双重审核，无漏项、超项情况，预算内容与项目“房屋征收补偿安置核心任务”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w:t>
      </w:r>
      <w:bookmarkStart w:id="0" w:name="_GoBack"/>
      <w:bookmarkEnd w:id="0"/>
      <w:r>
        <w:rPr>
          <w:rStyle w:val="18"/>
          <w:rFonts w:hint="eastAsia" w:ascii="楷体" w:hAnsi="楷体" w:eastAsia="楷体"/>
          <w:spacing w:val="-4"/>
          <w:sz w:val="32"/>
          <w:szCs w:val="32"/>
        </w:rPr>
        <w:t>《国有土地上房屋征收与补偿条例》和《新疆维吾尔自治区实施&lt;国有土地上房屋征收与补偿条例&gt;办法》》为依据进行资金分配，预算资金分配依据充分，资金分配额度合理，与我单位实际需求相适应。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项目过程管理类指标由2个二级指标和5个三级指标构成，权重分20.00分，实际得分20.00分。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实际到位资金2037.12万元，预算资金2037.12万元，资金到位率100.00%。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全年预算数2037.12万元，全年执行数2037.12万元，预算执行率为100.00%。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①资金的拨付有完整的审批程序和手续，有完整的支付凭证等佐证资料。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我单位已制定《党委重大问题民主决策制度》、《收支两条线制度》，上述已建立的制度均符合行政事业单位内控管理要求，财务和业务管理制度合法、合规、完整，本项目执行符合上述制度规定。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①该项目的实施符合《党委重大问题民主决策制度》、《收支两条线制度》等相关管理规定，项目具备完整规范的立项程序综上分析，项目执行遵守相关法律法规和相关管理规定。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②市财政资金审批单、城市更新改造房屋征收补偿安置协议、收据、财务支付凭证等资料齐全并及时归档。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项目产出类指标由4个二级指标和4个三级指标构成，权重分30.00分，实际得分30.00分。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1、数量指标：指标1：涉及拆迁户数 ，指标值：=10户，业绩值 10户，指标完成率 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 涉及拆迁补偿土地面积，指标值：= 2766.59 平方米，业绩值2766.59平方米 ，指标完成率 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指标3： 涉及拆迁补偿房屋面积 ，指标值： =2708.17平方米，业绩值 =2708.17平方米，指标完成率 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质量指标：指标1：资金使用合规率，指标值：=100%，业绩值100% ，指标完成率 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时效指标：指标1：资金支付及时率，指标值：=100%，业绩值100%，指标完成率100%；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综上所述，本指标满分为6.00分，根据评分标准得6.00分。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经济成本指标：指标1：拆建补偿户均成本，指标值：&lt;=203.71万元/户，业绩值203.71万元/户，指标完成率100%；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综上所述，本指标满分为10.00分，根据评分标准得10.00分。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项目效益类指标由1个二级指标和2个三级指标构成，权重分30.00分，实际得分30.00分。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②社会效益指标：指标1：促进城市更新 ，指标值： 100% ，业绩值100% ，指标完成率100%。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综上所述，本指标满分为30.00分，根据评分标准得30.00分。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无此项指标。</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本次项目坚持统筹规划、精准实施，严格规范资金管理，有效降低融资成本与财政风险。通过健全闭环管控机制，强化绩效导向，压实各方责任，保障财政平稳运行积累可复制实践经验。</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体现为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健全项目全周期管理机制，明确责任分工，强化过程管控与跟踪督办。完善绩效评价与风险防控体系，规范流程标准，提升项目实施质效，确保化债目标落地。</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32E1BA9"/>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2026-07-23T07:44:55Z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