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喀办解放南路以西、青年街以东项目片区房屋征收补偿项目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伊宁市喀赞其街道办事处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伊宁市喀赞其街道办事处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立足当下，保护提升工程是赓续文脉、惠及民生的答卷，更是从安宁走向昌盛的关键。宁远古城地处伊宁老城核心，拥有众多历史建筑与文物遗存，是城市文脉与民族交融的核心，但道路狭窄、基础设施陈旧、业态单一等问题，制约了民生提升与文旅潜力释放。根据市委市政府的工作安排，要对宁远古城片区实施保护提升。通过重现古城风貌，擦亮了城市名片，更铭记了伊宁与祖国不可分割的血脉；商户期盼配套完善破解经营难题，增收信心更足；周边群众期待效仿六星街改造，在家门口吃上旅游饭。为顺利按期完成保护提升，需对解放南路以西、青年街以东项目片区房屋进行征收补偿。</w:t>
        <w:br/>
        <w:t>2、主要内容及实施情况</w:t>
        <w:br/>
        <w:t>主要内容：</w:t>
        <w:br/>
        <w:t>计划征迁27户，征收土地面积8127.46平方米，征迁房屋面积5797.54平方米。项目旨在进一步为改善辖区居民居住环境，提升宁远古城风貌，成为文脉历史传承标杆、民族团结样板、宜居宜业福地，续写宁远从安定到兴盛的崭新篇章。</w:t>
        <w:br/>
        <w:t>实施情况：</w:t>
        <w:br/>
        <w:t>已完成征迁27户，征收土地面积8127.46平方米，征迁房屋面积5797.54平方米。通过实施本项目改善辖区居民居住环境，提升宁远古城风貌。</w:t>
        <w:br/>
        <w:t>3、资金投入和使用情况</w:t>
        <w:br/>
        <w:t>资金投入情况：该项目年初预算数0万元，全年预算数4549.09万元，该项目资金落实到位4549.09万元。资金来源为本级部门预算。</w:t>
        <w:br/>
        <w:t>资金使用情况：截止到2025年12月31日，本项目实际支付资金4549.09万元，预算执行率为100.00%，主要用于：征迁款4549.09万元，共27户征迁户，平均每户32458.72元。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1、总体目标：根据伊宁市喀办解放南路以西、青年街以东项目片区房屋征收补偿资金项目实施方案，如期完成27户的征收补偿；通过此项目的实施，改善辖区居民生活环境，提高群众满意度。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喀办解放南路以西、青年街以东项目片区房屋征收补偿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极大地改善了辖区居民居住环境；铭记了伊宁与祖国不可分割的血脉；商户期盼配套完善破解经营难题，增收信心更足；周边群众期待效仿六星街改造，在家门口吃上旅游饭。</w:t>
        <w:br/>
        <w:t>（二）评价结论</w:t>
        <w:br/>
        <w:t>喀办解放南路以西、青年街以东项目片区房屋征收补偿项目评价得分情况：总分100分，项目决策占20分，得分18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项目决策类指标由3个二级指标和6个三级指标构成，权重分20.00分，实际得分18.00分。</w:t>
        <w:br/>
        <w:t>1、项目立项</w:t>
        <w:br/>
        <w:t>（1）立项依据充分性</w:t>
        <w:br/>
        <w:t>项目立项符合《国有土地上房屋征收与补偿条例》（国务院第590号令、《新疆维吾尔自治区实施《国有土地上房屋征收与补偿条例》办法》（新疆维吾尔自治区人民政府令第187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①项目有绩效目标；具体明确了“完成27户征迁任务、达成提升辖区居民居住环境效果”的核心内容。目标设定依据充分。</w:t>
        <w:br/>
        <w:t>②项目绩效目标与实际工作内容具有相关性；</w:t>
        <w:br/>
        <w:t>③完成了27户征迁任务，达到提升辖区居民居住环境效果，项目预期产出效益和效果符合正常的业绩水平；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①将项目绩效目标分解为具体的绩效指标；质量指标、时效指标未细化设置。</w:t>
        <w:br/>
        <w:t>②通过清晰、可衡量的指标值予以体现；</w:t>
        <w:br/>
        <w:t>③与项目目标任务数或计划数相对应。</w:t>
        <w:br/>
        <w:t>喀办解放南路以西、青年街以东项目片区房屋征收补偿项目将项目绩效目标细化分解为具体的绩效指标，一级指标共3条，二级指标共5条，三级指标共7条，其中量化指标条数共6条，所有绩效指标均通过清晰、可衡量的指标值予以体现，并且做到了与项目目标任务数或计划数相对应。</w:t>
        <w:br/>
        <w:t>综上所述，本指标满分为3.00分，根据评分标准得1.00分，本项目的绩效目标明确。</w:t>
        <w:br/>
        <w:t>3、资金投入</w:t>
        <w:br/>
        <w:t>（1）预算编制科学性</w:t>
        <w:br/>
        <w:t>本项目预算编制根据第三方测绘面积，按照国有土地上房屋征收与补偿相关政策文件、补偿标准，以“精准测算、按需配置”为原则，结合项目实施方案及具体任务清单开展，参考既往同类项目支出，测算支出4549.09万元。预算编制过程经过业务科室、财务部门双重审核，无漏项、超项情况，预算内容与项目“如期完成27户的征收补偿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本项目实际分配资金以《关于申请喀办解放南路以西、青年街以东项目片区房屋征收补偿资金的请示》为依据进行资金分配，预算资金分配依据充分，资金分配额度合理，与我单位实际需求相适应。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实际到位资金4549.09万元，预算资金4549.09万元，资金到位率100.00%。</w:t>
        <w:br/>
        <w:t>本指标满分为4.00分，根据评分标准得4.00分。</w:t>
        <w:br/>
        <w:t>（2）预算执行率</w:t>
        <w:br/>
        <w:t>全年预算数4549.09万元，全年执行数4549.09万元，预算执行率为100.00%。</w:t>
        <w:br/>
        <w:t>本指标满分为4.00分，根据评分标准得4.00分。</w:t>
        <w:br/>
        <w:t>（3）资金使用合规性</w:t>
        <w:br/>
        <w:t>本项目资金支出符合《预算法》、《政府会计制度》、《喀赞其街道办事处资金管理办法》。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喀赞其街道办事处收支业务管理制度》、《喀赞其街道办事处政府采购业务管理制度》、《喀赞其街道办事处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喀赞其街道办事处收支业务管理制度》、《喀赞其街道办事处政府采购业务管理制度》、《喀赞其街道办事处合同管理制度》等相关管理规定，项目具备完整规范的立项程序综上分析，项目执行遵守相关法律法规和相关管理规定。</w:t>
        <w:br/>
        <w:t>②项目合同书、财务支付凭证、测绘报告、评估报告等资料齐全并及时归档。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1、数量指标：指标1：征迁户户数，指标值：&gt;=27户，业绩值27户，指标完成率100%；</w:t>
        <w:br/>
        <w:t>指标2：征迁土地面积，指标值：&gt;=8127.46平方米，业绩值8127.46平方米，指标完成率100%。</w:t>
        <w:br/>
        <w:t>指标3：征迁房屋面积，指标值：&gt;=5797.54平方米，业绩5797.54平方米，指标完成率100%。</w:t>
        <w:br/>
        <w:t>综上所述，本指标满分为7.00分，根据评分标准得7.00分。</w:t>
        <w:br/>
        <w:t>（2）质量达标率</w:t>
        <w:br/>
        <w:t>质量指标：指标1：征迁资金支付准确率，指标值：=100%，业绩值100%，指标完成率100%；</w:t>
        <w:br/>
        <w:t>综上所述，本指标满分为7.00分，根据评分标准得7.00分。</w:t>
        <w:br/>
        <w:t>（3）完成及时性</w:t>
        <w:br/>
        <w:t>时效指标：指标1：征迁款支付及时率，指标值：=100%，业绩值100%，指标完成率100%。</w:t>
        <w:br/>
        <w:t>综上所述，本指标满分为6.00分，根据评分标准得6.00分。</w:t>
        <w:br/>
        <w:t>成本节约率</w:t>
        <w:br/>
        <w:t>经济成本指标：指标1：征迁土地及房屋平均成本，指标值：&lt;=32458.72元/平方米，业绩值32458.72元/平方米，指标完成率100%。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②社会效益指标：指标1：辖区居民居住环境，指标值：有效提升，业绩值基本达成目标，指标完成率100%。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在解放南路以西、青年街以东项目片区房屋征收补偿项目组织上，成立专项征迁工作专班，明确了各岗位的职责分工，统筹协调社区、部门联动推进征迁工作，提前摸排底数、制定实施方案，保障项目顺利实施。在日常管理上，严格执行征迁政策标准，全程公开补偿范围、核算标准及安置方案，坚持阳光征迁，主动接受群众监督，化解矛盾纠纷。</w:t>
        <w:br/>
        <w:t>（二）存在的问题及原因分析</w:t>
        <w:br/>
        <w:t>一是现实推进难题，项目范围内部分商户、住户原有房屋租赁合同尚未到期，租期与项目征迁实施时间存在冲突，承租方搬迁意愿不强，协商腾退难度大，增加了现场清退和施工进场阻力；同时部分产权关系复杂，多方意见难以统一，沟通协调耗时较长。</w:t>
        <w:br/>
        <w:t>二是历史遗留问题，部分建筑物建设年代久远，手续资料不完善，权属界定、面积认定存在争议；过往遗留的邻里地界、经济往来等旧纠纷，在项目实施中集中显现，影响工作推进。</w:t>
        <w:br/>
        <w:t>三是客观制约因素，受现有租赁合约、安置配套条件、群众实际居住经营需求等客观现实限制，无法一次性快速完成腾空搬迁，加之政策衔接、群众诉求多元化等因素，给项目整体时序推进带来一定压力。</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针对租赁合同未到期问题，主动提前与租赁商户、住户逐一对接沟通，耐心宣讲项目政策和实施意义，采取协商提前解约、适当给予合理搬迁补助、过渡期安置协调等方式，柔性化解租期冲突难题，平稳推进腾退搬迁。</w:t>
        <w:br/>
        <w:t>2.？妥善化解历史遗留问题，牵头联合相关部门梳理老旧建筑手续、权属资料，依规依法明晰产权界定；对邻里地界、过往遗留纠纷建立台账，专人跟进调解，逐一销号处置，减少矛盾阻滞。</w:t>
        <w:br/>
        <w:t>3.？统筹应对客观制约因素，科学优化项目实施时序，合理错峰安排搬迁、拆除及施工进度；完善安置配套保障，多渠道协调过渡房源，兼顾群众居住和经营实际需求，提升群众配合度。</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