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伊宁市第三十三小学防控地下室建设项目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伊宁市第二十二中学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伊宁市第二十二中学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2026年05月13日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深入贯彻《中华人民共和国人民防空法》相关规定，落实长期准备、重点建设、平战结合的人防工作方针，严格执行国家、省、市关于校园人防工程建设、校舍安全及国防动员体系建设的各项政策要求。学校作为人员高度密集的公共场所，是应急避险、防空防灾的重点保障区域，建设标准化防空地下室，是完善校园安全防护体系、筑牢国防人防基础、保障广大师生生命财产安全的刚需工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当前，我校现有人防防护设施配套不足、功能不完善，缺乏规范的应急掩蔽与疏散避险空间，难以满足战时防空袭掩蔽、平时应对地震、极端灾害、突发事件应急避险的实际需求。同时，随着办学规模持续扩大，校园基础配套、应急保障能力短板逐步凸显，缺少符合规范的防空地下室，既不符合人防工程应建必建的硬性规定，也制约校园安全标准化、规范化建设进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在此背景下，为补齐校园人防设施短板，提升城市及校园综合防护能力，健全应急防灾避险体系，兼顾战时防空、平时防灾、日常便民多重功能（可兼顾校园地下停车、物资储备、应急实训等综合利用），启动实施学校防空地下室建设项目。项目实施对强化校园安全保障、落实人防法规要求、完善城市人防工程布局、提升师生应急避险能力具有重要的现实意义和长远战略意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计容建筑面积为6273.08m，用地面积46677.49m，容积率0.57，用也性质为公共管理与公共服务设施用地。根据《新疆维吾尔自治区人民防空工程建设行政审批管理规定》(新国动规(2023)2号)应建防空地下室面积273.08m2X6%=376.38m。根据《新疆维吾尔自治区城市防空地下室易地建设收费办法》(新发改规(2021)10号)第五条规定:应配建人防工程面积小于300平方米，可允许建设单位申请易地建设人防工程，同时根据第八条规定:新建学校(幼儿园、小学、初中、高中和大学)教学楼(包含但不限于教室、实验楼、公共教学用房、教师办公场所以教学活动为主的单体多层教学综合楼项目)，减半收取;应缴金额为376.38m2X600元/m2=225828元，减半应缴金额为112914元，现阶段先行办理规划手续，缴清后核发人防行政许可决定书，办理施工许可证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已完成缴纳人防经费112914元，缴纳面积为376.38平方米，通过实施本项目，提升了我校的校园应急体系，加强了我校的校园安全和环境。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资金投入情况：该项目年初预算数0万元，全年预算数11.29万元，该项目资金落实到位11.29万元。资金来源为本级部门预算。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资金使用情况：截止到2025年12月31日，本项目实际支付资金11.29万元，预算执行率为100.00%，主要用于：缴纳人防经费112914元。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1、总体目标：新建防空地下室1个，面积为376.38平方米，缴纳人防经费。完善校园应急体系，加强校园安全和环境。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此次我单位根据《财政支出绩效评价管理暂行办法》（财预〔2020〕10号）文件要求实施评价工作，本次评价对象为伊宁市第三十三小地下室建设项目，评价核心为项目的资金投入、产出及效益。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综合效益方面，项目社会效益表现突出，表现在：项目实施对强化校园安全保障、落实人防法规要求、完善城市人防工程布局、提升师生应急避险能力具有重要的现实意义和长远战略意义。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伊宁市第三十三小地下室建设项目评价得分情况：总分100分，项目决策占20分，得分20分；项目过程占20分，得分20分；项目产出占30分，得分30分；项目效益占30分，得分30分，项目总得分为100分。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项目立项符合《中华人民共和国人民防空法》</w:t>
      </w:r>
      <w:bookmarkStart w:id="0" w:name="_GoBack"/>
      <w:bookmarkEnd w:id="0"/>
      <w:r>
        <w:rPr>
          <w:rStyle w:val="18"/>
          <w:rFonts w:hint="eastAsia" w:ascii="楷体" w:hAnsi="楷体" w:eastAsia="楷体"/>
          <w:spacing w:val="-4"/>
          <w:sz w:val="32"/>
          <w:szCs w:val="32"/>
        </w:rPr>
        <w:t>、《新疆维吾尔自治区实施（人民防空法）办法》；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①项目有绩效目标；具体明确了“新建防空地下室1个，面积为376.38平方米，缴纳人防经费。完善校园应急体系，加强校园安全和环境。”的核心内容。目标设定依据充分。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③已完成缴纳人防经费，缴纳面积为376.38平方米，通过实施本项目，提升了我校的校园应急体系，加强了我校的校园安全和环境，项目预期产出效益和效果符合正常的业绩水平；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第三十三小地下室建设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本项目预算编制根据伊宁市住房和城乡建设局缴纳防空地下室易地建设费通知书 伊市人防征易费字【2025】28号，以“精准测算、按需配置”为原则，结合项目实施方案及具体任务清单开展，参考既往同类项目支出，测算支出11.29万元。预算编制过程经过业务科室、财务部门双重审核，无漏项、超项情况，预算内容与项目“缴纳防空地下室易地建设费”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本项目实际分配资金以伊宁市住房和城乡建设局缴纳防空地下室易地建设费通知书 伊市人防征易费字【2025】28号为依据进行资金分配，预算资金分配依据充分，资金分配额度合理，与我单位实际需求相适应。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实际到位资金11.29万元，预算资金11.29万元，资金到位率100%。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全年预算数11.29万元，全年执行数11.29万元，预算执行率为100%。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我单位已制定《伊宁市第二十二中学财务管理制度》，上述已建立的制度均符合行政事业单位内控管理要求，财务和业务管理制度合法、合规、完整，本项目执行符合上述制度规定。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综上所述，本指标满分为4.00分，根据评分标准得3分,本项目的资金使用合规。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①该项目的实施符合《伊宁市第二十二中学财务管理制度》等相关管理规定，项目具备完整规范的立项程序综上分析，项目执行遵守相关法律法规和相关管理规定。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②项目缴费通知单、财务支付凭证等资料齐全并及时归档。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1、数量指标：指标1：缴纳人防经费项目个数，指标值：=1个，业绩值1个，指标完成率100%；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  应建防控地下室建设面积，指标值：=376.38平方米，业绩值376.38平方米，指标完成率100%。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质量指标：指标1：新建防空地下室达标率，指标值：  =100% ，业绩值100%，指标完成率100%；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时效指标：指标1：缴纳经费及时率，指标值：=100%，业绩值100%，指标完成率100%。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经济成本指标：指标1：缴纳人防经费平均成本，指标值：&lt;=300元/平方米，业绩值300元/平方米。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②社会效益指标：指标1：改善校园安全环境，指标值：有效改善，业绩值有效改善 ，指标完成率100%。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满意度指标：指标1：家长满意率，指标值：</w:t>
      </w:r>
      <w:r>
        <w:rPr>
          <w:rStyle w:val="18"/>
          <w:rFonts w:hint="eastAsia" w:ascii="楷体" w:hAnsi="楷体" w:eastAsia="楷体"/>
          <w:spacing w:val="-4"/>
          <w:sz w:val="32"/>
          <w:szCs w:val="32"/>
        </w:rPr>
        <w:tab/>
        <w:t>&gt;=95%，业绩值100%，指标完成率105.26%。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强化组织领导，统筹推进项目实施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成立专项工作领导小组，明确学校、施工、监理、设计、人防主管部门各方职责，建立分工协作、定期会商工作机制，统筹项目立项、审批、招投标、施工、验收全流程管理，确保项目按计划节点推进。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后期运维管理机制不够健全项目竣工后人防地下室日常运维、定期检修、设备保养制度未完全细化；管理人员专业人防知识不足，对战时功能维护、设备定期检测、平战转换实操能力。</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严控工程施工细节，全面提升建设质量加强隐蔽工程、人防专项工程、防渗防水、设备安装等关键环节验收力度，严格执行人防工程建设技术标准；督促施工、监理单位强化精细化施工管理，及时整改细部质量问题，完善标识标牌、疏散指引、设施配套</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？1、本学校防空地下室建设项目严格落实人防工程建设强制性标准及校园安全建设相关要求，项目建成后有效补齐校园应急避难、人员掩蔽、防空防灾短板，平战结合效益显著，社会效益、安全效益良好。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2、项目所有建设程序、招投标管理、资金使用均符合现行政府投资项目及人防工程管理相关政策规定，无违规违纪、挤占挪用资金、重大质量安全事故等情况。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3、建议后续将防空地下室运维经费纳入学校年度财政预算，保障日常检修、设备更换、专业培训等运维工作常态化开展，持续发挥项目长期使用效益。</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8213E12"/>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2026-07-23T08:02:51Z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