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79FFDE" w14:textId="77777777" w:rsidR="00B30C15" w:rsidRDefault="00DB6A4D">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14:paraId="1359DBB7" w14:textId="77777777" w:rsidR="00B30C15" w:rsidRDefault="00B30C15">
      <w:pPr>
        <w:spacing w:line="540" w:lineRule="exact"/>
        <w:jc w:val="center"/>
        <w:rPr>
          <w:rFonts w:ascii="华文中宋" w:eastAsia="华文中宋" w:hAnsi="华文中宋" w:cs="宋体"/>
          <w:b/>
          <w:kern w:val="0"/>
          <w:sz w:val="52"/>
          <w:szCs w:val="52"/>
        </w:rPr>
      </w:pPr>
    </w:p>
    <w:p w14:paraId="794EBCE4" w14:textId="77777777" w:rsidR="00B30C15" w:rsidRDefault="00B30C15">
      <w:pPr>
        <w:spacing w:line="540" w:lineRule="exact"/>
        <w:jc w:val="center"/>
        <w:rPr>
          <w:rFonts w:ascii="华文中宋" w:eastAsia="华文中宋" w:hAnsi="华文中宋" w:cs="宋体"/>
          <w:b/>
          <w:kern w:val="0"/>
          <w:sz w:val="52"/>
          <w:szCs w:val="52"/>
        </w:rPr>
      </w:pPr>
    </w:p>
    <w:p w14:paraId="5CB1669F" w14:textId="77777777" w:rsidR="00B30C15" w:rsidRDefault="00B30C15">
      <w:pPr>
        <w:spacing w:line="540" w:lineRule="exact"/>
        <w:jc w:val="center"/>
        <w:rPr>
          <w:rFonts w:ascii="华文中宋" w:eastAsia="华文中宋" w:hAnsi="华文中宋" w:cs="宋体"/>
          <w:b/>
          <w:kern w:val="0"/>
          <w:sz w:val="52"/>
          <w:szCs w:val="52"/>
        </w:rPr>
      </w:pPr>
    </w:p>
    <w:p w14:paraId="1CBABBE7" w14:textId="77777777" w:rsidR="00B30C15" w:rsidRDefault="00B30C15">
      <w:pPr>
        <w:spacing w:line="540" w:lineRule="exact"/>
        <w:jc w:val="center"/>
        <w:rPr>
          <w:rFonts w:ascii="华文中宋" w:eastAsia="华文中宋" w:hAnsi="华文中宋" w:cs="宋体"/>
          <w:b/>
          <w:kern w:val="0"/>
          <w:sz w:val="52"/>
          <w:szCs w:val="52"/>
        </w:rPr>
      </w:pPr>
    </w:p>
    <w:p w14:paraId="42C7541A" w14:textId="77777777" w:rsidR="00B30C15" w:rsidRDefault="00B30C15">
      <w:pPr>
        <w:spacing w:line="540" w:lineRule="exact"/>
        <w:jc w:val="center"/>
        <w:rPr>
          <w:rFonts w:ascii="华文中宋" w:eastAsia="华文中宋" w:hAnsi="华文中宋" w:cs="宋体"/>
          <w:b/>
          <w:kern w:val="0"/>
          <w:sz w:val="52"/>
          <w:szCs w:val="52"/>
        </w:rPr>
      </w:pPr>
    </w:p>
    <w:p w14:paraId="73F23259" w14:textId="77777777" w:rsidR="00B30C15" w:rsidRDefault="00B30C15">
      <w:pPr>
        <w:spacing w:line="540" w:lineRule="exact"/>
        <w:jc w:val="center"/>
        <w:rPr>
          <w:rFonts w:ascii="华文中宋" w:eastAsia="华文中宋" w:hAnsi="华文中宋" w:cs="宋体"/>
          <w:b/>
          <w:kern w:val="0"/>
          <w:sz w:val="52"/>
          <w:szCs w:val="52"/>
        </w:rPr>
      </w:pPr>
    </w:p>
    <w:p w14:paraId="2D82766C" w14:textId="15BA8B5A" w:rsidR="00B30C15" w:rsidRDefault="00DB6A4D">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105CAE8" w14:textId="77777777" w:rsidR="00B30C15" w:rsidRDefault="00B30C15">
      <w:pPr>
        <w:spacing w:line="540" w:lineRule="exact"/>
        <w:jc w:val="center"/>
        <w:rPr>
          <w:rFonts w:ascii="华文中宋" w:eastAsia="华文中宋" w:hAnsi="华文中宋" w:cs="宋体"/>
          <w:b/>
          <w:kern w:val="0"/>
          <w:sz w:val="52"/>
          <w:szCs w:val="52"/>
        </w:rPr>
      </w:pPr>
    </w:p>
    <w:p w14:paraId="5645C633" w14:textId="77777777" w:rsidR="00B30C15" w:rsidRDefault="00DB6A4D">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2025</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4DD17AE7" w14:textId="77777777" w:rsidR="00B30C15" w:rsidRDefault="00B30C15">
      <w:pPr>
        <w:spacing w:line="540" w:lineRule="exact"/>
        <w:jc w:val="center"/>
        <w:rPr>
          <w:rFonts w:eastAsia="仿宋_GB2312" w:hAnsi="宋体" w:cs="宋体"/>
          <w:kern w:val="0"/>
          <w:sz w:val="30"/>
          <w:szCs w:val="30"/>
        </w:rPr>
      </w:pPr>
    </w:p>
    <w:p w14:paraId="7864D631" w14:textId="77777777" w:rsidR="00B30C15" w:rsidRDefault="00B30C15">
      <w:pPr>
        <w:spacing w:line="540" w:lineRule="exact"/>
        <w:jc w:val="center"/>
        <w:rPr>
          <w:rFonts w:eastAsia="仿宋_GB2312" w:hAnsi="宋体" w:cs="宋体"/>
          <w:kern w:val="0"/>
          <w:sz w:val="30"/>
          <w:szCs w:val="30"/>
        </w:rPr>
      </w:pPr>
    </w:p>
    <w:p w14:paraId="1951DA0C" w14:textId="77777777" w:rsidR="00B30C15" w:rsidRDefault="00B30C15">
      <w:pPr>
        <w:spacing w:line="540" w:lineRule="exact"/>
        <w:jc w:val="center"/>
        <w:rPr>
          <w:rFonts w:eastAsia="仿宋_GB2312" w:hAnsi="宋体" w:cs="宋体"/>
          <w:kern w:val="0"/>
          <w:sz w:val="30"/>
          <w:szCs w:val="30"/>
        </w:rPr>
      </w:pPr>
    </w:p>
    <w:p w14:paraId="7426BE0C" w14:textId="77777777" w:rsidR="00B30C15" w:rsidRDefault="00B30C15">
      <w:pPr>
        <w:spacing w:line="540" w:lineRule="exact"/>
        <w:jc w:val="center"/>
        <w:rPr>
          <w:rFonts w:eastAsia="仿宋_GB2312" w:hAnsi="宋体" w:cs="宋体"/>
          <w:kern w:val="0"/>
          <w:sz w:val="30"/>
          <w:szCs w:val="30"/>
        </w:rPr>
      </w:pPr>
    </w:p>
    <w:p w14:paraId="0D55BB56" w14:textId="77777777" w:rsidR="00B30C15" w:rsidRDefault="00B30C15">
      <w:pPr>
        <w:spacing w:line="540" w:lineRule="exact"/>
        <w:jc w:val="center"/>
        <w:rPr>
          <w:rFonts w:eastAsia="仿宋_GB2312" w:hAnsi="宋体" w:cs="宋体"/>
          <w:kern w:val="0"/>
          <w:sz w:val="30"/>
          <w:szCs w:val="30"/>
        </w:rPr>
      </w:pPr>
    </w:p>
    <w:p w14:paraId="2D009827" w14:textId="77777777" w:rsidR="00B30C15" w:rsidRDefault="00B30C15">
      <w:pPr>
        <w:spacing w:line="540" w:lineRule="exact"/>
        <w:rPr>
          <w:rFonts w:eastAsia="仿宋_GB2312" w:hAnsi="宋体" w:cs="宋体"/>
          <w:kern w:val="0"/>
          <w:sz w:val="30"/>
          <w:szCs w:val="30"/>
        </w:rPr>
      </w:pPr>
    </w:p>
    <w:p w14:paraId="0AD9D5B4" w14:textId="77777777" w:rsidR="00B30C15" w:rsidRDefault="00DB6A4D">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61E82372" w14:textId="77777777" w:rsidR="00B30C15" w:rsidRDefault="00DB6A4D">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2025年自治区彩票公益金支持特殊教育学校[特教班]生活补助经费</w:t>
      </w:r>
      <w:proofErr w:type="spellStart"/>
      <w:proofErr w:type="spellEnd"/>
    </w:p>
    <w:p w14:paraId="21A4AA14" w14:textId="77777777" w:rsidR="00B30C15" w:rsidRDefault="00DB6A4D">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伊宁市特殊教育学校</w:t>
      </w:r>
      <w:proofErr w:type="spellStart"/>
      <w:proofErr w:type="spellEnd"/>
    </w:p>
    <w:p w14:paraId="451D76B1" w14:textId="77777777" w:rsidR="00B30C15" w:rsidRDefault="00DB6A4D">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伊宁市特殊教育学校</w:t>
      </w:r>
      <w:proofErr w:type="spellStart"/>
      <w:proofErr w:type="spellEnd"/>
    </w:p>
    <w:p w14:paraId="165F2B56" w14:textId="77777777" w:rsidR="00B30C15" w:rsidRDefault="00DB6A4D">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张开云</w:t>
      </w:r>
      <w:proofErr w:type="spellStart"/>
      <w:proofErr w:type="spellEnd"/>
    </w:p>
    <w:p w14:paraId="5C0E3D36" w14:textId="77777777" w:rsidR="00B30C15" w:rsidRDefault="00DB6A4D">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2026年05月12日</w:t>
      </w:r>
    </w:p>
    <w:p w14:paraId="294F1896" w14:textId="77777777" w:rsidR="00B30C15" w:rsidRDefault="00B30C15">
      <w:pPr>
        <w:spacing w:line="700" w:lineRule="exact"/>
        <w:ind w:firstLineChars="236" w:firstLine="708"/>
        <w:jc w:val="left"/>
        <w:rPr>
          <w:rFonts w:eastAsia="仿宋_GB2312" w:hAnsi="宋体" w:cs="宋体"/>
          <w:kern w:val="0"/>
          <w:sz w:val="30"/>
          <w:szCs w:val="30"/>
        </w:rPr>
      </w:pPr>
    </w:p>
    <w:p w14:paraId="5A6EEF68" w14:textId="77777777" w:rsidR="00B30C15" w:rsidRDefault="00B30C15">
      <w:pPr>
        <w:spacing w:line="540" w:lineRule="exact"/>
        <w:rPr>
          <w:rStyle w:val="ad"/>
          <w:rFonts w:ascii="黑体" w:eastAsia="黑体" w:hAnsi="黑体"/>
          <w:b w:val="0"/>
          <w:spacing w:val="-4"/>
          <w:sz w:val="32"/>
          <w:szCs w:val="32"/>
        </w:rPr>
      </w:pPr>
    </w:p>
    <w:p w14:paraId="6CE35C78"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lastRenderedPageBreak/>
        <w:t>一、基本情况</w:t>
      </w:r>
    </w:p>
    <w:p w14:paraId="695F52D0"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（一）项目概况。包括项目背景、主要内容及实施情况、资金投入和使用情况等。</w:t>
      </w:r>
    </w:p>
    <w:p w14:paraId="08F8F31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1、项目背景：</w:t>
        <w:br/>
        <w:t>为深入贯彻党的二十大关于强化特殊教育普惠发展的决策部署，落实《“十四五”特殊教育发展提升行动计划》要求，切实保障残疾儿童少年受教育权利，促进教育公平与质量提升，根据伊州财教【2024】59号文件精神，组织实施2025年自治区彩票公益金支持特殊教育学校（特教班）生活补助项目。当前，我州特殊教育事业稳步发展，但残疾学生家庭普遍经济压力较大，部分学生在校生活保障不足，影响学习与成长。自治区彩票公益金作为助残济困的重要资金来源，重点投向特殊教育领域，旨在精准改善特殊教育学校（特教班）学生在校生活条件，减轻家庭经济负担，助力残疾学生安心就学、健康成长 。本项目的实施，是完善特殊教育保障体系、增进民生福祉的重要举措，对推动我州特殊教育高质量发展、维护社会公平正义具有重要意义。</w:t>
        <w:br/>
        <w:t>2、主要内容及实施情况</w:t>
        <w:br/>
        <w:t>主要内容：</w:t>
        <w:br/>
        <w:t>本项目严格依据伊州财教【2024】59号文件要求开展，统筹使用2025年自治区彩票公益金，为我校特殊教育在校学生发放生活补助。资金专项用于保障学生在校就餐、日常学习生活开支，规范完成补助审核、发放及台账管理工作，切实减轻残疾学生家庭经济负担，夯实特殊教育办学保障基础。补助学生人数192人，按照补助标准1000元/人/年补助。</w:t>
        <w:br/>
        <w:t>实施情况：</w:t>
        <w:br/>
        <w:t>我校严格对照伊州财教【2024】59号文件要求推进项目落地，规范完成受助学生资格审核、公示及补助发放各项工作。项目已完成补助学生人数192人，按照补助标准1000元/人/年补助。通过项目实施，有效提高了学生生活水平，减轻了学生家庭经济负担。</w:t>
        <w:br/>
        <w:t>3、资金投入和使用情况</w:t>
        <w:br/>
        <w:t>资金投入情况：该项目年初预算数19.2万元，全年预算数19.2万元，该项目资金落实到位19.2万元。资金来源为自治区专项资金。</w:t>
        <w:br/>
        <w:t>资金使用情况：截止到2025年12月31日，本项目实际支付资金19.2万元，预算执行率为100%，主要用于：生活用品46080元、图书9252元、牛奶17003元、冬季校服42660元、春季校服66090元、秋衣秋裤10915元。</w:t>
      </w:r>
    </w:p>
    <w:p w14:paraId="5191B688"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（二）项目绩效目标。包括总体目标和阶段性目标。</w:t>
      </w:r>
    </w:p>
    <w:p w14:paraId="5E1453B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1、总体目标：补助学生人数192人，按照补助标准1000元/人/年补助。通过项目实施，有效提高学生生活水平，减轻学生家庭经济负担。</w:t>
        <w:br/>
        <w:t>2、阶段性目标：按照项目实施周期，将总体目标分解为各阶段任务。前期做好方案细化、资源配置、前期调研等筹备工作，为项目实施创造条件；中期聚焦核心业务推进，保质保量完成阶段性产出；后期做好成果整合、资料归档及效果自评、反馈收集。各环节严格管控进度、质量与经费使用，确保阶段衔接顺畅，推动总体目标有序落地。</w:t>
      </w:r>
    </w:p>
    <w:p w14:paraId="4CDBE12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w:t>
      </w:r>
      <w:r>
        <w:rPr>
          <w:rStyle w:val="ad"/>
          <w:rFonts w:hint="eastAsia"/>
          <w:spacing w:val="-4"/>
          <w:sz w:val="32"/>
          <w:szCs w:val="32"/>
        </w:rPr>
        <w:t>绩效评价工作开展情况</w:t>
      </w:r>
    </w:p>
    <w:p w14:paraId="2A58866E"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212A02D4"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1、绩效评价目的：</w:t>
        <w:br/>
        <w:t>根据财政部印发《项目支出绩效评价管理办法》（财预〔2020〕10号）、《自治区财政支出绩效评价管理暂行办法》（新财预〔2018〕189号），开展绩效评价目的如下：</w:t>
        <w:br/>
        <w:t>一是开展部门项目支出绩效评价，严格贯彻《中华人民共和国预算法》及上级关于全面加强预算绩效管理的有关要求，推动构建 “花钱必问效、无效必问责” 的绩效管理长效机制，切实提高财政资金配置效率和使用效益。</w:t>
        <w:br/>
        <w:t>二是以绩效评价为抓手，进一步做实做细绩效目标管理，结合项目实际科学设置多维度绩效指标体系，细化完善数量、质量、时效、成本、经济效益、社会效益、生态效益及服务对象满意度等关键指标，确保绩效指标科学规范、指向明确、可量化可考核。</w:t>
        <w:br/>
        <w:t>三是通过全面实施绩效评价，纠正以往在绩效管理工作中存在的认识偏差与执行短板，推动预算编制与绩效目标、绩效指标深度融合，强化 “用钱必问效” 的责任约束，不断提升预算绩效管理的刚性与权威性，加快实现从传统预算管理向全方位、全过程、全覆盖的绩效预算管理转型。</w:t>
        <w:br/>
        <w:t>四是依托绩效评价全面复盘项目在决策、实施、运行及管理等环节存在的问题，系统梳理短板弱项并提出改进路径，为优化项目管理、提升实施质量提供坚实支撑，同时为项目后续运行、维护及长效评价奠定理论基础与实践依据。</w:t>
        <w:br/>
        <w:t>2、绩效评价对象：</w:t>
        <w:br/>
        <w:t>此次我单位根据《财政支出绩效评价管理暂行办法》（财预〔2020〕10号）文件要求实施评价工作，本次评价对象为2025年自治区彩票公益金支持特殊教育学校[特教班]生活补助项目，评价核心为项目的资金投入、产出及效益。</w:t>
        <w:br/>
        <w:t>3、绩效评价范围：</w:t>
        <w:br/>
        <w:t>本次评价从项目决策（包括绩效目标、决策过程）、项目管理（包括项目资金、项目实施）、项目产出（包括项目产出数量、产出质量、产出时效、产出成本）、项目效益四个维度进行绩效评价，评价核心为项目资金的支出完成情况和效果。</w:t>
      </w:r>
    </w:p>
    <w:p w14:paraId="63BB42D3"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（二）绩效评价原则、评价指标体系（附表说明）、评价方法、评价标准等。</w:t>
      </w:r>
    </w:p>
    <w:p w14:paraId="21FF8141"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等要求，绩效评价应遵循如下原则：</w:t>
        <w:br/>
        <w:t>1、绩效评价原则</w:t>
        <w:br/>
        <w:t>（一）科学公正。绩效评价应当运用科学合理的方法，按照规范的程序，对项目绩效进行客观、公正的反映。</w:t>
        <w:br/>
        <w:t>（二）统筹兼顾。单位自评、部门评价和财政评价应职责明确，各有侧重，相互衔接。单位自评应由项目单位自主实施，即“谁支出、谁自评”。部门评价和财政评价应在单位自评的基础上开展，必要时可委托第三方机构实施。</w:t>
        <w:br/>
        <w:t>（三）激励约束。绩效评价结果应与预算安排、政策调整、改进管理实质性挂钩，体现奖优罚劣和激励相容导向，有效要安排、低效要压减、无效要问责。</w:t>
        <w:br/>
        <w:t>（四）公开透明。绩效评价结果应依法依规公开，并自觉接受社会监督。</w:t>
        <w:br/>
        <w:t>2、评价指标体系（附表说明）</w:t>
        <w:br/>
        <w:t>我单位通过实施资料研读，结合项目的实际开展情况，按照《项目支出绩效评价管理办法》（财预〔2020〕10号）文件要求，结合项目特点，设置指标体系结构如下：设置一级指标共4个，包括：决策指标、过程指标、产出指标、效益指标四类指标。主要围绕资金使用、项目管理、资源配置等方面，客观分析项目的产出和效果，从而考察项目预算定额标准的合理性，进而提出完善意见。详细指标体系见“附表：项目支出绩效评价绩效评价体系”。</w:t>
        <w:br/>
        <w:t>3、评价方法</w:t>
        <w:br/>
        <w:t>财政和部门评价的方法主要包括成本效益分析法、比较法、因素分析法、最低成本法、公众评判法、标杆管理法等。根据评价对象的具体情况，可采用一种或多种方法。</w:t>
        <w:br/>
        <w:t>（一）成本效益分析法。是指将投入与产出、效益进行关联性分析的方法。 </w:t>
        <w:br/>
        <w:t>（二）比较法。是指将实施情况与绩效目标、历史情况、不同部门和地区同类支出情况进行比较的方法。</w:t>
        <w:br/>
        <w:t>（三）因素分析法。是指综合分析影响绩效目标实现、实施效果的内外部因素的方法。</w:t>
        <w:br/>
        <w:t>（四）最低成本法。是指在绩效目标确定的前提下，成本最小者为优的方法。</w:t>
        <w:br/>
        <w:t>（五）公众评判法。是指通过专家评估、公众问卷及抽样调查等方式进行评判的方法。</w:t>
        <w:br/>
        <w:t>（六）标杆管理法。是指以国内外同行业中较高的绩效水平为标杆进行评判的方法。</w:t>
        <w:br/>
        <w:t>（七）其他评价方法。</w:t>
        <w:br/>
        <w:t>我单位根据本项目资金的性质和特点，本次项目支出绩效自评采用公众评判法方法。</w:t>
        <w:br/>
        <w:t>4、评价标准</w:t>
        <w:br/>
        <w:t>绩效评价标准通常包括计划标准、行业标准、历史标准等，用于对绩效指标完成情况进行比较。</w:t>
        <w:br/>
        <w:t>（一）计划标准。指以预先制定的目标、计划、预算、定额等作为评价标准。</w:t>
        <w:br/>
        <w:t>（二）行业标准。指参照国家公布的行业指标数据制定的评价标准。</w:t>
        <w:br/>
        <w:t>（三）历史标准。指参照历史数据制定的评价标准，为体现绩效改进的原则，在可实现的条件下应当确定相对较高的评价标准。</w:t>
        <w:br/>
        <w:t>（四）财政部门和预算部门确认或认可的其他标准。</w:t>
        <w:br/>
        <w:t>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14:paraId="620E63F7"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5D1DF44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1、前期准备：</w:t>
        <w:br/>
        <w:t>在项目绩效评价工作启动之前成立评价组，评价组通过前期调研确定绩效评价对象和范围，确定了评价的目的、方法以及评价的原则，根据项目的内容和特征制定了评价指标体系及评价标准；</w:t>
        <w:br/>
        <w:t>2、组织实施：</w:t>
        <w:br/>
        <w:t>评价工作实施阶段，评价组收集绩效评价相关数据资料，对收集到的数据进行系统的整理与分类，为后续的数据分析提供了有力支持。并与项目实施负责人沟通，了解资金的内容、操作流程、管理机制、资金使用方向等情况，分析形成初步结论。 </w:t>
        <w:br/>
        <w:t>3、分析评价：</w:t>
        <w:br/>
        <w:t>对归集的相关数据开展系统性分析，通过逐项对比绩效指标实际执行情况与预定目标，科学测算指标达成程度，并依据权重进行综合评定，形成项目绩效评价结果。分析过程注重数据逻辑与内在联系，精准研判绩效优劣成因，全面总结项目实施成效与薄弱环节，为后续提出切实可行的改进对策提供依据。</w:t>
        <w:br/>
        <w:t>4、撰写评价报告</w:t>
        <w:br/>
        <w:t>根据数据分析与评估的结果，按照统一的格式和规范撰写项目预算绩效评价报告。报告系统阐述项目基本情况、评价目的、指标体系、数据采集与分析方法、绩效评价结果、存在问题及改进建议等内容，做到结构合理、重点突出、表述规范。报告完成后，及时向项目主管及实施单位、相关利益方进行通报反馈，充分吸纳各方合理意见，对报告进行修改完善与校核优化，切实保障绩效评价报告的规范性、严谨性与实用性。</w:t>
      </w:r>
    </w:p>
    <w:p w14:paraId="6130A00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w:t>
      </w:r>
      <w:r>
        <w:rPr>
          <w:rStyle w:val="ad"/>
          <w:rFonts w:hint="eastAsia"/>
          <w:spacing w:val="-4"/>
          <w:sz w:val="32"/>
          <w:szCs w:val="32"/>
        </w:rPr>
        <w:t>综合评价情况及评价结论</w:t>
      </w:r>
    </w:p>
    <w:p w14:paraId="2177354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（一）综合评价情况</w:t>
        <w:br/>
        <w:t>本项目严格对照既定绩效目标有序组织实施，整体执行情况2025年自治区彩票公益金支持特殊教育学校生活补助项目，依据伊州财教【2024】59号文件要求有序推进，项目整体实行情况良好。学校严格落实各项管理规定，规范完成学生资格审核、公示及资金发放全流程工作，项目各环节推进顺畅，指标任务全部落实落地。项目管控规范严谨，资金使用合规安全，全面达成预期实施目标，整体取得了显著的实施成效。</w:t>
        <w:br/>
        <w:t>通过本项目的顺利实施，切实发挥了提升特殊教育学生在校生活水平的效益，有效改善了学生日常学习生活条件。同时切实减轻了残疾学生家庭的经济负担，缓解家庭生活压力，助力学生安心就学。充分发挥出彩票公益金公益帮扶作用，推动特殊教育保障工作提质增效。</w:t>
        <w:br/>
        <w:t>（二）评价结论</w:t>
        <w:br/>
        <w:t>2025年自治区彩票公益金支持特殊教育学校[特教班]生活补助项目评价得分情况：总分100分，项目决策占18分，得分20分；项目过程占20分，得分20分；项目产出占30分，得分30分；项目效益占30分，得分30分，项目总得分为98分。</w:t>
      </w:r>
    </w:p>
    <w:p w14:paraId="7542F838" w14:textId="77777777" w:rsidR="00B30C15" w:rsidRDefault="00DB6A4D">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w:t>
      </w:r>
      <w:r>
        <w:rPr>
          <w:rStyle w:val="ad"/>
          <w:rFonts w:hint="eastAsia"/>
          <w:spacing w:val="-4"/>
          <w:sz w:val="32"/>
          <w:szCs w:val="32"/>
        </w:rPr>
        <w:t>绩效评价指标分析</w:t>
      </w:r>
      <w:r>
        <w:rPr>
          <w:rStyle w:val="ad"/>
          <w:rFonts w:ascii="黑体" w:eastAsia="黑体" w:hAnsi="黑体" w:hint="eastAsia"/>
          <w:b w:val="0"/>
          <w:spacing w:val="-4"/>
          <w:sz w:val="32"/>
          <w:szCs w:val="32"/>
        </w:rPr>
        <w:t xml:space="preserve"> </w:t>
      </w:r>
    </w:p>
    <w:p w14:paraId="253974FB"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（一）项目决策情况。</w:t>
      </w:r>
    </w:p>
    <w:p w14:paraId="284985BF"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项目决策类指标由3个二级指标和6个三级指标构成，权重分20.00分，实际得分20分。</w:t>
        <w:br/>
        <w:t>1、项目立项</w:t>
        <w:br/>
        <w:t>（1）立项依据充分性</w:t>
        <w:br/>
        <w:t>项目立项符合《新疆维吾尔自治区进一步完善城乡义务教育经费保障机制实施方案》；项目立项符合行业发展规划和政策要求；项目立项与部门职责范围相符，属于部门履职所需；项目属于公共财政支持范围，符合中央、地方事权支出责任划分原则；项目不与相关部门同类项目或部门内部相关项目重复。</w:t>
        <w:br/>
        <w:t>综上所述，本指标满分为4.00分，根据评分标准得4分，本项目立项依据充分。</w:t>
        <w:br/>
        <w:t>（2）立项程序规范性</w:t>
        <w:br/>
        <w:t>项目在申报及设立阶段均严格遵循相关管理规定，依规完成各项报批手续，按规范流程备齐申报材料及支撑文件。结合项目实际制定资金预算，经与分管领导充分沟通、审慎论证后确定预算方案，并通过部门集体研究审议完成立项审批。全过程形成了规范完备的申报材料、论证记录、会议纪要等档案资料，切实做到程序合法合规、材料完整齐全、论证充分有效、决策民主规范。</w:t>
        <w:br/>
        <w:t>综上所述，本指标满分为4.00分，根据评分标准得4分，本项目的立项程序合规。</w:t>
        <w:br/>
        <w:t>2、绩效目标</w:t>
        <w:br/>
        <w:t>（1）绩效目标合理性</w:t>
        <w:br/>
        <w:t>①项目有绩效目标；补助在校学生192人，按照补助标准1000元/人/年，提高学生生活水平，减轻学生家庭负担。</w:t>
        <w:br/>
        <w:t>②项目绩效目标与实际工作内容具有相关性；</w:t>
        <w:br/>
        <w:t>③规范完成2025年自治区彩票公益金特殊教育学生生活补助发放各项工作，精准落实补助资金保障，有效减轻残疾学生家庭经济负担，全面改善残疾学生在校生活学习条件。项目切实发挥助学济困实效，助力特殊教育普惠发展，项目预期产出效益和效果符合正常的业绩水平；</w:t>
        <w:br/>
        <w:t>综上所述，本指标满分为3.00分，根据评分标准得3分，本项目的绩效目标设置合理。</w:t>
        <w:br/>
        <w:t>（2）绩效指标明确性</w:t>
        <w:br/>
        <w:t>①将项目绩效目标分解为具体的绩效指标；质量指标、时效指标未细化。</w:t>
        <w:br/>
        <w:t>②效益指标未通过清晰、可衡量的指标值予以体现；</w:t>
        <w:br/>
        <w:t>③与项目目标任务数或计划数相对应。</w:t>
        <w:br/>
        <w:t>2025年自治区彩票公益金支持特殊教育学校[特教班]生活补助项目将项目绩效目标分解为具体的绩效指标，一级指标共4条，二级指标共6条，三级指标共7条，其中量化指标条数共5条。</w:t>
        <w:br/>
        <w:t>综上所述，本指标满分为3.00分，根据评分标准得1分，本项目的绩效目标明确。</w:t>
        <w:br/>
        <w:t>3、资金投入</w:t>
        <w:br/>
        <w:t>（1）预算编制科学性</w:t>
        <w:br/>
        <w:t>本项目预算编制通过伊州财教【2024】59号文件的补助标准，根据实际补助227名学生编制预算，以“精准测算、按需配置”为原则，结合项目实施方案及具体任务清单开展，参考既往同类项目支出，测算支出19.2万元。预算编制过程经过业务科室、财务部门双重审核，无漏项、超项情况，预算内容与项目“2核心任务”完全匹配，资金额度与各阶段工作任务量精准适配，符合评分标准中“经过科学论证、内容与项目匹配、额度依据充分、与工作任务匹配”的全部评价要点。</w:t>
        <w:br/>
        <w:t>综上所述，本指标满分为3.00分，根据评分标准得3分,本项目的预算编制科学。</w:t>
        <w:br/>
        <w:t>（2）资金分配合理性</w:t>
        <w:br/>
        <w:t>本项目实际分配资金以《关于申请2025年自治区彩票公益金支持特殊教育学校[特教班]生活补助项目资金的请示》为依据进行资金分配，预算资金分配依据充分，资金分配额度合理，与我单位实际需求相适应。</w:t>
        <w:br/>
        <w:t>综上所述，本指标满分为3.00分，根据评分标准得3分,本项目的资金分配合理。</w:t>
      </w:r>
    </w:p>
    <w:p w14:paraId="279CAB95"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（二）项目过程情况。</w:t>
      </w:r>
    </w:p>
    <w:p w14:paraId="406F39A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项目过程管理类指标由2个二级指标和5个三级指标构成，权重分20.00分，实际得分20分。</w:t>
        <w:br/>
        <w:t>1、资金管理</w:t>
        <w:br/>
        <w:t>（1）资金到位率：</w:t>
        <w:br/>
        <w:t>实际到位资金19.2万元，预算资金19.2万元，资金到位率100%。</w:t>
        <w:br/>
        <w:t>本指标满分为4.00分，根据评分标准得4分。</w:t>
        <w:br/>
        <w:t>（2）预算执行率</w:t>
        <w:br/>
        <w:t>全年预算数19.2万元，全年执行数19.2万元，预算执行率为100%。</w:t>
        <w:br/>
        <w:t>本指标满分为4.00分，根据评分标准得4分。</w:t>
        <w:br/>
        <w:t>（3）资金使用合规性</w:t>
        <w:br/>
        <w:t>本项目资金支出符合《预算法》、《政府会计制度》。</w:t>
        <w:br/>
        <w:t>①资金的拨付有完整的审批程序和手续，有完整的合同、发票、验收单等佐证资料。</w:t>
        <w:br/>
        <w:t>②资金实际使用方向与预算批复用途一致，不存在截留、挤占、挪用、虚列支出的情况。</w:t>
        <w:br/>
        <w:t>综上所述，本指标满分为4.00分，根据评分标准得4分,本项目的资金使用合规。</w:t>
        <w:br/>
        <w:t>2、组织实施</w:t>
        <w:br/>
        <w:t>（1）管理制度健全性</w:t>
        <w:br/>
        <w:t>我单位已制定《学校预决算管理制度》、《学校会计核算监督制度》、《学校财务室工作职责》、《学校会计档案管理制度》、《学校会计核算监督制度》、《学校印鉴管理制度》、《学校财务内部牵制制度》、《学校财产管理制度》、《学校财务收支审批制度》，上述已建立的制度均符合行政事业单位内控管理要求，财务和业务管理制度合法、合规、完整，本项目执行符合上述制度规定。</w:t>
        <w:br/>
        <w:t>综上所述，本指标满分为4.00分，根据评分标准得4分,本项目的资金使用合规。</w:t>
        <w:br/>
        <w:t>（2）制度执行有效性</w:t>
        <w:br/>
        <w:t>①该项目的实施符合《学校预决算管理制度》、《学校会计核算监督制度》、《学校财务室工作职责》、《学校会计档案管理制度》、《学校会计核算监督制度》、《学校印鉴管理制度》、《学校财务内部牵制制度》、《学校财产管理制度》、《学校财务收支审批制度》，《中央专项彩票公益金教育助学项目资金管理办法》等相关管理规定，项目具备完整规范的立项程序综上分析，项目执行遵守相关法律法规和相关管理规定。</w:t>
        <w:br/>
        <w:t>②财务支付凭证等资料齐全并及时归档。</w:t>
        <w:br/>
        <w:t>③该项目实施所需要的项目人员和场地设备均已落实到位满足项目实施需求。制度执行无偏差，有效保障了项目按计划推进，符合评分标准中“遵守相关规定、调整手续完备、资料齐全归档、实施条件落实”的要求。</w:t>
        <w:br/>
        <w:t>综上所述，本指标满分为4.00分，根据评分标准得4分,本项目所建立制度执行有效。</w:t>
      </w:r>
    </w:p>
    <w:p w14:paraId="0602F923"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（三）项目产出情况。</w:t>
      </w:r>
    </w:p>
    <w:p w14:paraId="3B1C5BC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项目产出类指标由4个二级指标和4个三级指标构成，权重分30.00分，实际得分4分。</w:t>
        <w:br/>
        <w:t>（1）实际完成率</w:t>
        <w:br/>
        <w:t>1、数量指标：指标1：补助学生人数 ，指标值：&gt;=192人 ，业绩值192人 ，指标完成率100%；</w:t>
        <w:br/>
        <w:t>综上所述，本指标满分为7.00分，根据评分标准得7分。</w:t>
        <w:br/>
        <w:t>（2）质量达标率</w:t>
        <w:br/>
        <w:t>质量指标：指标1：补助资金发放准确率，指标值：=100% ，业绩值100% ，指标完成率100%。</w:t>
        <w:br/>
        <w:t>综上所述，本指标满分为7.00分，根据评分标准得7分。</w:t>
        <w:br/>
        <w:t>（3）完成及时性</w:t>
        <w:br/>
        <w:t>时效指标：指标1：补助资金发放及时率，指标值：=100% ，业绩值100% ，指标完成率100%。</w:t>
        <w:br/>
        <w:t>综上所述，本指标满分为6.00分，根据评分标准得6分。</w:t>
        <w:br/>
        <w:t>成本节约率</w:t>
        <w:br/>
        <w:t>经济成本指标：指标1：生均补助标准 ，指标值：=1000元/人 ，业绩值人均1000元/人 ，指标完成率100%。</w:t>
        <w:br/>
        <w:t>综上所述，本指标满分为10.00分，根据评分标准得10分。</w:t>
      </w:r>
    </w:p>
    <w:p w14:paraId="49FAA821"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（四）项目效益情况。</w:t>
      </w:r>
    </w:p>
    <w:p w14:paraId="3010DFF8"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项目效益类指标由1个二级指标和2个三级指标构成，权重分20.00分，实际得分20分。</w:t>
        <w:br/>
        <w:t>（1）实施效益</w:t>
        <w:br/>
        <w:t>①经济效益指标：无此项指标。</w:t>
        <w:br/>
        <w:t>②社会效益指标：指标1：提高学生生活水平 ，指标值：有效提高，业绩值基本达成目标，指标完成率100%；指标2：减轻学生家庭负担 ，指标值：有效减轻，业绩值基本达成目标，指标完成率100%。</w:t>
        <w:br/>
        <w:t>③生态效益指标：无此项指标。</w:t>
        <w:br/>
        <w:t>综上所述，本指标满分为20.00分，根据评分标准得20分。</w:t>
      </w:r>
    </w:p>
    <w:p w14:paraId="7729649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lastRenderedPageBreak/>
        <w:t>满意度指标：指标1：补助学生满意度 ，指标值：满意度&gt;=95% ，业绩值满意度95% ，指标完成率105.26%。</w:t>
        <w:br/>
        <w:t>综上所述，本指标满分为10.00分，根据评分标准得10分。</w:t>
      </w:r>
    </w:p>
    <w:p w14:paraId="0A05BF98" w14:textId="77777777" w:rsidR="00B30C15" w:rsidRDefault="00DB6A4D">
      <w:pPr>
        <w:spacing w:line="540" w:lineRule="exact"/>
        <w:ind w:firstLine="640"/>
        <w:rPr>
          <w:rStyle w:val="ad"/>
          <w:rFonts w:ascii="黑体" w:eastAsia="黑体" w:hAnsi="黑体"/>
          <w:spacing w:val="-4"/>
          <w:sz w:val="32"/>
          <w:szCs w:val="32"/>
        </w:rPr>
      </w:pPr>
      <w:r>
        <w:rPr>
          <w:rStyle w:val="ad"/>
          <w:rFonts w:ascii="黑体" w:eastAsia="黑体" w:hAnsi="黑体" w:hint="eastAsia"/>
          <w:b w:val="0"/>
          <w:spacing w:val="-4"/>
          <w:sz w:val="32"/>
          <w:szCs w:val="32"/>
        </w:rPr>
        <w:t>五、</w:t>
      </w:r>
      <w:r>
        <w:rPr>
          <w:rStyle w:val="ad"/>
          <w:rFonts w:ascii="黑体" w:eastAsia="黑体" w:hAnsi="黑体"/>
          <w:b w:val="0"/>
          <w:spacing w:val="-4"/>
          <w:sz w:val="32"/>
          <w:szCs w:val="32"/>
        </w:rPr>
        <w:t>主要经验及做法、存在的问题及原因分析</w:t>
      </w:r>
    </w:p>
    <w:p w14:paraId="1993D4B5"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（一）主要经验及做法</w:t>
        <w:br/>
        <w:t>我校严格依据伊州财教【2024】59号文件精神推进生活补助项目实施，建立校长牵头、各部门协同的工作专班，细化分工、压实责任，保障项目规范落地。严格规范补助对象认定流程，结合学生学籍信息、残疾资质、家庭经济状况等资料，采取班级初审、学校复核、公开公示的流程层层筛查，建立学生补助台账，做到精准识别、应补尽补，杜绝漏发、错发现象。资金管理上恪守专款专用原则，实行专账核算管理，补助资金统一直达学生个人账户，全程留存发放凭证、银行流水等资料，确保资金使用合规可溯源。同时多渠道开展政策宣传，通过家校沟通、校园公示、主题班会等形式解读补助政策，提升家长知晓度。将资金补助与人文关爱相结合，针对性帮扶困难学生，切实改善特殊学生在校生活条件，充分发挥彩票公益金的惠民实效。</w:t>
        <w:br/>
        <w:t>（二）存在的问题及原因分析</w:t>
        <w:br/>
        <w:t>在2025年自治区彩票公益金生活补助项目物资采购与发放工作中，仍存在一些不足。一是物资采购适配性有待提升，部分生活用品、校服、秋衣秋裤的尺码、款式未能完全贴合特殊学生的身体发育特点与个性化需求，图书种类也未能完全匹配不同障碍类型学生的认知水平，物资使用效益未能最大化。二是物资发放与管理不够精细化，物资入库、分发、领用台账记录不够细致，部分物资发放效率偏低，后续物资管护、使用跟踪不到位。三是物资采购流程效率有待优化，部分物资采购周期较长，未能及时足额发放到学生手中。</w:t>
        <w:br/>
        <w:t>究其原因，一是对特殊学生个性化需求摸排不够全面，前期调研不够细致；二是学校物资管理专人力量不足，缺乏规范的精细化管理流程；三是采购环节对接、审批流程较为繁琐，加之对特殊学生物资需求专业性把握不足，导致项目实施存在短板。</w:t>
      </w:r>
    </w:p>
    <w:p w14:paraId="5753D6DB" w14:textId="77777777" w:rsidR="00B30C15" w:rsidRDefault="00DB6A4D">
      <w:pPr>
        <w:ind w:firstLineChars="200" w:firstLine="624"/>
        <w:rPr>
          <w:rStyle w:val="ad"/>
          <w:rFonts w:ascii="黑体" w:eastAsia="黑体" w:hAnsi="黑体"/>
          <w:b w:val="0"/>
          <w:spacing w:val="-4"/>
          <w:sz w:val="32"/>
          <w:szCs w:val="32"/>
        </w:rPr>
      </w:pPr>
      <w:r>
        <w:rPr>
          <w:rStyle w:val="ad"/>
          <w:rFonts w:ascii="黑体" w:eastAsia="黑体" w:hAnsi="黑体" w:hint="eastAsia"/>
          <w:b w:val="0"/>
          <w:spacing w:val="-4"/>
          <w:sz w:val="32"/>
          <w:szCs w:val="32"/>
        </w:rPr>
        <w:t>六</w:t>
      </w:r>
      <w:r>
        <w:rPr>
          <w:rStyle w:val="ad"/>
          <w:rFonts w:ascii="黑体" w:eastAsia="黑体" w:hAnsi="黑体"/>
          <w:b w:val="0"/>
          <w:spacing w:val="-4"/>
          <w:sz w:val="32"/>
          <w:szCs w:val="32"/>
        </w:rPr>
        <w:t>、有关建议</w:t>
      </w:r>
    </w:p>
    <w:p w14:paraId="466664C1"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针对本次彩票公益金生活补助项目物资采购、发放及管理存在的问题，结合学校特殊教育工作实际，提出以下建议。一是精准摸排学生需求，建立特殊学生个性化信息台账，全面掌握学生衣物尺码、身体状况、认知阅读水平，提前征集需求，确保采购的生活用品、校服、图书等物资更贴合学生实际使用需求，提升物资适配度。二是规范物资精细化管理，完善物资采购、入库、分发、领用全流程台账，明确专人负责，简化发放流程，做到物资流转全程可查、规范高效，同时加强后续物资使用跟踪，保障公益金物资用在实处。三是优化采购审批流程，加快物资采购进度，确保各类生活、学习物资及时发放到位。四是建议上级部门加大特教专项物资采购指导，提供适配特殊学生的物资参考标准，同时加强基层学校物资管理业务培训，提升项目实施质效，切实保障特殊学生学习生活需求。</w:t>
      </w:r>
    </w:p>
    <w:p w14:paraId="613407BE" w14:textId="77777777" w:rsidR="00B30C15" w:rsidRDefault="00DB6A4D">
      <w:pPr>
        <w:spacing w:line="540" w:lineRule="exact"/>
        <w:ind w:firstLine="567"/>
        <w:rPr>
          <w:rStyle w:val="ad"/>
          <w:rFonts w:ascii="黑体" w:eastAsia="黑体" w:hAnsi="黑体"/>
          <w:b w:val="0"/>
          <w:spacing w:val="-4"/>
          <w:sz w:val="32"/>
          <w:szCs w:val="32"/>
        </w:rPr>
      </w:pPr>
      <w:r>
        <w:rPr>
          <w:rStyle w:val="ad"/>
          <w:rFonts w:ascii="黑体" w:eastAsia="黑体" w:hAnsi="黑体" w:hint="eastAsia"/>
          <w:b w:val="0"/>
          <w:spacing w:val="-4"/>
          <w:sz w:val="32"/>
          <w:szCs w:val="32"/>
        </w:rPr>
        <w:t>七、其他需要说明的问题</w:t>
      </w:r>
    </w:p>
    <w:p w14:paraId="2419F6BE"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无。</w:t>
      </w:r>
    </w:p>
    <w:p w14:paraId="131B8E06" w14:textId="77777777" w:rsidR="00B30C15" w:rsidRDefault="00B30C15">
      <w:pPr>
        <w:spacing w:line="540" w:lineRule="exact"/>
        <w:ind w:firstLine="567"/>
        <w:rPr>
          <w:rStyle w:val="ad"/>
          <w:rFonts w:ascii="仿宋" w:eastAsia="仿宋" w:hAnsi="仿宋"/>
          <w:b w:val="0"/>
          <w:spacing w:val="-4"/>
          <w:sz w:val="32"/>
          <w:szCs w:val="32"/>
        </w:rPr>
      </w:pPr>
    </w:p>
    <w:p w14:paraId="23243C18" w14:textId="77777777" w:rsidR="00B30C15" w:rsidRDefault="00B30C15">
      <w:pPr>
        <w:spacing w:line="540" w:lineRule="exact"/>
        <w:ind w:firstLine="567"/>
        <w:rPr>
          <w:rStyle w:val="ad"/>
          <w:rFonts w:ascii="仿宋" w:eastAsia="仿宋" w:hAnsi="仿宋"/>
          <w:b w:val="0"/>
          <w:spacing w:val="-4"/>
          <w:sz w:val="32"/>
          <w:szCs w:val="32"/>
        </w:rPr>
      </w:pPr>
    </w:p>
    <w:p w14:paraId="40223C3C" w14:textId="77777777" w:rsidR="00B30C15" w:rsidRDefault="00B30C15">
      <w:pPr>
        <w:spacing w:line="540" w:lineRule="exact"/>
        <w:ind w:firstLine="567"/>
        <w:rPr>
          <w:rStyle w:val="ad"/>
          <w:rFonts w:ascii="仿宋" w:eastAsia="仿宋" w:hAnsi="仿宋"/>
          <w:b w:val="0"/>
          <w:spacing w:val="-4"/>
          <w:sz w:val="32"/>
          <w:szCs w:val="32"/>
        </w:rPr>
      </w:pPr>
    </w:p>
    <w:p w14:paraId="7C6DA9A0" w14:textId="77777777" w:rsidR="00B30C15" w:rsidRDefault="00B30C15">
      <w:pPr>
        <w:spacing w:line="540" w:lineRule="exact"/>
        <w:ind w:firstLine="567"/>
        <w:rPr>
          <w:rStyle w:val="ad"/>
          <w:rFonts w:ascii="仿宋" w:eastAsia="仿宋" w:hAnsi="仿宋"/>
          <w:b w:val="0"/>
          <w:spacing w:val="-4"/>
          <w:sz w:val="32"/>
          <w:szCs w:val="32"/>
        </w:rPr>
      </w:pPr>
    </w:p>
    <w:p w14:paraId="16116B8B" w14:textId="77777777" w:rsidR="00B30C15" w:rsidRDefault="00B30C15">
      <w:pPr>
        <w:spacing w:line="540" w:lineRule="exact"/>
        <w:ind w:firstLine="567"/>
        <w:rPr>
          <w:rStyle w:val="ad"/>
          <w:rFonts w:ascii="仿宋" w:eastAsia="仿宋" w:hAnsi="仿宋"/>
          <w:b w:val="0"/>
          <w:spacing w:val="-4"/>
          <w:sz w:val="32"/>
          <w:szCs w:val="32"/>
        </w:rPr>
      </w:pPr>
    </w:p>
    <w:p w14:paraId="35577642" w14:textId="77777777" w:rsidR="00B30C15" w:rsidRDefault="00B30C15">
      <w:pPr>
        <w:spacing w:line="540" w:lineRule="exact"/>
        <w:ind w:firstLine="567"/>
        <w:rPr>
          <w:rStyle w:val="ad"/>
          <w:rFonts w:ascii="仿宋" w:eastAsia="仿宋" w:hAnsi="仿宋"/>
          <w:b w:val="0"/>
          <w:spacing w:val="-4"/>
          <w:sz w:val="32"/>
          <w:szCs w:val="32"/>
        </w:rPr>
      </w:pPr>
    </w:p>
    <w:p w14:paraId="776095BE" w14:textId="77777777" w:rsidR="00B30C15" w:rsidRDefault="00B30C15">
      <w:pPr>
        <w:spacing w:line="540" w:lineRule="exact"/>
        <w:ind w:firstLine="567"/>
        <w:rPr>
          <w:rStyle w:val="ad"/>
          <w:rFonts w:ascii="仿宋" w:eastAsia="仿宋" w:hAnsi="仿宋"/>
          <w:b w:val="0"/>
          <w:spacing w:val="-4"/>
          <w:sz w:val="32"/>
          <w:szCs w:val="32"/>
        </w:rPr>
      </w:pPr>
    </w:p>
    <w:p w14:paraId="4F5D9D13" w14:textId="77777777" w:rsidR="00B30C15" w:rsidRDefault="00B30C15">
      <w:pPr>
        <w:spacing w:line="540" w:lineRule="exact"/>
        <w:ind w:firstLine="567"/>
        <w:rPr>
          <w:rStyle w:val="ad"/>
          <w:rFonts w:ascii="仿宋" w:eastAsia="仿宋" w:hAnsi="仿宋"/>
          <w:b w:val="0"/>
          <w:spacing w:val="-4"/>
          <w:sz w:val="32"/>
          <w:szCs w:val="32"/>
        </w:rPr>
      </w:pPr>
    </w:p>
    <w:p w14:paraId="555FAFE7" w14:textId="77777777" w:rsidR="00B30C15" w:rsidRDefault="00B30C15">
      <w:pPr>
        <w:spacing w:line="540" w:lineRule="exact"/>
        <w:ind w:firstLine="567"/>
        <w:rPr>
          <w:rStyle w:val="ad"/>
          <w:rFonts w:ascii="仿宋" w:eastAsia="仿宋" w:hAnsi="仿宋"/>
          <w:b w:val="0"/>
          <w:spacing w:val="-4"/>
          <w:sz w:val="32"/>
          <w:szCs w:val="32"/>
        </w:rPr>
      </w:pPr>
    </w:p>
    <w:p w14:paraId="52EC0E21" w14:textId="77777777" w:rsidR="00B30C15" w:rsidRDefault="00B30C15">
      <w:pPr>
        <w:spacing w:line="540" w:lineRule="exact"/>
        <w:ind w:firstLine="567"/>
        <w:rPr>
          <w:rStyle w:val="ad"/>
          <w:rFonts w:ascii="仿宋" w:eastAsia="仿宋" w:hAnsi="仿宋"/>
          <w:b w:val="0"/>
          <w:spacing w:val="-4"/>
          <w:sz w:val="32"/>
          <w:szCs w:val="32"/>
        </w:rPr>
      </w:pPr>
    </w:p>
    <w:p w14:paraId="44E6E054" w14:textId="77777777" w:rsidR="00B30C15" w:rsidRDefault="00B30C15">
      <w:pPr>
        <w:spacing w:line="540" w:lineRule="exact"/>
        <w:ind w:firstLine="567"/>
        <w:rPr>
          <w:rStyle w:val="ad"/>
          <w:rFonts w:ascii="仿宋" w:eastAsia="仿宋" w:hAnsi="仿宋"/>
          <w:b w:val="0"/>
          <w:spacing w:val="-4"/>
          <w:sz w:val="32"/>
          <w:szCs w:val="32"/>
        </w:rPr>
      </w:pPr>
    </w:p>
    <w:p w14:paraId="6838D646" w14:textId="77777777" w:rsidR="00B30C15" w:rsidRDefault="00B30C15">
      <w:pPr>
        <w:spacing w:line="540" w:lineRule="exact"/>
        <w:ind w:firstLine="567"/>
        <w:rPr>
          <w:rStyle w:val="ad"/>
          <w:rFonts w:ascii="仿宋" w:eastAsia="仿宋" w:hAnsi="仿宋"/>
          <w:b w:val="0"/>
          <w:spacing w:val="-4"/>
          <w:sz w:val="32"/>
          <w:szCs w:val="32"/>
        </w:rPr>
      </w:pPr>
    </w:p>
    <w:sectPr w:rsidR="00B30C15">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AA3A5A" w14:textId="77777777" w:rsidR="005B0E51" w:rsidRDefault="005B0E51">
      <w:r>
        <w:separator/>
      </w:r>
    </w:p>
  </w:endnote>
  <w:endnote w:type="continuationSeparator" w:id="0">
    <w:p w14:paraId="37AE86F2" w14:textId="77777777" w:rsidR="005B0E51" w:rsidRDefault="005B0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22003363"/>
    </w:sdtPr>
    <w:sdtContent>
      <w:p w14:paraId="598F32AA" w14:textId="77777777" w:rsidR="00B30C15" w:rsidRDefault="00DB6A4D">
        <w:pPr>
          <w:pStyle w:val="a5"/>
          <w:jc w:val="center"/>
        </w:pPr>
        <w:r>
          <w:fldChar w:fldCharType="begin"/>
        </w:r>
        <w:r>
          <w:instrText>PAGE   \* MERGEFORMAT</w:instrText>
        </w:r>
        <w:r>
          <w:fldChar w:fldCharType="separate"/>
        </w:r>
        <w:r>
          <w:rPr>
            <w:lang w:val="zh-CN"/>
          </w:rPr>
          <w:t>1</w:t>
        </w:r>
        <w:r>
          <w:fldChar w:fldCharType="end"/>
        </w:r>
      </w:p>
    </w:sdtContent>
  </w:sdt>
  <w:p w14:paraId="659798A5" w14:textId="77777777" w:rsidR="00B30C15" w:rsidRDefault="00B30C1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41C3D0" w14:textId="77777777" w:rsidR="005B0E51" w:rsidRDefault="005B0E51">
      <w:r>
        <w:separator/>
      </w:r>
    </w:p>
  </w:footnote>
  <w:footnote w:type="continuationSeparator" w:id="0">
    <w:p w14:paraId="58CFDD50" w14:textId="77777777" w:rsidR="005B0E51" w:rsidRDefault="005B0E5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B0E51"/>
    <w:rsid w:val="005C51DF"/>
    <w:rsid w:val="005D10D6"/>
    <w:rsid w:val="005E7C5E"/>
    <w:rsid w:val="00725906"/>
    <w:rsid w:val="0075584F"/>
    <w:rsid w:val="007719C9"/>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4D2606A1"/>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A1BD1"/>
  <w15:docId w15:val="{760815B5-13C2-448F-A3DB-8948AFE4B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104</Words>
  <Characters>598</Characters>
  <Application>Microsoft Office Word</Application>
  <DocSecurity>0</DocSecurity>
  <Lines>4</Lines>
  <Paragraphs>1</Paragraphs>
  <ScaleCrop>false</ScaleCrop>
  <Company>微软中国</Company>
  <LinksUpToDate>false</LinksUpToDate>
  <CharactersWithSpaces>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2025-03-11T03:27:00Z</dcterms:created>
  <dc:creator>赵 恺（预算处）</dc:creator>
  <cp:lastModifiedBy>Administrator</cp:lastModifiedBy>
  <cp:lastPrinted>2018-12-31T10:56:00Z</cp:lastPrinted>
  <dcterms:modified xsi:type="dcterms:W3CDTF">2025-03-11T03:27:00Z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21EF0CDCB73D4B8D8FAC715995DB8275</vt:lpwstr>
  </property>
</Properties>
</file>