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申请支付庆华集团保理业务本金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伊宁边境经济合作区管理委员会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伊宁边境经济合作区管理委员会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开付尔</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2015年12月31日，为缓解庆华集团新疆煤化工有限公司流动性资金紧张并解决其垫付苏拉宫工业园区工程款问题，在伊犁州、伊宁市两级政府的支持下，新疆天山农村商业银行股份有限公司与庆华集团新疆煤化工有限公司、伊宁苏拉宫工业园区管理委员会三方签订了《保理业务三方合作协议》。2016年4月7日，新疆天山农村商业银行股份有限公司与庆华集团新疆煤化工有限公司签订编号为2016年保理字第010014号《国内保理业务合同》，约定由新疆天山农村商业银行股份有限公司向庆华集团新疆煤化工有限公司发放贷款2.35亿元。该笔贷款已于2023年4月6日到期，已偿还本金14000万元，还欠本金9500万元。2022年6月，在伊宁市政府、财政局的协助下，新疆天山农村商业银行股份有限公司与庆华集团新疆煤化工有限公司、伊宁苏拉官工业园区管理委员会三方签署了《保理业务三方合作协议之补充协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按照《保理业务三方合作协议&gt;之补充协议》第三条约定，第三期还款时间已到期。按照合同约定本项目资金用于支付2024年应支付的贷款本金利息共计2500万元。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按照《保理业务三方合作协议&gt;之补充协议》第三条约定，第三期还款时间已到期。按照合同约定本项目资金用于支付2024年应支付的贷款本金利息共计2500万元。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通过项目实施归还贷款1笔，归还欠款1笔，偿还银行数量1家，降低了债务规模，提高了政府公信力。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资金投入情况：该项目年初预算数0.00万元，全年预算数2500.00万元，该项目资金落实到位2500.00万元。资金来源为本级部门预算。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资金使用情况：截止到2025年12月31日，本项目实际支付资金2500.00万元，预算执行率为100.00%，主要用于：归还新疆天山农村商业银行庆华保理业务本金及利息1笔2500.00万元。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1、总体目标：归还贷款1笔，归还欠款1笔，偿还欠款银行数1家，通过项目实施，有效降低债务规模，提高政府公信力。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此次我单位根据《财政支出绩效评价管理暂行办法》（财预〔2020〕10号）文件要求实施评价工作，本次评价对象为申请支付庆华集团保理业务本金，评价核心为项目的资金投入、产出及效益。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综合效益方面，项目社会效益表现突出，表现在：有效提升债务偿还率，有效降低了债务规模，提高了政府公信力。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申请支付庆华集团保理业务本金项目评价得分情况：总分100分，项目决策占20分，得分20分；项目过程占20分，得分20分；项目产出占30分，得分30分；项目效益占30分，得分30分，项目总得分为100分。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新疆天山农村商业银行股份有限公司与庆华集团新疆煤化工有限公司、伊宁苏拉宫工业园区管理委员会三方签订的《保理业务三方合作协议》；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①项目有绩效目标；具体明确了“归还贷款1笔，归还欠款1笔，偿还欠款银行数1家，通过项目实施，有效降低债务规模，提高政府公信力。”的核心内容。目标设定依据充分。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③完成了归还贷款1笔，归还欠款1笔，偿还欠款银行数1家，通过项目实施，有效降低了债务规模，提高了政府公信力，项目预期产出效益和效果符合正常的业绩水平；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申请支付庆华集团保理业务本金项目将项目绩效目标细化分解为具体的绩效指标，一级指标共3条，二级指标共5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本项目预算编制依据三方签订的《保理业务三方合作协议》、《国内保理业务合同》、《</w:t>
      </w:r>
      <w:r>
        <w:rPr>
          <w:rStyle w:val="18"/>
          <w:rFonts w:hint="eastAsia" w:ascii="楷体" w:hAnsi="楷体" w:eastAsia="楷体"/>
          <w:spacing w:val="-4"/>
          <w:sz w:val="32"/>
          <w:szCs w:val="32"/>
          <w:lang w:val="en-US" w:eastAsia="zh-CN"/>
        </w:rPr>
        <w:t>&lt;</w:t>
      </w:r>
      <w:r>
        <w:rPr>
          <w:rStyle w:val="18"/>
          <w:rFonts w:hint="eastAsia" w:ascii="楷体" w:hAnsi="楷体" w:eastAsia="楷体"/>
          <w:spacing w:val="-4"/>
          <w:sz w:val="32"/>
          <w:szCs w:val="32"/>
        </w:rPr>
        <w:t>保理业务三方合作协议&gt;之补充协议》。按照《</w:t>
      </w:r>
      <w:r>
        <w:rPr>
          <w:rStyle w:val="18"/>
          <w:rFonts w:hint="eastAsia" w:ascii="楷体" w:hAnsi="楷体" w:eastAsia="楷体"/>
          <w:spacing w:val="-4"/>
          <w:sz w:val="32"/>
          <w:szCs w:val="32"/>
          <w:lang w:val="en-US" w:eastAsia="zh-CN"/>
        </w:rPr>
        <w:t>&lt;</w:t>
      </w:r>
      <w:r>
        <w:rPr>
          <w:rStyle w:val="18"/>
          <w:rFonts w:hint="eastAsia" w:ascii="楷体" w:hAnsi="楷体" w:eastAsia="楷体"/>
          <w:spacing w:val="-4"/>
          <w:sz w:val="32"/>
          <w:szCs w:val="32"/>
        </w:rPr>
        <w:t>保理业务三方合作协议&gt;之补充协议》第三条约定，第三期还款时间已到期，需还款2500万元，测算支出2500.00万元。预算编制过程经过业务科室、财务部门双重审核，无漏项、超项情况，预算内容与项目“归还1笔贷款，归还欠款1笔，偿还欠款银行数1家”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w:t>
      </w:r>
      <w:r>
        <w:rPr>
          <w:rStyle w:val="18"/>
          <w:rFonts w:hint="eastAsia" w:ascii="楷体" w:hAnsi="楷体" w:eastAsia="楷体"/>
          <w:spacing w:val="-4"/>
          <w:sz w:val="32"/>
          <w:szCs w:val="32"/>
          <w:lang w:val="en-US" w:eastAsia="zh-CN"/>
        </w:rPr>
        <w:t>&lt;</w:t>
      </w:r>
      <w:bookmarkStart w:id="0" w:name="_GoBack"/>
      <w:bookmarkEnd w:id="0"/>
      <w:r>
        <w:rPr>
          <w:rStyle w:val="18"/>
          <w:rFonts w:hint="eastAsia" w:ascii="楷体" w:hAnsi="楷体" w:eastAsia="楷体"/>
          <w:spacing w:val="-4"/>
          <w:sz w:val="32"/>
          <w:szCs w:val="32"/>
        </w:rPr>
        <w:t>保理业务三方合作协议&gt;之补充协议》为依据进行资金分配，预算资金分配依据充分，资金分配额度合理，与我单位实际需求相适应。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综上所述，本指标满分为3.00分，根据评分标准得3.00分,本项目的资金分配合理。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实际到位资金2500.00万元，预算资金2500.00万元，资金到位率100.00%。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全年预算数2500.00万元，全年执行数2500.00万元，预算执行率为100.00%。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本项目资金支出符合《预算法》、《政府会计制度》、《伊宁边境经济合作区管理委员会三重一大事项集体决策制度实施办法》。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边境经济合作区管理委员会项目管理办法》、《伊宁边境经济合作区管理委员会收支业务管理制度》、《伊宁边境经济合作区管理委员会政府采购业务管理制度》、《伊宁边境经济合作区管理委员会合同管理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边境经济合作区管理委员会项目管理办法》、《伊宁边境经济合作区管理委员会收支业务管理制度》、《伊宁边境经济合作区管理委员会政府采购业务管理制度》《伊宁边境经济合作区管理委员会合同管理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②财务支付凭证、协议书、资金申请报告等资料齐全并及时归档。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综上所述，本指标满分为4.00分，根据评分标准得4.00分,本项目所建立制度执行有效。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1、数量指标：指标1：归还贷款个数，指标值：=1个，业绩值1个，指标完成率100.00%；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指标2：归还贷款次数，指标值=1个，业绩值1个，指标完成率100.00%；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指标3：偿还欠款银行数量，指标值=1个，业绩值1个，指标完成率100.00%。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质量指标：指标1：资金使用合规率，指标值：=100%，业绩值100%，指标完成率100.00%。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时效指标：指标1：还贷及时率，指标值：=100%，业绩值100%，指标完成率100.00%。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综上所述，本指标满分为6.00分，根据评分标准得6.00分。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经济成本指标：指标1：归还贷款成本，指标值：≤2500万元，业绩值2500万元，指标完成率100.00%。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综上所述，本指标满分为10.00分，根据评分标准得10.00分。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项目效益类指标由1个二级指标和2个三级指标构成，权重分30.00分，实际得分30.00。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②社会效益指标：指标1：债务偿还率，指标值：=100%，业绩值100%，指标完成率100.00%。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综上所述，本指标满分为30.00分，根据评分标准得30.00分。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满意度指标：无此项指标。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施期间，严格落实项目管理制度，建立专项工作机制，明确岗位职责与工作分工，有序推进各项任务落地。全程实行规范化流程管控，常态化开展自查自纠，保障项目实施质量。同时严格执行专款专用制度，规范资金审批、使用全流程，确保资金安全高效利用。依托多方协同联动模式，整合各类资源，高效破解实施堵点，且全程规范归集留存项目档案资料，实现项目闭环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项目过程精细化管控不足，实施节奏统筹不均衡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整体虽按期完成全部既定任务，但实施过程中存在进度统筹不均衡、过程管控不够精细的问题。部分阶段性工作前期推进节奏偏缓，工作人员偏重最终结果完成，对各环节细节把控、进度动态管控重视不足。同时缺乏常态化动态调度机制，未结合项目实施实际及时调整工作计划，面对阶段性工作叠加、协作事项增多时，容易出现工作衔接滞后、台账资料更新不及时的情况。核心原因是项目管理偏向粗放式推进，精细化管理意识薄弱，动态督查、进度预警、问题整改闭环机制不够完善，过程管控的系统性和针对性不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项目成果提炼不足，长效运营转化机制不完善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完成各项建设任务并取得预期成效，但存在重实施、轻总结、轻推广的问题，缺乏对项目优质经验、特色成效的系统梳理与提炼，没有形成可复制、可推广的标准化工作模式，项目示范带动作用未能充分发挥。同时项目侧重阶段性建设落地，未建立完善的长效运营、成果巩固机制，后续常态化维护、动态优化的工作流程和责任分工不够明晰。主要原因是团队长远规划意识不足，工作重心聚焦于任务落地，忽视成果转化与长效建设，且缺乏成果复盘、提炼、推广的常态化工作机制。</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针对本次自查梳理出的两项核心问题，结合项目实施实际，逐条制定针对性整改措施与长效优化建议，做到问题、措施一一对应，切实补齐项目管理短板，全面提升项目规范化、精细化管理水平。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针对项目精细化管控不足问题，健全全过程动态管理机制。细化项目各阶段、各岗位工作清单与时间节点，制定精准的阶段性推进计划，建立月度调度、周度自查的动态管控模式，对项目进度、资料台账、工作质量开展常态化排查更新。搭建进度预警机制，针对滞后工作及时调整推进方案，压实各岗位过程管控责任，全程跟踪整改落实情况并闭环销号，彻底解决项目推进节奏不均、细节管控薄弱的问题，全面提升项目精细化管理质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针对成果提炼与长效机制薄弱问题，完善成果转化与长效运营体系。安排专人牵头开展项目复盘总结，系统梳理项目实施中的优秀做法、工作经验与实施成效，提炼形成标准化、可推广的工作模式，充分发挥项目示范引领作用。同时建立项目长效运营管理制度，明确后续维护、优化升级、成果推广的工作职责与工作流程，树立长效发展理念，持续巩固项目建设成果，推动项目成果持续落地赋能、长效发挥效益。</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4AB41C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2026-07-23T08:01:13Z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