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2020年2/3绩效补发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伊宁市供销合作社联合社</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伊宁市供销合作社联合社</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何寅姣</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 xml:space="preserve">    为深入贯彻《中华人民共和国公务员法》《事业单位人事管理条例》《新疆维吾尔自治区机关事业单位工作人员绩效考核管理办法》《伊宁市机关事业单位绩效考核与绩效奖励发放实施细则》等文件精神，全面落实机关事业单位绩效考核激励政策，保障干部职工合法薪酬待遇，充分调动干部职工履职尽责、担当作为的积极性、主动性和创造性，稳定干部队伍，提升工作效能，更好履行伊宁市供销社团结服务民营经济。本项目属于人员待遇保障类项目，资金专项用于补发兑现本单位干部职工2020年度绩效考核三分之二奖励。</w:t>
        <w:br/>
        <w:t>2、主要内容及实施情况</w:t>
        <w:br/>
        <w:t>主要内容：</w:t>
        <w:br/>
        <w:t>计划完成发放2020年2/3绩效奖励，计划一次性发放8人。严格按照伊宁市组织部、财政局核定的绩效奖励标准与发放范围，对本单位2020年度在岗且符合发放条件的干部职工开展资格审核、绩效分值核算、奖励金额计算、内部公示、逐级审批、资金申请及发放兑现等工作，确保政策执行标准统一、程序规范、公开公正、不漏一人、不错一笔。</w:t>
        <w:br/>
        <w:t>实施情况：</w:t>
        <w:br/>
        <w:t xml:space="preserve">    项目于2025年按照组织部统一部署启动实施，完成政策梳理、人员信息核对、绩效档案调取、奖励标准核算、内部公示无异议、报批备案、资金拨付、凭证归档等全流程工作。项目实施全程严格遵守人事、财务、内控管理制度，手续完备、资料齐全、流程合规，2025年底前已全面完成发放8人2020年三分之二绩效奖全部发放任务。</w:t>
        <w:br/>
        <w:t>3、资金投入和使用情况</w:t>
        <w:br/>
        <w:t>资金投入情况：该项目年初预算数0万元，全年预算数6.47万元，该项目资金落实到位6.47万元。资金来源为本级部门预算。</w:t>
        <w:br/>
        <w:t>资金使用情况：截止到2025年12月31日，本项目实际支付资金6.47万元，预算执行率为100%，主要用于发放：刘新8667元、田红玉8667元、金艺8667元、陈燕8000元、吴红红8000元、代雨妹4000元、刘新顺10000元、李林轩8667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1、总体目标：计划完成发放2020年三分之二绩效奖励，计划一次性发放8人。通过此项目的实施，将有效提高干部工作积极性，激发干部活力，促进各项工作高效落实。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此次我单位根据《财政支出绩效评价管理暂行办法》（财预〔2020〕10号）文件要求实施评价工作，本次评价对象为2020年三分之二绩效奖项目，评价核心为项目的资金投入、产出及效益。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本项目立项依据充分、程序规范，绩效目标合理明确；资金足额到位、专款专用、拨付及时，预算执行率100%；组织实施管理制度健全、执行有效；项目按时完成全部发放任务，核算准确、无差错；有效落实激励政策，稳定了干部队伍，提升了工作积极性，干部职工满意度高。</w:t>
        <w:br/>
        <w:t>综合效益方面，项目社会效益表现突出，表现在：通过此项目的实施，提高了干部工作积极性，激发了干部活力，促进了各项工作高效落实。</w:t>
        <w:br/>
        <w:t>（二）评价结论</w:t>
        <w:br/>
        <w:t>2020年三分之二绩效奖项目评价得分情况：总分100分，项目决策占20分，得分20分；项目过程占20分，得分20分；项目产出占30分，得分20分；项目效益占30分，得分30分，项目总得分为100分。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宁市委组织部下发的《伊宁市绩效奖励发放办法（试行）》；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①项目有绩效目标；具体明确了“计划完成发放2020年三分之二绩效奖励，计划一次性发放8人。通过此项目的实施，将有效提高干部工作积极性，激发干部活力，促进各项工作高效落实的效果”。</w:t>
        <w:br/>
        <w:t>②项目绩效目标与实际工作内容具有相关性；</w:t>
        <w:br/>
        <w:t>③完成了对8人2020年三分之二绩效奖励金的发放，达到激发了干部的工作活力，促进了工作的落实，提高了干部工作的积极性的效益，项目预期产出效益和效果符合正常的业绩水平；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2020年三分之二绩效奖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2020年度伊宁市绩效考核奖励申报表》，以“精准测算、按需配置”为原则，结合项目实施方案及具体任务清单开展，测算支出6.47万元。预算编制过程经过业务科室、财务部门双重审核，无漏项、超项情况，预算内容与项目“完成发放2020年2/3绩效奖励，计划一次性发放8人”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实际到位资金6.47万元，预算资金6.47万元，资金到位率100%。</w:t>
        <w:br/>
        <w:t>本指标满分为4.00分，根据评分标准得4分。</w:t>
        <w:br/>
        <w:t>（2）预算执行率</w:t>
        <w:br/>
        <w:t>全年预算数6.47万元，全年执行数6.47万元，预算执行率为100%。</w:t>
        <w:br/>
        <w:t>本指标满分为4.00分，根据评分标准得4分。</w:t>
        <w:br/>
        <w:t>（3）资金使用合规性</w:t>
        <w:br/>
        <w:t>本项目资金支出符合《预算法》、《政府会计制度》、《伊宁市供销合作社联合社单位资金管理办法》。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供销合作社联合社绩效管理办法》、《伊宁市供销合作社联合社收支业务管理制度》、《伊宁市供销合作社联合社政府采购业务管理制度》、《伊宁市供销合作社联合社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供销合作社联合社绩效管理办法》、《伊宁市供销合作社联合社收支业务管理制度》、《伊宁市供销合作社联合社政府采购业务管理制度》、《伊宁市供销合作社联合社合同管理制度》等相关管理规定，项目具备完整规范的立项程序综上分析，项目执行遵守相关法律法规和相关管理规定。</w:t>
        <w:br/>
        <w:t>②发放干部花名册、财务支付凭证、银行回单、《2020年度伊宁市绩效考核奖励申报表》等资料齐全并及时归档。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1、数量指标：指标1：绩效发放人数，指标值：=8人，业绩值8人，指标完成率100%；</w:t>
        <w:br/>
        <w:t>指标2：绩效发放次数，指标值：=1次，业绩值1次，指标完成率100%。</w:t>
        <w:br/>
        <w:t>综上所述，本指标满分为7.00分，根据评分标准得7分。</w:t>
        <w:br/>
        <w:t>（2）质量达标率</w:t>
        <w:br/>
        <w:t>质量指标：指标1：绩效发放准确率，指标值：=100%，业绩值100%，指标完成率100%；指标2：资金使用合规率，指标值：=100%，业绩值100%，指标完成率100%。</w:t>
        <w:br/>
        <w:t>综上所述，本指标满分为7.00分，根据评分标准得7分。</w:t>
        <w:br/>
        <w:t>（3）完成及时性</w:t>
        <w:br/>
        <w:t>时效指标：指标1：绩效发放及时率，指标值：=100%，业绩值100%，指标完成率100%。</w:t>
        <w:br/>
        <w:t>综上所述，本指标满分为6.00分，根据评分标准得6分。</w:t>
        <w:br/>
        <w:t>成本节约率</w:t>
        <w:br/>
        <w:t>经济成本指标：指标1：绩效人均发放成本，指标值：&lt;=8083.50元/人，业绩值8083.50元/人，指标完成率100%。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严格执行人事财政政策，统一标准、规范流程、公开公示，确保绩效奖发放公平公正。二是强化资金全流程管控，专款专用、精准核算、及时支付，保障资金安全高效。三是健全审核与档案管理机制，做到全程留痕、有据可查，提升项目规范化水平。四是坚持绩效导向，将奖励与考核挂钩，充分发挥激励作用，提升队伍凝聚力战斗力。</w:t>
        <w:br/>
        <w:t>（二）存在的问题及原因分析</w:t>
        <w:br/>
        <w:t>（一）预算编制与执行方面：预算编制测算粗放，精准度不足；预算执行进度不均衡，资金拨付偏晚、阶段性闲置。政策及历史数据运用不足，多部门联审流程衔接慢，统筹调度不够。</w:t>
        <w:br/>
        <w:t>（二）绩效管理方面：绩效目标设定笼统，缺乏量化细化指标，可考核性不强。绩效管理意识薄弱，重资金执行、轻目标管控，精细化管理不足。事中绩效动态监控缺失，事后自评流于形式，结果运用不足。</w:t>
        <w:br/>
        <w:t>（三）内控及档案管理方面：绩效发放专项内控制度不完善，岗位权责划分不够清晰。人员不足导致内控体系建设滞后，未落实不相容岗位分离，分工制约机制不足。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一是强化预算精细化管理。提前梳理人员变动情况，依托历史数据精准测算预算；加强与财政、人社、组织等部门衔接，合理把控拨付节奏，提高资金执行效率。</w:t>
        <w:br/>
        <w:t>二是严把资金发放审核关口。完善内控制度，建立人员信息跨部门联审核验机制，规范审核流程，杜绝不合规发放。规范绩效管理全流程。科学设置可量化、可考核的绩效指标；建立事中常态化监控，做实绩效自评，强化评价结果整改应用。</w:t>
        <w:br/>
        <w:t>三是健全内控与档案管理。完善绩效奖励发放专项管理细则，明晰岗位职责、落实岗位制衡；明确档案管理责任，做到资料齐全、及时规范归档。加强政策学习与部门联动。常态化开展绩效政策业务培训，统一执行口径；建立日常沟通协调机制，畅通信息共享渠道。</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