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土地及房屋征收补偿款费用</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伊宁市自然资源局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伊宁市自然资源局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李娜</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2026年04月30日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统筹区域国土空间开发利用，优化城乡建设布局，保障辖区重点基础设施、公共服务配套及民生工程落地实施，依规开展土地征收与房屋拆迁安置工作。按照国土空间规划及年度建设国华，依法对项目规划范围内集体土地、地上建筑物及附属设施实施征收拆迁。为规范征收补偿工作，维护被征收群众合法权益，保障征收工作平稳有序推进，足额落实土地及房屋征收补偿资金，据实兑付各项补偿补助费用，特实施本征收补偿费项目，为区域规划建设顺利推进筑牢基础、提供保障。</w:t>
        <w:br/>
        <w:t>2、主要内容及实施情况</w:t>
        <w:br/>
        <w:t>主要内容：</w:t>
        <w:br/>
        <w:t>拨付仁和房地产开发公司国有土地及房屋征收补偿款2863.05万元，涉及宗地数量1宗，宗地用地面积74.60亩。 项目实施主要是为尽快开发、实现土地价值，解决项目运营周转困难。</w:t>
        <w:br/>
        <w:t>实施情况：</w:t>
        <w:br/>
        <w:t>已完成支付仁和房地产开发公司国有土地及房屋征收补偿款2863.05万元，涉及宗地数量1宗，宗地用地面积74.60亩。通过实施本项目完成实现了土地价值，解决了当前项目运营周转困难。</w:t>
        <w:br/>
        <w:t>3、资金投入和使用情况</w:t>
        <w:br/>
        <w:t>资金投入情况：该项目年初预算数0.00万元，全年预算数2863.05万元，该项目资金落实到位2863.05万元。资金来源为本级部门预算。</w:t>
        <w:br/>
        <w:t>资金使用情况：截止到2025年12月31日，本项目实际支付资金2863.05万元，预算执行率为100%，主要用于：支付仁和房地产开发公司国有土地及房屋征收补偿款2863.05万元，涉及宗地数量1宗，宗地用地面积74.60亩，资金支付次数1次。 完成实现土地价值，解决了当前项目运营周转困难。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拨付仁和房地产开发公司国有土地及房屋征收补偿款2863.05万元，涉及宗地数量1宗，宗地用地面积74.60亩，资金支付次数1次。为尽快开发、实现土地价值，解决当前项目运营周转困难。为尽快开发、实现土地价值，解决当前项目运营周转困难。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此次我单位根据《财政支出绩效评价管理暂行办法》（财预〔2020〕10号）文件要求实施评价工作，本次评价对象为土地及房屋征收补偿款费用项目，评价核心为项目的资金投入、产出及效益。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我单位根据本项目资金的性质和特点，本次项目支出绩效自评采用最低成本法。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优秀，本项目严格对照既定绩效目标与任务计划，全面推进征地拆迁、补偿兑付各项工作，各项既定工作目标均圆满完成，达成率100%。在目标完成情况上，项目严格按照规划范围完成征地、拆迁工作任务，补偿资金及时兑付到位，各项重点工作任务均按既定节点顺利推进并落地见效。项目管理过程中，规范组织有序，有效保障了项目运行的规范性与高效性，实施过程中，健全全过程监管机制，补偿核算、资金拨付等环节，做到流程透明、操作规范、资料齐备。同时强化统筹协调，及时化解实施过程中的各类问题，有效保障工作推进效率。项目资金管理严格执行财经纪律、无资金挪用，整体管理工作严谨有序，合规高效。</w:t>
        <w:br/>
        <w:t>综合效益方面，项目社会效益表现突出，表现在顺利完成征地拆迁工作，为后续项目建设区域发展腾出空间，有力推动地方基础设施完善与城乡建设推进，依法依规落实补偿政策，维护了社会和谐稳定；经济效益上，规范资金使用，保障土地资源高效利用，为区域发展筑牢基础。</w:t>
        <w:br/>
        <w:t>（二）评价结论</w:t>
        <w:br/>
        <w:t>土地及房屋征收补偿款费用项目评价得分情况：总分100分，项目决策占20分，得分20分；项目过程占20分，得分20分；项目产出占30分，得分30分；项目效益占30分，得分30分，项目总得分为100分。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 20 分</w:t>
        <w:br/>
        <w:t>1、项目立项</w:t>
        <w:br/>
        <w:t>（1）立项依据充分性</w:t>
        <w:br/>
        <w:t>项目立项符合《中华人民共和国土地管理法实施条例》（国务院令第743号，2021修订）；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①项目有绩效目标；具体明确了“拨付仁和房地产开发公司国有土地及房屋征收补偿款2863.05万元，涉及宗地数量1宗，宗地用地面积74.60亩，资金支付次数1次。”目标设定依据充分。</w:t>
        <w:br/>
        <w:t>②项目绩效目标与实际工作内容具有相关性；</w:t>
        <w:br/>
        <w:t>③项目实施完成支付仁和房地产开发公司国有土地及房屋征收补偿款2863.05万元，涉及宗地数量1宗，宗地用地面积74.60亩，资金支付次数1次。 完成实现土地价值，解决了当前项目运营周转困难。项目预期产出效益和效果符合正常的业绩水平；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土地及房屋征收补偿款费用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土地及房屋征收补偿款费用项目，以“精准测算、按需配置”为原则，结合项目实施方案及具体任务清单开展，参考既往同类项目支出，测算支出2863.05万元。预算编制过程经过业务科室、财务部门双重审核，无漏项、超项情况，预算内容与项目“支付仁和房地产开发公司国有土地及房屋征收补偿款2863.05万元，涉及宗地数量1宗，宗地用地面积74.60亩，资金支付次数1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拨付伊犁仁和房地产开发（集团）有限责任公司国有土地及房屋征收补偿款费用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实际到位资金2863.05万元，预算资金2863.05万元，资金到位率100%。</w:t>
        <w:br/>
        <w:t>本指标满分为4.00分，根据评分标准得4.00分。</w:t>
        <w:br/>
        <w:t>（2）预算执行率</w:t>
        <w:br/>
        <w:t>全年预算数2863.05万元，全年执行数2863.05万元，预算执行率为100%。</w:t>
        <w:br/>
        <w:t>本指标满分为4.00分，根据评分标准得4.00分。</w:t>
        <w:br/>
        <w:t>（3）资金使用合规性</w:t>
        <w:br/>
        <w:t>本项目资金支出符合《预算法》、《政府会计制度》、《伊宁市自然资源局财务管理制度》、《伊宁市自然资源局“五重一大”事项集体决策制度》《伊宁市自然资源局党组议事规则》。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自然资源局“五重一大”事项集体决策制度》、《伊宁市自然资源局财务管理制度》、《伊宁市自然资源局内部审计会议制度》《伊宁市自然资源局公务接待审批制度》《伊宁市自然资源局财经领导小组会审制度》等各项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预算法》、《政府会计制度》、《伊宁市自然资源局财务管理制度》、《伊宁市自然资源局“五重一大”事项集体决策制度》《伊宁市自然资源局党组议事规则》等相关管理规定，项目具备完整规范的立项程序综上分析，项目执行遵守相关法律法规和相关管理规定。</w:t>
        <w:br/>
        <w:t>②政府批复文件、国有土地及房屋征收补偿协议、国有建设用地使用权出让合同、专用收据、国库集中支付凭证等资料齐全并及时归档。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1、数量指标：指标1：涉及宗地数量，指标值：=1宗，业绩值 1宗，指标完成率 100%；</w:t>
        <w:br/>
        <w:t>指标2：宗地用地面积，指标值：=74.60亩，业绩值74.60亩，指标完成率100%。</w:t>
        <w:br/>
        <w:t>指标3：资金支付次数，指标值：=1次，业绩值1次，指标完成率100%。</w:t>
        <w:br/>
        <w:t>综上所述，本指标满分为7.00分，根据评分标准得7.00分。</w:t>
        <w:br/>
        <w:t>（2）质量达标率</w:t>
        <w:br/>
        <w:t>质量指标：指标1：资金支付合规性，指标值：=100%，业绩值100%，指标完成率100%；</w:t>
        <w:br/>
        <w:t>综上所述，本指标满分为7.00分，根据评分标准得7.00分。</w:t>
        <w:br/>
        <w:t>（3）完成及时性</w:t>
        <w:br/>
        <w:t>时效指标：指标1：资金使用及时性，指标值：=100%，业绩值100，指标完成率100%；</w:t>
        <w:br/>
        <w:t>综上所述，本指标满分为6.00分，根据评分标准得6.00分。</w:t>
        <w:br/>
        <w:t>成本节约率</w:t>
        <w:br/>
        <w:t>经济成本指标：指标1：土地及房屋补偿费 ，指标值：&lt;=2863.05万元/次，业绩值2863.05万元/次，指标完成率100%；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项目效益类指标由1个二级指标和2个三级指标构成，权重分20.00分，实际得分19.00分。</w:t>
        <w:br/>
        <w:t>（1）实施效益</w:t>
        <w:br/>
        <w:t>①经济效益指标：无此项指标。</w:t>
        <w:br/>
        <w:t>②社会效益指标：指标1：实现土地价值，解决资金周转困难，指标值：100%，业绩值100%，指标完成率100%。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严格遵循国有土地上房屋征收与补偿相关法律法规，规范执行土地及房屋征收补偿流程，精准核定征收范围、房屋权属、面积及补偿标准。建立专项补偿资金专户管理、专款专用机制，细化资金审批、拨付、兑付全流程管控，全程做好公示公开工作，主动接受各方监督，确保补偿资金依法依规、足额及时兑付给被征收对象，保障征收工作平稳有序推进。</w:t>
        <w:br/>
        <w:t>（二）存在的问题及原因分析</w:t>
        <w:br/>
        <w:t>1.征收补偿核算精准度有待提升</w:t>
        <w:br/>
        <w:t>部分被征收房屋存在历史遗留产权界定不清晰、附属设施登记不全面的问题，导致前期补偿核算工作出现偏差。一方面，部分老旧房屋产权档案缺失、权属变更记录不完整，加之部分自建房屋、临时建筑无正规审批手续，产权归属难以快速界定，增加了核算难度；另一方面，现场勘查、丈量工作不够细致，对房屋装修、附属物等隐性补偿内容摸排不彻底，未能全面覆盖所有补偿事项，导致后期需反复核查补正，既延长了征收工作周期，也影响了补偿资金核算的准确性，易引发被征收对象的质疑。</w:t>
        <w:br/>
        <w:t>2.补偿资金拨付效率有待提高</w:t>
        <w:br/>
        <w:t>补偿资金拨付环节存在流程繁琐、跨部门协同不畅的问题，导致资金兑付滞后。一是资金审批层级较多，从申请、审核、复核到最终拨付，需经过多部门、多岗位签字确认，审批链条过长，且部分环节存在资料重复提交、审核效率低下的情况；二是房产公司与自然资源、财政、征收办等部门沟通衔接不紧密，信息传递不及时、不对称，遇到资料不完善、数据核对不一致等问题时，未能快速联动解决，进一步拖延了资金拨付进度，无法及时满足被征收对象的资金需求，影响征收工作的整体推进效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（一）提升征收补偿核算精细化水平</w:t>
        <w:br/>
        <w:t>全面梳理完善房屋产权档案资料，联合产权登记、住建等部门，对历史遗留产权问题逐一排查、专项研判，制定清晰的权属界定标准和处置流程，妥善解决产权纠纷。强化前期现场勘查工作，组建专业丈量、评估团队，细化核查内容，对房屋主体、装修、附属设施等逐一登记造册、现场确认，做到不漏登、错登。建立双人复核、交叉审核机制，对补偿核算数据、评估结果反复校验，从源头提升补偿核算精准度，减少后期整改工作量。</w:t>
        <w:br/>
        <w:t>（二）优化资金拨付流程强化部门协同</w:t>
        <w:br/>
        <w:t>精简补偿资金审批环节，梳理合并重复审核流程，简化申报资料，明确各岗位审核时限和责任，压缩审批周期，提高资金拨付流转效率。建立跨部门联动协作机制，搭建信息共享平台，实现征收资料、补偿数据、审核意见实时同步，加强房产公司与各职能部门的常态化沟通，针对资金拨付中的问题快速会商、及时解决。明确各部门职责分工，强化工作督办，确保补偿资金按流程快速拨付、及时兑付，保障征收工作高效推进。</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土地及房屋征收补偿资金均严格按照专项用途管理使用，不存在截留、挤占、挪用、超标准发放补偿款等违规违纪问题。后续将针对上述问题全面整改，持续规范征收补偿及资金管理工作，全力保障被征收对象合法权益，确保项目后续实施合规有序。</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