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关于申请拨付伊宁市合福绿色循环低碳产业园项目征迁资金的报告</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伊宁市巴彦岱镇人民政府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伊宁市巴彦岱镇人民政府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阿不都卡德尔·买买提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合富绿色循环诋毁产业园选址与伊宁市巴彦岱镇，规划用地面积29.485公顷，总占地面积400亩，规划建设20万㎡标准化厂房集群，项目落地前，需要完成项目用地的土地征收，房屋拆迁，安置补偿等工作，保障征迁工作顺利推进，为产业园开工建设奠定基础。项目的执行对就业岗位的增长，对拉动地方经济增长、拓宽就业渠道、完善产业链条、提升区域产业承载力有重要意义，是伊宁市稳经济、促就业、强产业的关键民生与产业项目。</w:t>
        <w:br/>
        <w:t>2、主要内容及实施情况</w:t>
        <w:br/>
        <w:t>主要内容：</w:t>
        <w:br/>
        <w:t>补偿伊宁市合福绿色循环低碳产业园项目征迁项目户数13户，补偿征收土地面积：139亩，通过实施重点片区土地征收拆迁工作，有效破解老旧片区布局零散、环境脏乱、配套滞后等突出问题，集约盘活土地资源，为生态治理、市政配套、产业培育及文化提质预留发展空间。</w:t>
        <w:br/>
        <w:t>实施情况：</w:t>
        <w:br/>
        <w:t>已完成补偿伊宁市合福绿色循环低碳产业园项目征迁项目户数13户，补偿征收土地面积：139亩，项目资金共计807.8596万元。</w:t>
        <w:br/>
        <w:t>3、资金投入和使用情况</w:t>
        <w:br/>
        <w:t>资金投入情况：该项目年初预算数0万元，全年预算数807.86万元，该项目资金落实到位807.86万元。资金来源为本级部门预算。</w:t>
        <w:br/>
        <w:t>资金使用情况：截止到2025年12月31日，本项目实际支付资金807.86万元，预算执行率为100%，主要用于：支付13户的土地补偿款807.86万元。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1、总体目标：补偿征收土地面积139亩。补偿伊宁市西北物流园二期户数13户。通过实施此项目，改善村民的生产生活质量。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关于申请拨付伊宁市合福绿色循环低碳产业园征迁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伊宁市合福绿色循环产业园项目征迁资金投入，聚集经济、社会、生态区域发展、长效战略五大维度，通过征迁腾地保障项目落地，实现资金投入与园区建设、产业提升、民生保护的深度融合、形成多维协同综合效益，具体如下：</w:t>
        <w:br/>
        <w:t>一、经济效益：夯实项目落地基础，撬动产业投资、激活区域产业经济，提升财税收入、带动上下游产业链增收。</w:t>
        <w:br/>
        <w:t>二、社会效益：保障群众民生、改善居住生活条件、拓宽本地就业渠道，稳岗增收、完善区域公共配套，提升民生服务、推动乡村振兴，促进城乡融合</w:t>
        <w:br/>
        <w:t>生态效益：筑牢低碳发展基底，路行绿色发展理念、优化区域生态环境，推动降碳减排、节约资源消耗，实现可持续发展。</w:t>
        <w:br/>
        <w:t>（二）评价结论</w:t>
        <w:br/>
        <w:t>关于申请拨付伊宁市合福绿色循环低碳产业园项目征迁资金的报告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国有土地上房屋征收与补偿条例》（国务院令第590号）、《新疆维吾尔自治区土地征收成片开发方案编制与审核管理办法》（新自然资规〔2024〕3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①项目有绩效目标；具体明确了补偿征收土地面积139亩。补偿伊宁市西北物流园二期户数13户。通过实施此项目，改善村民的生产生活质量的核心内容。目标设定依据充分。</w:t>
        <w:br/>
        <w:t>②项目绩效目标与实际工作内容具有相关性；</w:t>
        <w:br/>
        <w:t>③完成了补偿征收土地面积139亩。补偿户数13户，达到改善村民的生产生活质量效益，项目预期产出效益和效果符合正常的业绩水平；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关于申请拨付伊宁市合福绿色循环低碳产业园项目征迁资金的报告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依据国家及地方土地管理、房屋征收补偿法规与现行补偿标准，按照伊宁市巴彦岱镇已上报待支付项目征收土地明细表，以“精准测算、按需配置”为原则，结合项目实施方案及具体任务清单开展，测算支出807.86万元。预算编制过程经过业务科室、财务部门双重审核，无漏项、超项情况，预算内容与项目“着力优化城乡空间布局、完善基础设施配套、提升城市综合承载能力”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本项目实际分配资金以巴镇政发[2025]025号 《关于申请拨付伊宁市合福绿色循环低碳产业园项目征迁资金的报告》为依据进行资金分配，预算资金分配依据充分，资金分配额度合理，与我单位实际需求相适应。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实际到位资金807.8596万元，预算资金807.86万元，资金到位率100%。</w:t>
        <w:br/>
        <w:t>本指标满分为4.00分，根据评分标准得4分。</w:t>
        <w:br/>
        <w:t>（2）预算执行率</w:t>
        <w:br/>
        <w:t>全年预算数807.86万元，全年执行数807.86万元，预算执行率为100%。</w:t>
        <w:br/>
        <w:t>本指标满分为4.00分，根据评分标准得4分。</w:t>
        <w:br/>
        <w:t>（3）资金使用合规性</w:t>
        <w:br/>
        <w:t>本项目资金支出符合《预算法》、《政府会计制度》、《中华人民共和国土地管理法》、《征用土地公告办法》、《国土资源部10号令》。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巴彦岱镇财政所大额资金审批制度》、《巴彦岱镇党委财经领导小组会议议事规则》、《巴彦岱镇内部控制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中华人民共和国土地管理法》《征用土地公告办法》、《国土资源部10号令》、《巴彦岱镇财政所大额资金审批制度》、《巴彦岱镇党委财经领导小组会议议事规则》、《巴彦岱镇内部控制管理制度》等相关管理规定，项目具备完整规范的立项程序综上分析，项目执行遵守相关法律法规和相关管理规定。</w:t>
        <w:br/>
        <w:t>②项目合同书、资金申请报告、伊宁市人民政府征地公告、财务支付凭证等资料齐全并及时归档。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1、数量指标：指标1：补偿征收土地面积，指标值：=139亩，业绩值：139亩，指标完成率100%；</w:t>
        <w:br/>
        <w:t>指标2： 补偿伊宁市西北物流园二期户数，指标值：=13户，业绩值 13户，指标完成率100 %。</w:t>
        <w:br/>
        <w:t>综上所述，本指标满分为7.00分，根据评分标准得10分。</w:t>
        <w:br/>
        <w:t>（2）质量达标率</w:t>
        <w:br/>
        <w:t>质量指标：指标1：补助发放准确率，指标值：=100%，业绩值100%，指标完成率100%；</w:t>
        <w:br/>
        <w:t>综上所述，本指标满分为7.00分，根据评分标准得10分。</w:t>
        <w:br/>
        <w:t>（3）完成及时性</w:t>
        <w:br/>
        <w:t>时效指标：指标1：补助发放及时率，指标值：=100% ，业绩值：100% ，指标完成率：100% ；</w:t>
        <w:br/>
        <w:t>综上所述，本指标满分为6.00分，根据评分标准得10分。</w:t>
        <w:br/>
        <w:t>成本节约率</w:t>
        <w:br/>
        <w:t>经济成本指标：指标1：补偿伊宁市西北物流园二期平均成本 ，指标值：&lt;=5.81万元/户，业绩值： 5.81万元/户，指标完成率 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②社会效益指标：指标1：改善群众生产生活质量，指标值： =100%，业绩值：100%，指标完成率100%。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满意度指标：指标1：征迁群众满意度，指标值：=100%，业绩值100%，指标完成率100%。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预算编制科学精准，资金测算规范合规</w:t>
        <w:br/>
        <w:t>1.遵循“精准测算，按需配置”原则，结合项目实施方案，征迁任务清单编制资金预算，参考同类园区征迁项目支出标准，精准核算征迁补偿资金需求，本次申请807.86万元，无漏项，超项情况。</w:t>
        <w:br/>
        <w:t>2.严格执行双重审核机制，预算编制经业务科室、财政部门联合审核，资金额度与征迁各阶段任务量精准适配。</w:t>
        <w:br/>
        <w:t>补偿标准依法依规，政策执行统一透明</w:t>
        <w:br/>
        <w:t>1.土地补偿严格依据《中华人民共和国土地管理法》及伊宁市征地区片综合地价标准执行。</w:t>
        <w:br/>
        <w:t>3.强化资金闭环监管，保障资金安全高校</w:t>
        <w:br/>
        <w:t>1.建立“转款专用、转账核算”管理模式，征迁资金单独列支、专项拨付，严格执行资金申请、审批、拨付流程，杜绝挤占、挪用、截留资金行为。</w:t>
        <w:br/>
        <w:t>2.落实多部门协同监督，由财政、审计、镇政府联合监督资金使用，全程跟踪资金流向，确保资金资金精准拨付至被征迁主体、提升资金使用效益。</w:t>
        <w:br/>
        <w:t>（二）存在的问题及原因分析</w:t>
        <w:br/>
        <w:t>预算管理方面：1.动态调整机制不足，2.预算细化程度有持提升。</w:t>
        <w:br/>
        <w:t>资金监管方面：1.全链条信息化监督覆盖不足。2.第三方监督与参与度较低。</w:t>
        <w:br/>
        <w:t>政策执行方面：1.政策宣传的深度与广度不足，2.特殊情况的政策适配性较弱。</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一、预算管理优化建议：1.建立动态预算调整机制,2.精细化编制与标准固化，3.信息化赋预算管控等等</w:t>
        <w:br/>
        <w:t>二、风险防控与内控强化</w:t>
        <w:br/>
        <w:t>1.合规与廉政风险跟踪审计，全程要公开，岗位分离等</w:t>
        <w:br/>
        <w:t>2.资金安全与兑付风险，足额保障，补偿款直达被征迁人账户，杜绝现金发放。</w:t>
        <w:br/>
        <w:t>三、强化被征地群众工保障工作</w:t>
        <w:br/>
        <w:t>1.作农民被征地以后，做到补偿足额到位同时，住房妥善安置。2.社保应保尽保。</w:t>
        <w:br/>
        <w:t>3.就业优先帮扶。</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