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79FFDE" w14:textId="77777777" w:rsidR="00B30C15" w:rsidRDefault="00DB6A4D">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14:paraId="1359DBB7" w14:textId="77777777" w:rsidR="00B30C15" w:rsidRDefault="00B30C15">
      <w:pPr>
        <w:spacing w:line="540" w:lineRule="exact"/>
        <w:jc w:val="center"/>
        <w:rPr>
          <w:rFonts w:ascii="华文中宋" w:eastAsia="华文中宋" w:hAnsi="华文中宋" w:cs="宋体"/>
          <w:b/>
          <w:kern w:val="0"/>
          <w:sz w:val="52"/>
          <w:szCs w:val="52"/>
        </w:rPr>
      </w:pPr>
    </w:p>
    <w:p w14:paraId="794EBCE4" w14:textId="77777777" w:rsidR="00B30C15" w:rsidRDefault="00B30C15">
      <w:pPr>
        <w:spacing w:line="540" w:lineRule="exact"/>
        <w:jc w:val="center"/>
        <w:rPr>
          <w:rFonts w:ascii="华文中宋" w:eastAsia="华文中宋" w:hAnsi="华文中宋" w:cs="宋体"/>
          <w:b/>
          <w:kern w:val="0"/>
          <w:sz w:val="52"/>
          <w:szCs w:val="52"/>
        </w:rPr>
      </w:pPr>
    </w:p>
    <w:p w14:paraId="5CB1669F" w14:textId="77777777" w:rsidR="00B30C15" w:rsidRDefault="00B30C15">
      <w:pPr>
        <w:spacing w:line="540" w:lineRule="exact"/>
        <w:jc w:val="center"/>
        <w:rPr>
          <w:rFonts w:ascii="华文中宋" w:eastAsia="华文中宋" w:hAnsi="华文中宋" w:cs="宋体"/>
          <w:b/>
          <w:kern w:val="0"/>
          <w:sz w:val="52"/>
          <w:szCs w:val="52"/>
        </w:rPr>
      </w:pPr>
    </w:p>
    <w:p w14:paraId="1CBABBE7" w14:textId="77777777" w:rsidR="00B30C15" w:rsidRDefault="00B30C15">
      <w:pPr>
        <w:spacing w:line="540" w:lineRule="exact"/>
        <w:jc w:val="center"/>
        <w:rPr>
          <w:rFonts w:ascii="华文中宋" w:eastAsia="华文中宋" w:hAnsi="华文中宋" w:cs="宋体"/>
          <w:b/>
          <w:kern w:val="0"/>
          <w:sz w:val="52"/>
          <w:szCs w:val="52"/>
        </w:rPr>
      </w:pPr>
    </w:p>
    <w:p w14:paraId="42C7541A" w14:textId="77777777" w:rsidR="00B30C15" w:rsidRDefault="00B30C15">
      <w:pPr>
        <w:spacing w:line="540" w:lineRule="exact"/>
        <w:jc w:val="center"/>
        <w:rPr>
          <w:rFonts w:ascii="华文中宋" w:eastAsia="华文中宋" w:hAnsi="华文中宋" w:cs="宋体"/>
          <w:b/>
          <w:kern w:val="0"/>
          <w:sz w:val="52"/>
          <w:szCs w:val="52"/>
        </w:rPr>
      </w:pPr>
    </w:p>
    <w:p w14:paraId="73F23259" w14:textId="77777777" w:rsidR="00B30C15" w:rsidRDefault="00B30C15">
      <w:pPr>
        <w:spacing w:line="540" w:lineRule="exact"/>
        <w:jc w:val="center"/>
        <w:rPr>
          <w:rFonts w:ascii="华文中宋" w:eastAsia="华文中宋" w:hAnsi="华文中宋" w:cs="宋体"/>
          <w:b/>
          <w:kern w:val="0"/>
          <w:sz w:val="52"/>
          <w:szCs w:val="52"/>
        </w:rPr>
      </w:pPr>
    </w:p>
    <w:p w14:paraId="2D82766C" w14:textId="15BA8B5A" w:rsidR="00B30C15" w:rsidRDefault="00DB6A4D">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14:paraId="0105CAE8" w14:textId="77777777" w:rsidR="00B30C15" w:rsidRDefault="00B30C15">
      <w:pPr>
        <w:spacing w:line="540" w:lineRule="exact"/>
        <w:jc w:val="center"/>
        <w:rPr>
          <w:rFonts w:ascii="华文中宋" w:eastAsia="华文中宋" w:hAnsi="华文中宋" w:cs="宋体"/>
          <w:b/>
          <w:kern w:val="0"/>
          <w:sz w:val="52"/>
          <w:szCs w:val="52"/>
        </w:rPr>
      </w:pPr>
    </w:p>
    <w:p w14:paraId="5645C633" w14:textId="77777777" w:rsidR="00B30C15" w:rsidRDefault="00DB6A4D">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2025</w:t>
      </w:r>
      <w:proofErr w:type="spellStart"/>
      <w:proofErr w:type="spellEnd"/>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4DD17AE7" w14:textId="77777777" w:rsidR="00B30C15" w:rsidRDefault="00B30C15">
      <w:pPr>
        <w:spacing w:line="540" w:lineRule="exact"/>
        <w:jc w:val="center"/>
        <w:rPr>
          <w:rFonts w:eastAsia="仿宋_GB2312" w:hAnsi="宋体" w:cs="宋体"/>
          <w:kern w:val="0"/>
          <w:sz w:val="30"/>
          <w:szCs w:val="30"/>
        </w:rPr>
      </w:pPr>
    </w:p>
    <w:p w14:paraId="7864D631" w14:textId="77777777" w:rsidR="00B30C15" w:rsidRDefault="00B30C15">
      <w:pPr>
        <w:spacing w:line="540" w:lineRule="exact"/>
        <w:jc w:val="center"/>
        <w:rPr>
          <w:rFonts w:eastAsia="仿宋_GB2312" w:hAnsi="宋体" w:cs="宋体"/>
          <w:kern w:val="0"/>
          <w:sz w:val="30"/>
          <w:szCs w:val="30"/>
        </w:rPr>
      </w:pPr>
    </w:p>
    <w:p w14:paraId="1951DA0C" w14:textId="77777777" w:rsidR="00B30C15" w:rsidRDefault="00B30C15">
      <w:pPr>
        <w:spacing w:line="540" w:lineRule="exact"/>
        <w:jc w:val="center"/>
        <w:rPr>
          <w:rFonts w:eastAsia="仿宋_GB2312" w:hAnsi="宋体" w:cs="宋体"/>
          <w:kern w:val="0"/>
          <w:sz w:val="30"/>
          <w:szCs w:val="30"/>
        </w:rPr>
      </w:pPr>
    </w:p>
    <w:p w14:paraId="7426BE0C" w14:textId="77777777" w:rsidR="00B30C15" w:rsidRDefault="00B30C15">
      <w:pPr>
        <w:spacing w:line="540" w:lineRule="exact"/>
        <w:jc w:val="center"/>
        <w:rPr>
          <w:rFonts w:eastAsia="仿宋_GB2312" w:hAnsi="宋体" w:cs="宋体"/>
          <w:kern w:val="0"/>
          <w:sz w:val="30"/>
          <w:szCs w:val="30"/>
        </w:rPr>
      </w:pPr>
    </w:p>
    <w:p w14:paraId="0D55BB56" w14:textId="77777777" w:rsidR="00B30C15" w:rsidRDefault="00B30C15">
      <w:pPr>
        <w:spacing w:line="540" w:lineRule="exact"/>
        <w:jc w:val="center"/>
        <w:rPr>
          <w:rFonts w:eastAsia="仿宋_GB2312" w:hAnsi="宋体" w:cs="宋体"/>
          <w:kern w:val="0"/>
          <w:sz w:val="30"/>
          <w:szCs w:val="30"/>
        </w:rPr>
      </w:pPr>
    </w:p>
    <w:p w14:paraId="2D009827" w14:textId="77777777" w:rsidR="00B30C15" w:rsidRDefault="00B30C15">
      <w:pPr>
        <w:spacing w:line="540" w:lineRule="exact"/>
        <w:rPr>
          <w:rFonts w:eastAsia="仿宋_GB2312" w:hAnsi="宋体" w:cs="宋体"/>
          <w:kern w:val="0"/>
          <w:sz w:val="30"/>
          <w:szCs w:val="30"/>
        </w:rPr>
      </w:pPr>
    </w:p>
    <w:p w14:paraId="0AD9D5B4" w14:textId="77777777" w:rsidR="00B30C15" w:rsidRDefault="00DB6A4D">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61E82372" w14:textId="77777777" w:rsidR="00B30C15" w:rsidRDefault="00DB6A4D">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伊宁市达达木图镇下苏拉宫村二期房屋修缮和基础设施建设项目</w:t>
      </w:r>
      <w:proofErr w:type="spellStart"/>
      <w:proofErr w:type="spellEnd"/>
    </w:p>
    <w:p w14:paraId="21A4AA14" w14:textId="77777777" w:rsidR="00B30C15" w:rsidRDefault="00DB6A4D">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伊宁市达达木图镇人民政府</w:t>
      </w:r>
      <w:proofErr w:type="spellStart"/>
      <w:proofErr w:type="spellEnd"/>
    </w:p>
    <w:p w14:paraId="451D76B1" w14:textId="77777777" w:rsidR="00B30C15" w:rsidRDefault="00DB6A4D">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伊宁市达达木图镇人民政府</w:t>
      </w:r>
      <w:proofErr w:type="spellStart"/>
      <w:proofErr w:type="spellEnd"/>
    </w:p>
    <w:p w14:paraId="165F2B56" w14:textId="77777777" w:rsidR="00B30C15" w:rsidRDefault="00DB6A4D">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郭文渊</w:t>
      </w:r>
      <w:proofErr w:type="spellStart"/>
      <w:proofErr w:type="spellEnd"/>
    </w:p>
    <w:p w14:paraId="5C0E3D36" w14:textId="77777777" w:rsidR="00B30C15" w:rsidRDefault="00DB6A4D">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2026年05月09日</w:t>
      </w:r>
    </w:p>
    <w:p w14:paraId="294F1896" w14:textId="77777777" w:rsidR="00B30C15" w:rsidRDefault="00B30C15">
      <w:pPr>
        <w:spacing w:line="700" w:lineRule="exact"/>
        <w:ind w:firstLineChars="236" w:firstLine="708"/>
        <w:jc w:val="left"/>
        <w:rPr>
          <w:rFonts w:eastAsia="仿宋_GB2312" w:hAnsi="宋体" w:cs="宋体"/>
          <w:kern w:val="0"/>
          <w:sz w:val="30"/>
          <w:szCs w:val="30"/>
        </w:rPr>
      </w:pPr>
    </w:p>
    <w:p w14:paraId="5A6EEF68" w14:textId="77777777" w:rsidR="00B30C15" w:rsidRDefault="00B30C15">
      <w:pPr>
        <w:spacing w:line="540" w:lineRule="exact"/>
        <w:rPr>
          <w:rStyle w:val="ad"/>
          <w:rFonts w:ascii="黑体" w:eastAsia="黑体" w:hAnsi="黑体"/>
          <w:b w:val="0"/>
          <w:spacing w:val="-4"/>
          <w:sz w:val="32"/>
          <w:szCs w:val="32"/>
        </w:rPr>
      </w:pPr>
    </w:p>
    <w:p w14:paraId="6CE35C78"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lastRenderedPageBreak/>
        <w:t>一、基本情况</w:t>
      </w:r>
    </w:p>
    <w:p w14:paraId="695F52D0"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（一）项目概况。包括项目背景、主要内容及实施情况、资金投入和使用情况等。</w:t>
      </w:r>
    </w:p>
    <w:p w14:paraId="08F8F31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1、项目背景：</w:t>
        <w:br/>
        <w:t>下苏拉宫村位于伊宁市达达木图镇，地理位置优越，交通便</w:t>
        <w:br/>
        <w:t>利，周边自然资源丰富，具有发展乡村旅游的良好基础。近年来，随着乡村振兴战略的深入实施，伊宁市积极推动乡村旅游发展，下苏拉宫村作为重点发展区域之一，迎来了新的发展机遇。村庄内部分房屋由于建造年代久远，历经风雨侵蚀，加上长期缺乏有效的维护和修缮，许多房屋出现了墙体开裂、屋顶漏水、门窗破损等问题，不仅影响了村民的居住安全和生活质量，也对村庄的整体形象和风貌造成了负面影响。同时，部分村民因外出务工或搬迁至城市居住，导致一些房屋闲置，这些闲置房屋不仅占用了宝贵的土地资源，也未能得到有效利用，造成了资源的浪费。</w:t>
        <w:br/>
        <w:t>在乡村旅游蓬勃发展的大背景下，下苏拉宫村独特的民俗文</w:t>
        <w:br/>
        <w:t>化和自然风光吸引了众多游客的关注。然而，现有的房屋条件无</w:t>
        <w:br/>
        <w:t>法满足游客对住宿、餐饮、休闲等方面的需求，严重制约了乡村</w:t>
        <w:br/>
        <w:t>旅游产业的进一步发展。为了改善村民居住条件，提升村庄整体</w:t>
        <w:br/>
        <w:t>形象，盘活闲置住宅资源，发展乡村旅游，伊宁市达达木图镇决</w:t>
        <w:br/>
        <w:t>定对下苏拉宫村 163 户房屋进行修缮。通过科学合理的修缮和</w:t>
        <w:br/>
        <w:t>改造，使这些房屋既保留传统的建筑风格和文化特色，又能适应</w:t>
        <w:br/>
        <w:t>现代生活和旅游经营的需要，实现房屋的多功能利用，为村民增</w:t>
        <w:br/>
        <w:t>收致富和乡村经济发展注入新的活力。</w:t>
        <w:br/>
        <w:t>2、主要内容及实施情况</w:t>
        <w:br/>
        <w:t>主要内容：</w:t>
        <w:br/>
        <w:t>下苏拉官村二期163套房屋自2013年长期处于闲置状态，其内部基础设施、门窗以及外墙等部位均出现了不同程度的损坏。为了提高下苏拉宫村二期163套房屋的品质与市场竞争力，满足购房者需求，现需对下苏拉宫村二期房屋进行修缮和基础设施建设，申请支付二期房屋修缮费350万元，基础设施建设费200万元，土地平整费用200万元。总计申请支付资金750万元。</w:t>
        <w:br/>
        <w:t>实施情况：</w:t>
        <w:br/>
        <w:t>已修复163套房屋面、墙面、地面，处理渗漏、破损；更新内外装饰，提升美观度与耐久性。升级给排水、电气、暖通等系统。通过实施本项目保障了居住环境的安全与舒适，提升了小区整体风貌，改善了居民居住条件;提升了城市形象，增强了城市竞争力。项目实施可创造大量就业岗位，带动上下游产业发展，促进社会稳定和谐，对提升居民生活品质、增强幸福感意义重大。</w:t>
        <w:br/>
        <w:t>3、资金投入和使用情况</w:t>
        <w:br/>
        <w:t>资金投入情况：该项目年初预算数0万元，全年预算数750万元，该项目资金落实到位750万元。资金来源为本级部门预算。</w:t>
        <w:br/>
        <w:t>资金使用情况：截止到2025年12月31日，本项目实际支付资金750万元，预算执行率为100%，主要用于：房屋修缮及基础设施建设费用550万元、土地平整费用200万元。</w:t>
      </w:r>
    </w:p>
    <w:p w14:paraId="5191B688"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（二）项目绩效目标。包括总体目标和阶段性目标。</w:t>
      </w:r>
    </w:p>
    <w:p w14:paraId="5E1453B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1、总体目标：为了提高下苏拉官村二期163 套房屋的品质与市场竞争力，满足购房者需求，现需对下苏拉官村二期房屋进行修缮和基础设施建设。提高下苏拉宫村二期163套房屋的品质与市场竞争力，满足购房者需求。</w:t>
        <w:br/>
        <w:t>2、阶段性目标：按照项目实施周期，将总体目标分解为各阶段任务。前期做好方案细化、资源配置、前期调研等筹备工作，为项目实施创造条件；中期聚焦核心业务推进，保质保量完成阶段性产出；后期做好成果整合、资料归档及效果自评、反馈收集。各环节严格管控进度、质量与经费使用，确保阶段衔接顺畅，推动总体目标有序落地。</w:t>
      </w:r>
    </w:p>
    <w:p w14:paraId="4CDBE12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w:t>
      </w:r>
      <w:r>
        <w:rPr>
          <w:rStyle w:val="ad"/>
          <w:rFonts w:hint="eastAsia"/>
          <w:spacing w:val="-4"/>
          <w:sz w:val="32"/>
          <w:szCs w:val="32"/>
        </w:rPr>
        <w:t>绩效评价工作开展情况</w:t>
      </w:r>
    </w:p>
    <w:p w14:paraId="2A58866E"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14:paraId="212A02D4"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1、绩效评价目的：</w:t>
        <w:br/>
        <w:t>根据财政部印发《项目支出绩效评价管理办法》（财预〔2020〕10号）、《自治区财政支出绩效评价管理暂行办法》（新财预〔2018〕189号），开展绩效评价目的如下：</w:t>
        <w:br/>
        <w:t>一是开展部门项目支出绩效评价，严格贯彻《中华人民共和国预算法》及上级关于全面加强预算绩效管理的有关要求，推动构建 “花钱必问效、无效必问责” 的绩效管理长效机制，切实提高财政资金配置效率和使用效益。</w:t>
        <w:br/>
        <w:t>二是以绩效评价为抓手，进一步做实做细绩效目标管理，结合项目实际科学设置多维度绩效指标体系，细化完善数量、质量、时效、成本、经济效益、社会效益、生态效益及服务对象满意度等关键指标，确保绩效指标科学规范、指向明确、可量化可考核。</w:t>
        <w:br/>
        <w:t>三是通过全面实施绩效评价，纠正以往在绩效管理工作中存在的认识偏差与执行短板，推动预算编制与绩效目标、绩效指标深度融合，强化 “用钱必问效” 的责任约束，不断提升预算绩效管理的刚性与权威性，加快实现从传统预算管理向全方位、全过程、全覆盖的绩效预算管理转型。</w:t>
        <w:br/>
        <w:t>四是依托绩效评价全面复盘项目在决策、实施、运行及管理等环节存在的问题，系统梳理短板弱项并提出改进路径，为优化项目管理、提升实施质量提供坚实支撑，同时为项目后续运行、维护及长效评价奠定理论基础与实践依据。</w:t>
        <w:br/>
        <w:t>2、绩效评价对象：</w:t>
        <w:br/>
        <w:t>此次我单位根据《财政支出绩效评价管理暂行办法》（财预〔2020〕10号）文件要求实施评价工作，本次评价对象为伊宁市达达木图镇下苏拉宫村二期房屋修缮工程建设项目，评价核心为项目的资金投入、产出及效益。</w:t>
        <w:br/>
        <w:t>3、绩效评价范围：</w:t>
        <w:br/>
        <w:t>本次评价从项目决策（包括绩效目标、决策过程）、项目管理（包括项目资金、项目实施）、项目产出（包括项目产出数量、产出质量、产出时效、产出成本）、项目效益四个维度进行绩效评价，评价核心为项目资金的支出完成情况和效果。</w:t>
      </w:r>
    </w:p>
    <w:p w14:paraId="63BB42D3"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（二）绩效评价原则、评价指标体系（附表说明）、评价方法、评价标准等。</w:t>
      </w:r>
    </w:p>
    <w:p w14:paraId="21FF8141"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等要求，绩效评价应遵循如下原则：</w:t>
        <w:br/>
        <w:t>1、绩效评价原则</w:t>
        <w:br/>
        <w:t>（一）科学公正。绩效评价应当运用科学合理的方法，按照规范的程序，对项目绩效进行客观、公正的反映。</w:t>
        <w:br/>
        <w:t>（二）统筹兼顾。单位自评、部门评价和财政评价应职责明确，各有侧重，相互衔接。单位自评应由项目单位自主实施，即“谁支出、谁自评”。部门评价和财政评价应在单位自评的基础上开展，必要时可委托第三方机构实施。</w:t>
        <w:br/>
        <w:t>（三）激励约束。绩效评价结果应与预算安排、政策调整、改进管理实质性挂钩，体现奖优罚劣和激励相容导向，有效要安排、低效要压减、无效要问责。</w:t>
        <w:br/>
        <w:t>（四）公开透明。绩效评价结果应依法依规公开，并自觉接受社会监督。</w:t>
        <w:br/>
        <w:t>2、评价指标体系（附表说明）</w:t>
        <w:br/>
        <w:t>我单位通过实施资料研读，结合项目的实际开展情况，按照《项目支出绩效评价管理办法》（财预〔2020〕10号）文件要求，结合项目特点，设置指标体系结构如下：设置一级指标共4个，包括：决策指标、过程指标、产出指标、效益指标四类指标。主要围绕资金使用、项目管理、资源配置等方面，客观分析项目的产出和效果，从而考察项目预算定额标准的合理性，进而提出完善意见。详细指标体系见“附表：项目支出绩效评价绩效评价体系”。</w:t>
        <w:br/>
        <w:t>3、评价方法</w:t>
        <w:br/>
        <w:t>财政和部门评价的方法主要包括成本效益分析法、比较法、因素分析法、最低成本法、公众评判法、标杆管理法等。根据评价对象的具体情况，可采用一种或多种方法。</w:t>
        <w:br/>
        <w:t>（一）成本效益分析法。是指将投入与产出、效益进行关联性分析的方法。 </w:t>
        <w:br/>
        <w:t>（二）比较法。是指将实施情况与绩效目标、历史情况、不同部门和地区同类支出情况进行比较的方法。</w:t>
        <w:br/>
        <w:t>（三）因素分析法。是指综合分析影响绩效目标实现、实施效果的内外部因素的方法。</w:t>
        <w:br/>
        <w:t>（四）最低成本法。是指在绩效目标确定的前提下，成本最小者为优的方法。</w:t>
        <w:br/>
        <w:t>（五）公众评判法。是指通过专家评估、公众问卷及抽样调查等方式进行评判的方法。</w:t>
        <w:br/>
        <w:t>（六）标杆管理法。是指以国内外同行业中较高的绩效水平为标杆进行评判的方法。</w:t>
        <w:br/>
        <w:t>（七）其他评价方法。</w:t>
        <w:br/>
        <w:t>我单位根据本项目资金的性质和特点，本次项目支出绩效自评采用成本效益分析法。</w:t>
        <w:br/>
        <w:t>4、评价标准</w:t>
        <w:br/>
        <w:t>绩效评价标准通常包括计划标准、行业标准、历史标准等，用于对绩效指标完成情况进行比较。</w:t>
        <w:br/>
        <w:t>（一）计划标准。指以预先制定的目标、计划、预算、定额等作为评价标准。</w:t>
        <w:br/>
        <w:t>（二）行业标准。指参照国家公布的行业指标数据制定的评价标准。</w:t>
        <w:br/>
        <w:t>（三）历史标准。指参照历史数据制定的评价标准，为体现绩效改进的原则，在可实现的条件下应当确定相对较高的评价标准。</w:t>
        <w:br/>
        <w:t>（四）财政部门和预算部门确认或认可的其他标准。</w:t>
        <w:br/>
        <w:t>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14:paraId="620E63F7"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14:paraId="5D1DF44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1、前期准备：</w:t>
        <w:br/>
        <w:t>在项目绩效评价工作启动之前成立评价组，评价组通过前期调研确定绩效评价对象和范围，确定了评价的目的、方法以及评价的原则，根据项目的内容和特征制定了评价指标体系及评价标准；</w:t>
        <w:br/>
        <w:t>2、组织实施：</w:t>
        <w:br/>
        <w:t>评价工作实施阶段，评价组收集绩效评价相关数据资料，对收集到的数据进行系统的整理与分类，为后续的数据分析提供了有力支持。并与项目实施负责人沟通，了解资金的内容、操作流程、管理机制、资金使用方向等情况，分析形成初步结论。 </w:t>
        <w:br/>
        <w:t>3、分析评价：</w:t>
        <w:br/>
        <w:t>对归集的相关数据开展系统性分析，通过逐项对比绩效指标实际执行情况与预定目标，科学测算指标达成程度，并依据权重进行综合评定，形成项目绩效评价结果。分析过程注重数据逻辑与内在联系，精准研判绩效优劣成因，全面总结项目实施成效与薄弱环节，为后续提出切实可行的改进对策提供依据。</w:t>
        <w:br/>
        <w:t>4、撰写评价报告</w:t>
        <w:br/>
        <w:t>根据数据分析与评估的结果，按照统一的格式和规范撰写项目预算绩效评价报告。报告系统阐述项目基本情况、评价目的、指标体系、数据采集与分析方法、绩效评价结果、存在问题及改进建议等内容，做到结构合理、重点突出、表述规范。报告完成后，及时向项目主管及实施单位、相关利益方进行通报反馈，充分吸纳各方合理意见，对报告进行修改完善与校核优化，切实保障绩效评价报告的规范性、严谨性与实用性。</w:t>
      </w:r>
    </w:p>
    <w:p w14:paraId="6130A00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w:t>
      </w:r>
      <w:r>
        <w:rPr>
          <w:rStyle w:val="ad"/>
          <w:rFonts w:hint="eastAsia"/>
          <w:spacing w:val="-4"/>
          <w:sz w:val="32"/>
          <w:szCs w:val="32"/>
        </w:rPr>
        <w:t>综合评价情况及评价结论</w:t>
      </w:r>
    </w:p>
    <w:p w14:paraId="2177354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（一）综合评价情况</w:t>
        <w:br/>
        <w:t>本项目严格对照既定绩效目标有序组织实施，整体执行情况良好，取得了较为显著的实施成效。在目标完成情况上，各项重点工作任务均按既定节点顺利推进并落地见效。项目管理过程中，通过规范项目立项、强化预算编制、从严资金监管等举措，有效保障了项目运行的规范性与高效性，相关制度机制完善、执行有力，未发生重大管理疏漏及资金使用不规范问题。从项目产出来看，产出数量、质量、时效及成本控制均达到预定要求，符合相关行业标准与管理规范。</w:t>
        <w:br/>
        <w:t>综合效益方面，项目社会效益表现突出，表现在：通过实施本项目保障了辖区居民居住环境的安全与舒适，提升了辖区乡村风貌，实现了节能减排目标，响应了绿色发展号召，增强了乡村振兴竞争力，促进了乡村经济发展。</w:t>
        <w:br/>
        <w:t>（二）评价结论</w:t>
        <w:br/>
        <w:t>伊宁市达达木图镇下苏拉宫村二期房屋修缮工程建设项目评价得分情况：总分100分，项目决策占20分，得分14分；项目过程占20分，得分20分；项目产出占30分，得分30分；项目效益占30分，得分30分，项目总得分为94分。</w:t>
      </w:r>
    </w:p>
    <w:p w14:paraId="7542F838" w14:textId="77777777" w:rsidR="00B30C15" w:rsidRDefault="00DB6A4D">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w:t>
      </w:r>
      <w:r>
        <w:rPr>
          <w:rStyle w:val="ad"/>
          <w:rFonts w:hint="eastAsia"/>
          <w:spacing w:val="-4"/>
          <w:sz w:val="32"/>
          <w:szCs w:val="32"/>
        </w:rPr>
        <w:t>绩效评价指标分析</w:t>
      </w:r>
      <w:r>
        <w:rPr>
          <w:rStyle w:val="ad"/>
          <w:rFonts w:ascii="黑体" w:eastAsia="黑体" w:hAnsi="黑体" w:hint="eastAsia"/>
          <w:b w:val="0"/>
          <w:spacing w:val="-4"/>
          <w:sz w:val="32"/>
          <w:szCs w:val="32"/>
        </w:rPr>
        <w:t xml:space="preserve"> </w:t>
      </w:r>
    </w:p>
    <w:p w14:paraId="253974FB"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（一）项目决策情况。</w:t>
      </w:r>
    </w:p>
    <w:p w14:paraId="284985BF"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项目决策类指标由3个二级指标和6个三级指标构成，权重分20.00分，实际得分14分。</w:t>
        <w:br/>
        <w:t>1、项目立项</w:t>
        <w:br/>
        <w:t>（1）立项依据充分性</w:t>
        <w:br/>
        <w:t>项目立项符合《乡村建设行动实施方案》（中办发 2022 22号）；项目立项符合行业发展规划和政策要求；项目立项与部门职责范围相符，属于部门履职所需；项目属于公共财政支持范围，符合中央、地方事权支出责任划分原则；项目不与相关部门同类项目或部门内部相关项目重复。</w:t>
        <w:br/>
        <w:t>综上所述，本指标满分为4.00分，根据评分标准得4分，本项目立项依据充分。</w:t>
        <w:br/>
        <w:t>（2）立项程序规范性</w:t>
        <w:br/>
        <w:t>项目在申报及设立阶段均严格遵循相关管理规定，依规完成各项报批手续，按规范流程备齐申报材料及支撑文件。结合项目实际制定资金预算，经与分管领导充分沟通、审慎论证后确定预算方案，并通过部门集体研究审议完成立项审批。全过程形成了规范完备的申报材料、论证记录、会议纪要等档案资料，切实做到程序合法合规、材料完整齐全、论证充分有效、决策民主规范。</w:t>
        <w:br/>
        <w:t>综上所述，本指标满分为4.00分，根据评分标准得4分，本项目的立项程序合规。</w:t>
        <w:br/>
        <w:t>2、绩效目标</w:t>
        <w:br/>
        <w:t>（1）绩效目标合理性</w:t>
        <w:br/>
        <w:t>①项目有绩效目标；具体明确了为了提高下苏拉官村二期163 套房屋的品质与市场竞争力，满足购房者需求，现需对下苏拉官村二期房屋进行修缮和基础设施建设。提高下苏拉宫村二期163套房屋的品质与市场竞争力，满足购房者需求。目标设定依据充分。</w:t>
        <w:br/>
        <w:t>②项目绩效目标与实际工作内容具有相关性；</w:t>
        <w:br/>
        <w:t>③完成了已对下苏拉官村二期房屋进行修缮和基础设施建设；支付项项目款750万元。提高了下苏拉宫村二期163套房屋的品质与市场竞争力，满足了购房者需求，项目预期产出效益和效果符合正常的业绩水平；</w:t>
        <w:br/>
        <w:t>④与预算确定的项目投资额相匹配。</w:t>
        <w:br/>
        <w:t>综上所述，本指标满分为3.00分，根据评分标准得3分，本项目的绩效目标设置合理。</w:t>
        <w:br/>
        <w:t>（2）绩效指标明确性</w:t>
        <w:br/>
        <w:t>①将项目绩效目标分解为具体的绩效指标；质量指标、时效指标未细化设置指标</w:t>
        <w:br/>
        <w:t>②通过清晰、可衡量的指标值予以体现；</w:t>
        <w:br/>
        <w:t>③与项目目标任务数或计划数相对应。</w:t>
        <w:br/>
        <w:t>伊宁市达达木图镇下苏拉宫村二期房屋修缮工程建设项目将项目绩效目标细化分解为具体的绩效指标，一级指标共4条，二级指标共6条，三级指标共7条，其中量化指标条数共7条，所有绩效指标均通过清晰、可衡量的指标值予以体现，并且做到了与项目目标任务数或计划数相对应。</w:t>
        <w:br/>
        <w:t>综上所述，本指标满分为3.00分，根据评分标准得1分，本项目的绩效目标较为明确。</w:t>
        <w:br/>
        <w:t>3、资金投入</w:t>
        <w:br/>
        <w:t>（1）预算编制科学性</w:t>
        <w:br/>
        <w:t>本项目预算编制仅根据达镇政函[2025]150号 关于申请、支付达达木图镇下苏拉宫村二期房屋修缮和基础设施建设资金的报告，测算支出750万元。预算编制过程未经过科学论证，预算内容与项目“房屋修缮和基础设施建设核心任务”匹配。</w:t>
        <w:br/>
        <w:t>综上所述，本指标满分为3.00分，根据评分标准得1分,本项目的预算编制不够科学。</w:t>
        <w:br/>
        <w:t>（2）资金分配合理性</w:t>
        <w:br/>
        <w:t>本项目实际分配资金仅以《关于申请伊宁市达达木图镇下苏拉宫村二期房屋修缮工程建设项目资金的请示》为依据进行资金分配，预算资金分配依据不够充分。</w:t>
        <w:br/>
        <w:t>综上所述，本指标满分为3.00分，根据评分标准得1分,本项目的资金分配较为合理。</w:t>
      </w:r>
    </w:p>
    <w:p w14:paraId="279CAB95"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（二）项目过程情况。</w:t>
      </w:r>
    </w:p>
    <w:p w14:paraId="406F39A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项目过程管理类指标由2个二级指标和5个三级指标构成，权重分20.00分，实际得分20分。</w:t>
        <w:br/>
        <w:t>1、资金管理</w:t>
        <w:br/>
        <w:t>（1）资金到位率：</w:t>
        <w:br/>
        <w:t>实际到位资金750万元，预算资金750万元，资金到位率100%。</w:t>
        <w:br/>
        <w:t>本指标满分为4.00分，根据评分标准得4分。</w:t>
        <w:br/>
        <w:t>（2）预算执行率</w:t>
        <w:br/>
        <w:t>全年预算数750万元，全年执行数750万元，预算执行率为100%。</w:t>
        <w:br/>
        <w:t>本指标满分为4.00分，根据评分标准得4分。</w:t>
        <w:br/>
        <w:t>（3）资金使用合规性</w:t>
        <w:br/>
        <w:t>本项目资金支出符合《预算法》、《政府会计制度》。</w:t>
        <w:br/>
        <w:t>①资金的拨付有完整的审批程序和手续，有完整的合同、发票、验收单等佐证资料。</w:t>
        <w:br/>
        <w:t>②资金实际使用方向与预算批复用途一致，不存在截留、挤占、挪用、虚列支出的情况。</w:t>
        <w:br/>
        <w:t>综上所述，本指标满分为4.00分，根据评分标准得4分,本项目的资金使用合规。</w:t>
        <w:br/>
        <w:t>2、组织实施</w:t>
        <w:br/>
        <w:t>（1）管理制度健全性</w:t>
        <w:br/>
        <w:t>我单位已制定《伊宁市达达木图镇项目管理办法》、《伊宁市达达木图镇收支业务管理制度》、《伊宁市达达木图镇政府采购业务管理制度》、《伊宁市达达木图镇合同管理制度》，上述已建立的制度均符合行政事业单位内控管理要求，财务和业务管理制度合法、合规、完整，本项目执行符合上述制度规定。</w:t>
        <w:br/>
        <w:t>综上所述，本指标满分为4.00分，根据评分标准得4分,本项目的资金使用合规。</w:t>
        <w:br/>
        <w:t>（2）制度执行有效性</w:t>
        <w:br/>
        <w:t>①该项目的实施符合《伊宁市达达木图镇项目管理办法》、《伊宁市达达木图镇收支业务管理制度》、《伊宁市达达木图镇政府采购业务管理制度》、《伊宁市达达木图镇合同管理制度》等相关管理规定，项目具备完整规范的立项程序综上分析，项目执行遵守相关法律法规和相关管理规定。</w:t>
        <w:br/>
        <w:t>②项目合同书、验收单、财务支付凭证等资料齐全并及时归档。</w:t>
        <w:br/>
        <w:t>③该项目实施所需要的项目人员和场地设备均已落实到位满足项目实施需求。制度执行无偏差，有效保障了项目按计划推进，符合评分标准中“遵守相关规定、调整手续完备、资料齐全归档、实施条件落实”的要求。</w:t>
        <w:br/>
        <w:t>综上所述，本指标满分为4.00分，根据评分标准得4分,本项目所建立制度执行有效。</w:t>
      </w:r>
    </w:p>
    <w:p w14:paraId="0602F923"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（三）项目产出情况。</w:t>
      </w:r>
    </w:p>
    <w:p w14:paraId="3B1C5BC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项目产出类指标由4个二级指标和4个三级指标构成，权重分30.00分，实际得分30分。</w:t>
        <w:br/>
        <w:t>（1）实际完成率</w:t>
        <w:br/>
        <w:t>1、数量指标：指标1：保障修缮房屋数量，指标值：&gt;=163套，业绩值163套 ，指标完成率100%；</w:t>
        <w:br/>
        <w:t>综上所述，本指标满分为7.00分，根据评分标准得7分。</w:t>
        <w:br/>
        <w:t>（2）质量达标率</w:t>
        <w:br/>
        <w:t>质量指标：指标1：资金支付准确率，指标值：=100% ，业绩值100% ，指标完成率100%；</w:t>
        <w:br/>
        <w:t>综上所述，本指标满分为7.00分，根据评分标准得7分。</w:t>
        <w:br/>
        <w:t>（3）完成及时性</w:t>
        <w:br/>
        <w:t>时效指标：指标1：资金支付及时率 ，指标值：=100% ，业绩值100%，指标完成率100 %；</w:t>
        <w:br/>
        <w:t>综上所述，本指标满分为6.00分，根据评分标准得6分。</w:t>
        <w:br/>
        <w:t>成本节约率</w:t>
        <w:br/>
        <w:t>经济成本指标：指标1：房屋修缮及基础设施建设费用，指标值：&lt;=550万元，业绩值550万元 ，指标完成率100%；指标2：土地平整费用，指标值：&lt;=200万元，业绩值200万元，指标完成率100%。</w:t>
        <w:br/>
        <w:t>综上所述，本指标满分为10.00分，根据评分标准得10分。</w:t>
      </w:r>
    </w:p>
    <w:p w14:paraId="49FAA821"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（四）项目效益情况。</w:t>
      </w:r>
    </w:p>
    <w:p w14:paraId="3010DFF8"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项目效益类指标由1个二级指标和2个三级指标构成，权重分20.00分，实际得分20分。</w:t>
        <w:br/>
        <w:t>（1）实施效益</w:t>
        <w:br/>
        <w:t>①经济效益指标：无此项指标。</w:t>
        <w:br/>
        <w:t>②社会效益指标：指标1：提升居民生活品质，指标值：有效提升 ，业绩值基本达成目标，指标完成率100%。</w:t>
        <w:br/>
        <w:t>③生态效益指标：无此项指标。</w:t>
        <w:br/>
        <w:t>综上所述，本指标满分为20.00分，根据评分标准得20分。</w:t>
      </w:r>
    </w:p>
    <w:p w14:paraId="7729649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lastRenderedPageBreak/>
        <w:t>满意度指标：指标1：购房者满意度，指标值：100% ，业绩值100% ，指标完成率100%。</w:t>
        <w:br/>
        <w:t>综上所述，本指标满分为10.00分，根据评分标准得10分。</w:t>
      </w:r>
    </w:p>
    <w:p w14:paraId="0A05BF98" w14:textId="77777777" w:rsidR="00B30C15" w:rsidRDefault="00DB6A4D">
      <w:pPr>
        <w:spacing w:line="540" w:lineRule="exact"/>
        <w:ind w:firstLine="640"/>
        <w:rPr>
          <w:rStyle w:val="ad"/>
          <w:rFonts w:ascii="黑体" w:eastAsia="黑体" w:hAnsi="黑体"/>
          <w:spacing w:val="-4"/>
          <w:sz w:val="32"/>
          <w:szCs w:val="32"/>
        </w:rPr>
      </w:pPr>
      <w:r>
        <w:rPr>
          <w:rStyle w:val="ad"/>
          <w:rFonts w:ascii="黑体" w:eastAsia="黑体" w:hAnsi="黑体" w:hint="eastAsia"/>
          <w:b w:val="0"/>
          <w:spacing w:val="-4"/>
          <w:sz w:val="32"/>
          <w:szCs w:val="32"/>
        </w:rPr>
        <w:t>五、</w:t>
      </w:r>
      <w:r>
        <w:rPr>
          <w:rStyle w:val="ad"/>
          <w:rFonts w:ascii="黑体" w:eastAsia="黑体" w:hAnsi="黑体"/>
          <w:b w:val="0"/>
          <w:spacing w:val="-4"/>
          <w:sz w:val="32"/>
          <w:szCs w:val="32"/>
        </w:rPr>
        <w:t>主要经验及做法、存在的问题及原因分析</w:t>
      </w:r>
    </w:p>
    <w:p w14:paraId="1993D4B5"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（一）主要经验及做法</w:t>
        <w:br/>
        <w:t>伊宁市达达木图镇下苏拉宫村二期修缮及基础设施建设项目实施过程中，我们严格落实财政资金管理要求，按施工进度分批次向施工单位拨付工程款，所有资金均通过财政专户划转，全程留痕、专款专用，确保资金安全合规使用。同时，建立了村委会、施工单位、监理单位三方联动机制，定期召开推进会协调施工问题，提前摸排现场情况优化施工方案，优先推进主体工程建设，保障了项目整体进度可控。此外，我们坚持民生导向，施工前充分征求村民意见，施工中主动向群众说明施工安排，尽量减少对群众生活的影响，为项目顺利推进打下了良好基础。</w:t>
        <w:br/>
        <w:t>（二）存在的问题及原因分析</w:t>
        <w:br/>
        <w:t>1. 土地平整与现场清理工作不到位，影响项目交付效果和群众体验项目交付阶段，部分村民院落存在地面未平整、杂草丛生、树桩未清理等问题，村民普遍提出整改诉求，直接影响了项目交付的整体效果，也给后续使用带来不便。</w:t>
        <w:br/>
        <w:t>原因分析：一是施工单位存在“重主体、轻收尾”的倾向，对院落平整、环境清理等细节工作重视不足，未将土地平整纳入施工收尾的重点工作；二是施工过程中现场管理不到位，未同步做好施工垃圾、杂草、树桩等杂物的清理工作，导致遗留问题集中暴露；三是项目现场验收环节对院落平整、环境清理等细节内容核查不严格，未及时发现问题并督促整改，直至交付阶段才集中显现。</w:t>
        <w:br/>
        <w:t>2. 三方验房提出的整改事项推进滞后，引发群众矛盾，影响项目形象。在三方验房期间，村民及村委会提出的多项整改事项，未及时得到妥善处理，导致个别村民有不满情绪，造成了干群矛盾，及后续项目口碑和相关工作推进产生了负面影响。</w:t>
        <w:br/>
        <w:t>原因分析：一是整改工作责任划分不清晰，施工单位、监理单位、村委会三方未明确整改事项的责任主体、整改时限和验收标准，导致整改工作缺乏抓手和约束；二是施工单位对整改工作重视程度不足，缺乏主动整改意识，未按要求及时调配人员、资源推进整改；三是整改过程的监督跟踪机制不健全，未对整改事项建立台账化管理，也未定期开展整改进度督查，导致整改问题得不到及时解决。</w:t>
      </w:r>
    </w:p>
    <w:p w14:paraId="5753D6DB" w14:textId="77777777" w:rsidR="00B30C15" w:rsidRDefault="00DB6A4D">
      <w:pPr>
        <w:ind w:firstLineChars="200" w:firstLine="624"/>
        <w:rPr>
          <w:rStyle w:val="ad"/>
          <w:rFonts w:ascii="黑体" w:eastAsia="黑体" w:hAnsi="黑体"/>
          <w:b w:val="0"/>
          <w:spacing w:val="-4"/>
          <w:sz w:val="32"/>
          <w:szCs w:val="32"/>
        </w:rPr>
      </w:pPr>
      <w:r>
        <w:rPr>
          <w:rStyle w:val="ad"/>
          <w:rFonts w:ascii="黑体" w:eastAsia="黑体" w:hAnsi="黑体" w:hint="eastAsia"/>
          <w:b w:val="0"/>
          <w:spacing w:val="-4"/>
          <w:sz w:val="32"/>
          <w:szCs w:val="32"/>
        </w:rPr>
        <w:t>六</w:t>
      </w:r>
      <w:r>
        <w:rPr>
          <w:rStyle w:val="ad"/>
          <w:rFonts w:ascii="黑体" w:eastAsia="黑体" w:hAnsi="黑体"/>
          <w:b w:val="0"/>
          <w:spacing w:val="-4"/>
          <w:sz w:val="32"/>
          <w:szCs w:val="32"/>
        </w:rPr>
        <w:t>、有关建议</w:t>
      </w:r>
    </w:p>
    <w:p w14:paraId="466664C1"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1. 针对土地平整与现场清理问题，立即开展专项整改并完善项目收尾验收机制，组织施工单位对所有院落开展拉网式排查，对未平整的地面、遗留的杂草、树桩等问题制定专项整改方案，明确整改时限和责任人，限期完成平整、清理工作。同时，在后续项目中，将土地平整、现场清理纳入施工收尾和竣工验收的必备环节，制定明确的验收标准，验收不合格的项目不得交付使用，从源头避免此类问题再次发生。</w:t>
        <w:br/>
        <w:t>2. 针对整改事项推进滞后问题，建立台账化整改机制并强化监督考核。立即梳理三方验房提出的所有整改问题，建立整改台账，明确每一项问题的整改内容、责任单位、整改时限和验收标准，实行销号管理。同时，加强对施工单位的监督考核，对整改工作推进不力、拖延应付的，采取约谈、通报等方式督促整改，必要时按合同约定追究违约责任。此外，建立常态化的问题反馈和沟通机制，定期向村民反馈整改进度，主动回应群众诉求，缓解群众不满情绪，维护项目良好形象。</w:t>
      </w:r>
    </w:p>
    <w:p w14:paraId="613407BE" w14:textId="77777777" w:rsidR="00B30C15" w:rsidRDefault="00DB6A4D">
      <w:pPr>
        <w:spacing w:line="540" w:lineRule="exact"/>
        <w:ind w:firstLine="567"/>
        <w:rPr>
          <w:rStyle w:val="ad"/>
          <w:rFonts w:ascii="黑体" w:eastAsia="黑体" w:hAnsi="黑体"/>
          <w:b w:val="0"/>
          <w:spacing w:val="-4"/>
          <w:sz w:val="32"/>
          <w:szCs w:val="32"/>
        </w:rPr>
      </w:pPr>
      <w:r>
        <w:rPr>
          <w:rStyle w:val="ad"/>
          <w:rFonts w:ascii="黑体" w:eastAsia="黑体" w:hAnsi="黑体" w:hint="eastAsia"/>
          <w:b w:val="0"/>
          <w:spacing w:val="-4"/>
          <w:sz w:val="32"/>
          <w:szCs w:val="32"/>
        </w:rPr>
        <w:t>七、其他需要说明的问题</w:t>
      </w:r>
    </w:p>
    <w:p w14:paraId="2419F6BE"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无。</w:t>
      </w:r>
    </w:p>
    <w:p w14:paraId="131B8E06" w14:textId="77777777" w:rsidR="00B30C15" w:rsidRDefault="00B30C15">
      <w:pPr>
        <w:spacing w:line="540" w:lineRule="exact"/>
        <w:ind w:firstLine="567"/>
        <w:rPr>
          <w:rStyle w:val="ad"/>
          <w:rFonts w:ascii="仿宋" w:eastAsia="仿宋" w:hAnsi="仿宋"/>
          <w:b w:val="0"/>
          <w:spacing w:val="-4"/>
          <w:sz w:val="32"/>
          <w:szCs w:val="32"/>
        </w:rPr>
      </w:pPr>
    </w:p>
    <w:p w14:paraId="23243C18" w14:textId="77777777" w:rsidR="00B30C15" w:rsidRDefault="00B30C15">
      <w:pPr>
        <w:spacing w:line="540" w:lineRule="exact"/>
        <w:ind w:firstLine="567"/>
        <w:rPr>
          <w:rStyle w:val="ad"/>
          <w:rFonts w:ascii="仿宋" w:eastAsia="仿宋" w:hAnsi="仿宋"/>
          <w:b w:val="0"/>
          <w:spacing w:val="-4"/>
          <w:sz w:val="32"/>
          <w:szCs w:val="32"/>
        </w:rPr>
      </w:pPr>
    </w:p>
    <w:p w14:paraId="40223C3C" w14:textId="77777777" w:rsidR="00B30C15" w:rsidRDefault="00B30C15">
      <w:pPr>
        <w:spacing w:line="540" w:lineRule="exact"/>
        <w:ind w:firstLine="567"/>
        <w:rPr>
          <w:rStyle w:val="ad"/>
          <w:rFonts w:ascii="仿宋" w:eastAsia="仿宋" w:hAnsi="仿宋"/>
          <w:b w:val="0"/>
          <w:spacing w:val="-4"/>
          <w:sz w:val="32"/>
          <w:szCs w:val="32"/>
        </w:rPr>
      </w:pPr>
    </w:p>
    <w:p w14:paraId="7C6DA9A0" w14:textId="77777777" w:rsidR="00B30C15" w:rsidRDefault="00B30C15">
      <w:pPr>
        <w:spacing w:line="540" w:lineRule="exact"/>
        <w:ind w:firstLine="567"/>
        <w:rPr>
          <w:rStyle w:val="ad"/>
          <w:rFonts w:ascii="仿宋" w:eastAsia="仿宋" w:hAnsi="仿宋"/>
          <w:b w:val="0"/>
          <w:spacing w:val="-4"/>
          <w:sz w:val="32"/>
          <w:szCs w:val="32"/>
        </w:rPr>
      </w:pPr>
    </w:p>
    <w:p w14:paraId="16116B8B" w14:textId="77777777" w:rsidR="00B30C15" w:rsidRDefault="00B30C15">
      <w:pPr>
        <w:spacing w:line="540" w:lineRule="exact"/>
        <w:ind w:firstLine="567"/>
        <w:rPr>
          <w:rStyle w:val="ad"/>
          <w:rFonts w:ascii="仿宋" w:eastAsia="仿宋" w:hAnsi="仿宋"/>
          <w:b w:val="0"/>
          <w:spacing w:val="-4"/>
          <w:sz w:val="32"/>
          <w:szCs w:val="32"/>
        </w:rPr>
      </w:pPr>
    </w:p>
    <w:p w14:paraId="35577642" w14:textId="77777777" w:rsidR="00B30C15" w:rsidRDefault="00B30C15">
      <w:pPr>
        <w:spacing w:line="540" w:lineRule="exact"/>
        <w:ind w:firstLine="567"/>
        <w:rPr>
          <w:rStyle w:val="ad"/>
          <w:rFonts w:ascii="仿宋" w:eastAsia="仿宋" w:hAnsi="仿宋"/>
          <w:b w:val="0"/>
          <w:spacing w:val="-4"/>
          <w:sz w:val="32"/>
          <w:szCs w:val="32"/>
        </w:rPr>
      </w:pPr>
    </w:p>
    <w:p w14:paraId="776095BE" w14:textId="77777777" w:rsidR="00B30C15" w:rsidRDefault="00B30C15">
      <w:pPr>
        <w:spacing w:line="540" w:lineRule="exact"/>
        <w:ind w:firstLine="567"/>
        <w:rPr>
          <w:rStyle w:val="ad"/>
          <w:rFonts w:ascii="仿宋" w:eastAsia="仿宋" w:hAnsi="仿宋"/>
          <w:b w:val="0"/>
          <w:spacing w:val="-4"/>
          <w:sz w:val="32"/>
          <w:szCs w:val="32"/>
        </w:rPr>
      </w:pPr>
    </w:p>
    <w:p w14:paraId="4F5D9D13" w14:textId="77777777" w:rsidR="00B30C15" w:rsidRDefault="00B30C15">
      <w:pPr>
        <w:spacing w:line="540" w:lineRule="exact"/>
        <w:ind w:firstLine="567"/>
        <w:rPr>
          <w:rStyle w:val="ad"/>
          <w:rFonts w:ascii="仿宋" w:eastAsia="仿宋" w:hAnsi="仿宋"/>
          <w:b w:val="0"/>
          <w:spacing w:val="-4"/>
          <w:sz w:val="32"/>
          <w:szCs w:val="32"/>
        </w:rPr>
      </w:pPr>
    </w:p>
    <w:p w14:paraId="555FAFE7" w14:textId="77777777" w:rsidR="00B30C15" w:rsidRDefault="00B30C15">
      <w:pPr>
        <w:spacing w:line="540" w:lineRule="exact"/>
        <w:ind w:firstLine="567"/>
        <w:rPr>
          <w:rStyle w:val="ad"/>
          <w:rFonts w:ascii="仿宋" w:eastAsia="仿宋" w:hAnsi="仿宋"/>
          <w:b w:val="0"/>
          <w:spacing w:val="-4"/>
          <w:sz w:val="32"/>
          <w:szCs w:val="32"/>
        </w:rPr>
      </w:pPr>
    </w:p>
    <w:p w14:paraId="52EC0E21" w14:textId="77777777" w:rsidR="00B30C15" w:rsidRDefault="00B30C15">
      <w:pPr>
        <w:spacing w:line="540" w:lineRule="exact"/>
        <w:ind w:firstLine="567"/>
        <w:rPr>
          <w:rStyle w:val="ad"/>
          <w:rFonts w:ascii="仿宋" w:eastAsia="仿宋" w:hAnsi="仿宋"/>
          <w:b w:val="0"/>
          <w:spacing w:val="-4"/>
          <w:sz w:val="32"/>
          <w:szCs w:val="32"/>
        </w:rPr>
      </w:pPr>
    </w:p>
    <w:p w14:paraId="44E6E054" w14:textId="77777777" w:rsidR="00B30C15" w:rsidRDefault="00B30C15">
      <w:pPr>
        <w:spacing w:line="540" w:lineRule="exact"/>
        <w:ind w:firstLine="567"/>
        <w:rPr>
          <w:rStyle w:val="ad"/>
          <w:rFonts w:ascii="仿宋" w:eastAsia="仿宋" w:hAnsi="仿宋"/>
          <w:b w:val="0"/>
          <w:spacing w:val="-4"/>
          <w:sz w:val="32"/>
          <w:szCs w:val="32"/>
        </w:rPr>
      </w:pPr>
    </w:p>
    <w:p w14:paraId="6838D646" w14:textId="77777777" w:rsidR="00B30C15" w:rsidRDefault="00B30C15">
      <w:pPr>
        <w:spacing w:line="540" w:lineRule="exact"/>
        <w:ind w:firstLine="567"/>
        <w:rPr>
          <w:rStyle w:val="ad"/>
          <w:rFonts w:ascii="仿宋" w:eastAsia="仿宋" w:hAnsi="仿宋"/>
          <w:b w:val="0"/>
          <w:spacing w:val="-4"/>
          <w:sz w:val="32"/>
          <w:szCs w:val="32"/>
        </w:rPr>
      </w:pPr>
    </w:p>
    <w:sectPr w:rsidR="00B30C15">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AA3A5A" w14:textId="77777777" w:rsidR="005B0E51" w:rsidRDefault="005B0E51">
      <w:r>
        <w:separator/>
      </w:r>
    </w:p>
  </w:endnote>
  <w:endnote w:type="continuationSeparator" w:id="0">
    <w:p w14:paraId="37AE86F2" w14:textId="77777777" w:rsidR="005B0E51" w:rsidRDefault="005B0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22003363"/>
    </w:sdtPr>
    <w:sdtContent>
      <w:p w14:paraId="598F32AA" w14:textId="77777777" w:rsidR="00B30C15" w:rsidRDefault="00DB6A4D">
        <w:pPr>
          <w:pStyle w:val="a5"/>
          <w:jc w:val="center"/>
        </w:pPr>
        <w:r>
          <w:fldChar w:fldCharType="begin"/>
        </w:r>
        <w:r>
          <w:instrText>PAGE   \* MERGEFORMAT</w:instrText>
        </w:r>
        <w:r>
          <w:fldChar w:fldCharType="separate"/>
        </w:r>
        <w:r>
          <w:rPr>
            <w:lang w:val="zh-CN"/>
          </w:rPr>
          <w:t>1</w:t>
        </w:r>
        <w:r>
          <w:fldChar w:fldCharType="end"/>
        </w:r>
      </w:p>
    </w:sdtContent>
  </w:sdt>
  <w:p w14:paraId="659798A5" w14:textId="77777777" w:rsidR="00B30C15" w:rsidRDefault="00B30C1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41C3D0" w14:textId="77777777" w:rsidR="005B0E51" w:rsidRDefault="005B0E51">
      <w:r>
        <w:separator/>
      </w:r>
    </w:p>
  </w:footnote>
  <w:footnote w:type="continuationSeparator" w:id="0">
    <w:p w14:paraId="58CFDD50" w14:textId="77777777" w:rsidR="005B0E51" w:rsidRDefault="005B0E5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B0E51"/>
    <w:rsid w:val="005C51DF"/>
    <w:rsid w:val="005D10D6"/>
    <w:rsid w:val="005E7C5E"/>
    <w:rsid w:val="00725906"/>
    <w:rsid w:val="0075584F"/>
    <w:rsid w:val="007719C9"/>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2BA4637D"/>
    <w:rsid w:val="4D2606A1"/>
    <w:rsid w:val="6938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FA1BD1"/>
  <w15:docId w15:val="{760815B5-13C2-448F-A3DB-8948AFE4B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104</Words>
  <Characters>598</Characters>
  <Application>Microsoft Office Word</Application>
  <DocSecurity>0</DocSecurity>
  <Lines>4</Lines>
  <Paragraphs>1</Paragraphs>
  <ScaleCrop>false</ScaleCrop>
  <Company>微软中国</Company>
  <LinksUpToDate>false</LinksUpToDate>
  <CharactersWithSpaces>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2025-03-11T03:27:00Z</dcterms:created>
  <dc:creator>赵 恺（预算处）</dc:creator>
  <cp:lastModifiedBy>Administrator</cp:lastModifiedBy>
  <cp:lastPrinted>2018-12-31T10:56:00Z</cp:lastPrinted>
  <dcterms:modified xsi:type="dcterms:W3CDTF">2025-03-11T03:27:00Z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21EF0CDCB73D4B8D8FAC715995DB8275</vt:lpwstr>
  </property>
</Properties>
</file>