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汉宾乡征迁项目9208.25万元</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伊宁市汉宾乡人民政府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伊宁市汉宾乡人民政府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张建垒</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深入贯彻落实伊宁市委、市政府城市发展总体部署，持续推进城市更新与生态文明建设，着力优化城乡空间布局、完善基础设施配套、提升城市综合承载能力。立足我乡区位实际与发展现状，以改善区域生态环境质量、提升群众居住生活品质为出发点，坚持以生态建设为引领，统筹推动环境提升、民生改善、经济发展与文化建设深度融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实施重点片区土地征收拆迁工作，有效破解老旧片区布局零散、环境脏乱、配套滞后等突出问题，集约盘活土地资源，为生态治理、市政配套、产业培育及文化提质预留发展空间。以生态环境建设赋能带动区域经济提质、文化繁荣进步，进一步提速我乡融入伊宁市城市发展大局步伐，夯实城乡融合高质量发展基础，切实增强群众获得感、幸福感和安全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我乡严格按照市委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统一工作安排，精准谋划、分步推进，有序实施多个重点项目征迁工作，确保各项建设任务顺利落地见效。我乡土地征迁分别是汉宾乡汉宾村四川路道路征收补偿13户；汉宾乡汉宾村深圳路道路征收补偿6户；汉宾乡砖瓦厂片区河南建业二期征收补偿30户；汉宾乡砖瓦厂片区规划二路项目34批1户；汉宾乡关于热孜万古丽·肉孜等四户征收补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汉宾乡汉宾村四川路道路征收补偿13户；汉宾乡汉宾村深圳路道路征收补偿6户；汉宾乡砖瓦厂片区河南建业二期征收补偿30户；汉宾乡砖瓦厂片区规划二路项目34批1户；汉宾乡关于热孜万古丽·肉孜等四户征收补偿。提升征收户生活水平，改善伊宁市生态环境，以环境建设带动经济建设和文化建设，从而加快城市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已完成汉宾乡汉宾村四川路道路征收补偿13户；汉宾乡汉宾村深圳路道路征收补偿6户；汉宾乡砖瓦厂片区河南建业二期征收补偿30户；汉宾乡砖瓦厂片区规划二路项目34批1户；汉宾乡关于热孜万古丽·肉孜等四户征收补偿，提升了征收户生活水平，改善了伊宁市生态环境，以环境建设带动经济建设和文化建设，从而加快了城市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资金投入情况：该项目年初预算数0万元，全年预算数9208.25万元，该项目资金落实到位9208.25万元。资金来源为本级部门预算。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9138.25万元，预算执行率为99.24%，主要用于：汉宾乡汉宾村四川路道路打通项目土地征收补偿款2694.22万元；汉宾乡汉宾村深圳路道路打通项目土地征收补偿款816.93万元；汉宾乡砖瓦厂片区河南建业二期项目土地征收补偿款5405.89万元；汉宾乡砖瓦厂片区规划二路项目34批土地征收补偿款183.31万元；汉宾乡关于热孜万古丽·肉孜等四户项目土地征收补偿款37.9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完成发放汉宾乡汉宾村四川路道路征收补偿13户；汉宾乡汉宾村深圳路道路征收补偿6户；汉宾乡砖瓦厂片区河南建业二期征收补偿30户；汉宾乡砖瓦厂片区规划二路项目34批1户；汉宾乡关于热孜万古丽·肉孜等四户征收补偿。通过项目实施，改善伊宁市生态环境，提高居民生活水平，以环境建设带动经济建设和文化建设，从而加快城市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此次我单位根据《财政支出绩效评价管理暂行办法》（财预〔2020〕10号）文件要求实施评价工作，本次评价对象为汉宾乡征迁项目9208.25万元，评价核心为项目的资金投入、产出及效益。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我单位根据本项目资金的性质和特点，本次项目支出绩效自评采用最低成本法。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本次项目征迁严格落实市委、市政府生态城市建设部署，通过片区整体整治改造后，彻底改善辖区群众居住条件和生活环境，完善道路、管网、绿化、休闲便民等基础配套设施，切实提升居民生活品质、居住舒适度和出行便利度，保障群众切身利益，不断增强群众的获得感、幸福感、安全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征地拆迁盘活存量土地资源，优化城乡土地利用结构，为重点项目落地、产业发展、城市拓展预留充足发展空间。以生态环境建设为牵引，带动周边商贸、服务、文旅等业态发展，拉动区域经济增长，激活我乡经济发展内生动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托环境提档升级，同步带动乡村风貌、乡风文明提质，完善公共文化服务阵地，丰富群众精神文化生活。进一步拉近城乡发展差距，促进城乡融合发展，提升整体文明素养和乡村治理水平，树立良好城乡建设形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严格对标全市城市发展总体规划，通过多个项目连片征迁、统筹建设，进一步拉大城市框架、完善城市功能布局，加快我乡融入伊宁市主城区发展步伐，为全市高质量发展、城镇化建设夯实坚实基础。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汉宾乡征迁项目9208.25万元评价得分情况：总分100分，项目决策占20分，得分20分；项目过程占20分，得分19.97分；项目产出占30分，得分29.89分；项目效益占30分，得分30分，项目总得分为99.86分。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国有土地上房屋征收与补偿条例》（国务院令第590号）、《新疆维吾尔自治区土地征收成片开发方案编制与审核管理办法》（新自然资规〔2024〕3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完成发放汉宾乡汉宾村四川路道路征收补偿13户；汉宾乡汉宾村深圳路道路征收补偿6户；汉宾乡砖瓦厂片区河南建业二期征收补偿30户；汉宾乡砖瓦厂片区规划二路项目34批1户；汉宾乡关于热孜万古丽·肉孜等四户征收补偿。通过项目实施，改善伊宁市生态环境，提高居民生活水平，以环境建设带动经济建设和文化建设，从而加快城市发展的效果”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发放汉宾乡汉宾村四川路道路征收补偿13户；汉宾乡汉宾村深圳路道路征收补偿6户；汉宾乡砖瓦厂片区河南建业二期征收补偿30户；汉宾乡砖瓦厂片区规划二路项目34批1户；汉宾乡关于热孜万古丽·肉孜等四户征收补偿。改善了伊宁市生态环境，提高了居民生活水平，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汉宾乡征迁项目9208.25万元将项目绩效目标细化分解为具体的绩效指标，一级指标共4条，二级指标共6条，三级指标共14条，其中量化指标条数共13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依据国家及地方土地管理、房屋征收补偿法规与现行补偿标准，按照《关于修订伊宁市旧城区改建及棚户区改造实施办法的通知》通过评估、实地清点、定额核算等方式，分项测算补偿安置费用形成项目征收总预算，测算支出9208.25万元。预算编制过程经过业务科室、财务部门双重审核，无漏项、超项情况，预算内容与项目“着力优化城乡空间布局、完善基础设施配套、提升城市综合承载能力”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w:t>
      </w:r>
      <w:bookmarkStart w:id="0" w:name="_GoBack"/>
      <w:bookmarkEnd w:id="0"/>
      <w:r>
        <w:rPr>
          <w:rStyle w:val="18"/>
          <w:rFonts w:hint="eastAsia" w:ascii="楷体" w:hAnsi="楷体" w:eastAsia="楷体"/>
          <w:spacing w:val="-4"/>
          <w:sz w:val="32"/>
          <w:szCs w:val="32"/>
        </w:rPr>
        <w:t>关于拨付河南建业二期第81批项目房屋补偿的请示》、《关于拨付河南建业二期第84批项目房屋补偿的请示》、《关于拨付河南建业二期第83批项目房屋补偿的请示》、《关于拨付河南建业二期第85批项目房屋补偿的请示》、《关于拨付河南建业二期第82批项目房屋补偿的请示》、《关于拨付河南建业二期第80批项目房屋补偿的请示》、《关于拨付河南建业二期第76批项目房屋补偿的请示》、《关于拨付河南建业二期第78批项目房屋补偿的请示》、《关于拨付河南建业二期第77批项目房屋补偿的请示》、《关于拨付河南建业二期第79批项目房屋补偿的请示》、《关于拨付河南建业二期第74批项目房屋补偿的请示》、《关于拨付河南建业二期第75批项目房屋补偿的请示》、《关于拨付河南建业二期第73批项目房屋补偿的请示》、《关于拨付河南建业二期第71批项目房屋补偿的请示》、《关于拨付河南建业二期第70批项目房屋补偿的请示》、《关于拨付河南建业二期第72批项目房屋补偿的请示》、《关于拨付河南建业二期第69批项目房屋补偿的请示》、《关于拨付热孜瓦尼古丽·肉孜等四户拆迁户征收资金的请示》、《关于汉宾村四川路道路打通项目第13批3户拨付征收资金的申请》、《关于汉宾深圳道路打通项目第13批5户拨付征收资金的申请》、《关于汉宾村四川路道路打通项目第13批3户拨付征收资金的申请》、《关于汉宾村四川路道路打通项目第12批4户拨付征收资金的申请》、《关于汉宾深圳道路打通项目第12批2户拨付征收资金的申请》、《关于汉宾村四川路道路打通项目第11批6户拨付征收资金的申请》、《关于拨付规划二路第34批项目房屋补偿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项目过程管理类指标由2个二级指标和5个三级指标构成，权重分20.00分，实际得分19.00分。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实际到位资金9208.25万元，预算资金9208.25万元，资金到位率100.00%。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全年预算数9208.25万元，全年执行数9138.25万元，预算执行率为99.24%。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本指标满分为4.00分，根据评分标准得3.97分。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本项目资金支出符合《预算法》、《政府会计制度》、《汉宾乡人民政府资金管理办法》。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汉宾乡人民政府项目管理制度》、《汉宾乡人民政府收支业务管理制度》、《汉宾乡人民政府采购业务管理制度》、《汉宾乡人民政府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汉宾乡人民政府项目管理制度》、《汉宾乡人民政府收支业务管理制度》、《汉宾乡人民政府采购业务管理制度》、《汉宾乡人民政府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②征收补偿协议、价格评估表、收据、财务支付凭证等资料齐全并及时归档。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项目产出类指标由4个二级指标和4个三级指标构成，权重分30.00分，实际得分29.89分。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1、数量指标：指标1：汉宾村四川路道路打通项目征收补偿户数，指标值：=13户，业绩值13户，指标完成率100%；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指标2：汉宾村深圳路道路打通项目征收补偿户数，指标值：=6户，业绩值6户，指标完成率100%。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指标3：砖瓦厂片区河南建业二期项目征收补偿户数，指标值：=30户，业绩值30户，指标完成率100%。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指标4：砖瓦厂片区规划二路项目34批征收补偿户数，指标值：=1户，业绩值 1户，指标完成率100 %。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指标5：关于热孜万古丽·肉孜等征收补偿户数，指标值：=4户，业绩值4户，指标完成率100%。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质量指标：指标1补偿资金发放到位率，指标值：=100%，业绩值100%，指标完成率99.24%。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综上所述，本指标满分为7.00分，根据评分标准得6.96分。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时效指标：指标1：补偿资金发放及时率，指标值：=100%，业绩值100%，指标完成率99.24%。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综上所述，本指标满分为6.00分，根据评分标准得5.96分。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汉宾村四川路道路打通项目征收补偿金额，指标值：&lt;=2694.22万元，业绩值2694.22万元，指标完成率100%；指标2：汉宾村深圳路道路打通项目征收补偿金额，指标值：&lt;=816.93万元，业绩值816.93万元，指标完成率100%；指标3：砖瓦厂片区规划二路项目34批征收补偿金额，指标值：&lt;=183.31万元，业绩值183.31万元，指标完成率100%；指标4：砖瓦厂片区河南建业二期项目征收补偿金额，指标值：&lt;=5475.89万元，业绩值5405.89万元，指标完成率98.72%；指标5：关于热孜万古丽·肉孜等征收补偿金额，指标值：&lt;=37.90万元，业绩值7.90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综上所述，本指标满分为10.00分，根据评分标准得9.97分。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项目效益类指标由1个二级指标和2个三级指标构成，权重分20.00分，实际得分20.00分。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②社会效益指标：指标1：加快城市发展，指标值：有效，业绩值基本达成目标，指标完成率100%。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综上所述，本指标满分为20.00分，根据评分标准得20.00分。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w:t>
      </w:r>
      <w:r>
        <w:rPr>
          <w:rStyle w:val="18"/>
          <w:rFonts w:hint="eastAsia" w:ascii="楷体" w:hAnsi="楷体" w:eastAsia="楷体"/>
          <w:spacing w:val="-4"/>
          <w:sz w:val="32"/>
          <w:szCs w:val="32"/>
        </w:rPr>
        <w:tab/>
        <w:t>征收户满意度，指标值：&gt;=95%，业绩值100%，指标完成率105.26%。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压实责任统筹推进。成立专项工作专班，实行领导包片、干部包户，细化分工、明确节点，建立日常调度研判机制，上下联动、分工协作推进征迁工作。严守政策规范操作。坚持统一补偿标准、统一执行口径，开展业务培训，吃透政策条款，严格做到一把尺子量到底、全程政策不走样。广泛宣传正面引导。通过入户走访、发放宣传资料等方式，面对面讲清政策、补偿标准和安置红利，换位思考做实群众思想工作，争取群众理解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部分群众期望值偏高，存在观望攀比心理，诉求超出政策标准，滞留户攻坚难度大。房屋产权、宅基地界限不清，祖遗房产、分户继承等历史遗留纠纷多，调解耗时长。安置房建设及配套设施推进偏慢，就学、就医、生活配套不完善，群众签约顾虑多。部分工作人员政策不熟、群众工作方法单一，处置复杂矛盾能力不足。个别区域存在抢建违建、突击装修、抢栽抢种现象，增加征迁工作阻力和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策宣传不够深入，群众片面听信传言，对征迁政策存在误解偏差。群众诉求趋于多元，不仅看重经济补偿，对安置区位、生活配套要求更高。早年宅基地、建房审批台账不健全，权属界定缺少依据，遗留问题日积月累。部门联动不够紧密，权属认定、纠纷调解、违建管控等协同发力不足。</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 加大政策精准宣传力度，用实例现身说法，破除观望攀比思想，引导群众主动配合。提前开展权属摸排确权，一户一档建立台账，组建调解专班，分类化解产权和邻里纠纷。提速安置房建设进度，同步完善道路、教育、医疗等配套设施，打消群众后顾之忧。加强征迁队伍业务培训，提升政策解读、沟通协调和矛盾处置能力，健全考核激励机制。强化重点区域日常巡查，从严管控抢建违建、突击装修行为，坚守政策底线，维护公平公正。</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4ED312E0"/>
    <w:rsid w:val="54866304"/>
    <w:rsid w:val="693832C4"/>
    <w:rsid w:val="6B132FB5"/>
    <w:rsid w:val="6FA374F5"/>
    <w:rsid w:val="7D2B0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3</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2026-07-23T07:40:24Z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