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92E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lang w:val="en-US" w:eastAsia="zh-CN"/>
        </w:rPr>
        <w:t>附件：</w:t>
      </w:r>
    </w:p>
    <w:p w14:paraId="265CBC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伊宁市人民调解</w:t>
      </w:r>
      <w:r>
        <w:rPr>
          <w:rFonts w:hint="default" w:ascii="Times New Roman" w:hAnsi="Times New Roman" w:eastAsia="方正小标宋简体" w:cs="Times New Roman"/>
          <w:sz w:val="44"/>
          <w:szCs w:val="44"/>
          <w:lang w:val="en-US" w:eastAsia="zh-CN"/>
        </w:rPr>
        <w:t>员</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一案一补</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及专职人民调解员月补助奖励管理</w:t>
      </w:r>
      <w:r>
        <w:rPr>
          <w:rFonts w:hint="default" w:ascii="Times New Roman" w:hAnsi="Times New Roman" w:eastAsia="方正小标宋简体" w:cs="Times New Roman"/>
          <w:sz w:val="44"/>
          <w:szCs w:val="44"/>
        </w:rPr>
        <w:t>办法</w:t>
      </w:r>
    </w:p>
    <w:p w14:paraId="505C6F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left"/>
        <w:textAlignment w:val="auto"/>
        <w:rPr>
          <w:rFonts w:hint="default" w:ascii="Times New Roman" w:hAnsi="Times New Roman" w:eastAsia="黑体" w:cs="Times New Roman"/>
          <w:sz w:val="36"/>
          <w:szCs w:val="36"/>
        </w:rPr>
      </w:pPr>
    </w:p>
    <w:p w14:paraId="23B81E97">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总则</w:t>
      </w:r>
    </w:p>
    <w:p w14:paraId="5CA5B47D">
      <w:pPr>
        <w:keepNext w:val="0"/>
        <w:keepLines w:val="0"/>
        <w:pageBreakBefore w:val="0"/>
        <w:numPr>
          <w:ilvl w:val="0"/>
          <w:numId w:val="2"/>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lang w:eastAsia="zh-CN"/>
        </w:rPr>
        <w:t>为为充分调动人民调解员工作积极性，规范补贴发放管理，提高人民调解工作质效，根据《中华人民共和国人民调解法》《新疆维吾尔自治区人民调解条例》《财政部 司法部关于进一步加强人民调解工作经费保障的意见》（财行〔2007〕179号）</w:t>
      </w:r>
      <w:r>
        <w:rPr>
          <w:rFonts w:hint="default" w:ascii="Times New Roman" w:hAnsi="Times New Roman" w:eastAsia="仿宋_GB2312" w:cs="Times New Roman"/>
          <w:snapToGrid w:val="0"/>
          <w:kern w:val="0"/>
          <w:sz w:val="32"/>
          <w:szCs w:val="32"/>
          <w:u w:val="none"/>
          <w:lang w:val="en-US" w:eastAsia="zh-CN"/>
        </w:rPr>
        <w:t>《最高人民法院 司法部 人力资源社会保障部印发</w:t>
      </w:r>
      <w:r>
        <w:rPr>
          <w:rFonts w:hint="eastAsia"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u w:val="none"/>
          <w:lang w:val="en-US" w:eastAsia="zh-CN"/>
        </w:rPr>
        <w:t>关于加强和规范聘请退休法官从事调解工作的意见</w:t>
      </w:r>
      <w:r>
        <w:rPr>
          <w:rFonts w:hint="eastAsia" w:ascii="Times New Roman" w:hAnsi="Times New Roman" w:eastAsia="仿宋_GB2312" w:cs="Times New Roman"/>
          <w:snapToGrid w:val="0"/>
          <w:kern w:val="0"/>
          <w:sz w:val="32"/>
          <w:szCs w:val="32"/>
          <w:u w:val="none"/>
          <w:lang w:val="en-US" w:eastAsia="zh-CN"/>
        </w:rPr>
        <w:t>〉</w:t>
      </w:r>
      <w:r>
        <w:rPr>
          <w:rFonts w:hint="default" w:ascii="Times New Roman" w:hAnsi="Times New Roman" w:eastAsia="仿宋_GB2312" w:cs="Times New Roman"/>
          <w:snapToGrid w:val="0"/>
          <w:kern w:val="0"/>
          <w:sz w:val="32"/>
          <w:szCs w:val="32"/>
          <w:u w:val="none"/>
          <w:lang w:val="en-US" w:eastAsia="zh-CN"/>
        </w:rPr>
        <w:t>的通知》（法〔2025〕207号）</w:t>
      </w:r>
      <w:r>
        <w:rPr>
          <w:rFonts w:hint="default" w:ascii="Times New Roman" w:hAnsi="Times New Roman" w:eastAsia="仿宋_GB2312" w:cs="Times New Roman"/>
          <w:snapToGrid w:val="0"/>
          <w:kern w:val="0"/>
          <w:sz w:val="32"/>
          <w:szCs w:val="32"/>
          <w:lang w:eastAsia="zh-CN"/>
        </w:rPr>
        <w:t>等法律法规及政策规定，结合本市实际，制定本办法。</w:t>
      </w:r>
    </w:p>
    <w:p w14:paraId="4492095C">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b/>
          <w:bCs/>
          <w:snapToGrid w:val="0"/>
          <w:kern w:val="0"/>
          <w:sz w:val="32"/>
          <w:szCs w:val="32"/>
          <w:lang w:val="en-US" w:eastAsia="zh-CN"/>
        </w:rPr>
        <w:t xml:space="preserve">第二条 </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lang w:eastAsia="zh-CN"/>
        </w:rPr>
        <w:t>本</w:t>
      </w:r>
      <w:r>
        <w:rPr>
          <w:rFonts w:hint="default" w:ascii="Times New Roman" w:hAnsi="Times New Roman" w:eastAsia="仿宋_GB2312" w:cs="Times New Roman"/>
          <w:snapToGrid w:val="0"/>
          <w:kern w:val="0"/>
          <w:sz w:val="32"/>
          <w:szCs w:val="32"/>
        </w:rPr>
        <w:t>办法所称的人民调解</w:t>
      </w:r>
      <w:r>
        <w:rPr>
          <w:rFonts w:hint="default" w:ascii="Times New Roman" w:hAnsi="Times New Roman" w:eastAsia="仿宋_GB2312" w:cs="Times New Roman"/>
          <w:snapToGrid w:val="0"/>
          <w:kern w:val="0"/>
          <w:sz w:val="32"/>
          <w:szCs w:val="32"/>
          <w:lang w:eastAsia="zh-CN"/>
        </w:rPr>
        <w:t>员</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val="en-US" w:eastAsia="zh-CN"/>
        </w:rPr>
        <w:t>一案一补</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是指对</w:t>
      </w:r>
      <w:r>
        <w:rPr>
          <w:rFonts w:hint="default" w:ascii="Times New Roman" w:hAnsi="Times New Roman" w:eastAsia="仿宋_GB2312" w:cs="Times New Roman"/>
          <w:snapToGrid w:val="0"/>
          <w:kern w:val="0"/>
          <w:sz w:val="32"/>
          <w:szCs w:val="32"/>
          <w:lang w:eastAsia="zh-CN"/>
        </w:rPr>
        <w:t>人民</w:t>
      </w:r>
      <w:r>
        <w:rPr>
          <w:rFonts w:hint="default" w:ascii="Times New Roman" w:hAnsi="Times New Roman" w:eastAsia="仿宋_GB2312" w:cs="Times New Roman"/>
          <w:snapToGrid w:val="0"/>
          <w:kern w:val="0"/>
          <w:sz w:val="32"/>
          <w:szCs w:val="32"/>
        </w:rPr>
        <w:t>调解</w:t>
      </w:r>
      <w:r>
        <w:rPr>
          <w:rFonts w:hint="default" w:ascii="Times New Roman" w:hAnsi="Times New Roman" w:eastAsia="仿宋_GB2312" w:cs="Times New Roman"/>
          <w:snapToGrid w:val="0"/>
          <w:kern w:val="0"/>
          <w:sz w:val="32"/>
          <w:szCs w:val="32"/>
          <w:lang w:eastAsia="zh-CN"/>
        </w:rPr>
        <w:t>解决</w:t>
      </w:r>
      <w:r>
        <w:rPr>
          <w:rFonts w:hint="default" w:ascii="Times New Roman" w:hAnsi="Times New Roman" w:eastAsia="仿宋_GB2312" w:cs="Times New Roman"/>
          <w:snapToGrid w:val="0"/>
          <w:kern w:val="0"/>
          <w:sz w:val="32"/>
          <w:szCs w:val="32"/>
        </w:rPr>
        <w:t>的民间纠纷，按照</w:t>
      </w:r>
      <w:r>
        <w:rPr>
          <w:rFonts w:hint="default" w:ascii="Times New Roman" w:hAnsi="Times New Roman" w:eastAsia="仿宋_GB2312" w:cs="Times New Roman"/>
          <w:snapToGrid w:val="0"/>
          <w:kern w:val="0"/>
          <w:sz w:val="32"/>
          <w:szCs w:val="32"/>
          <w:lang w:eastAsia="zh-CN"/>
        </w:rPr>
        <w:t>调解难易程度、涉及人员数量、社会影响大小以及调解规范化程度等</w:t>
      </w:r>
      <w:r>
        <w:rPr>
          <w:rFonts w:hint="default" w:ascii="Times New Roman" w:hAnsi="Times New Roman" w:eastAsia="仿宋_GB2312" w:cs="Times New Roman"/>
          <w:snapToGrid w:val="0"/>
          <w:kern w:val="0"/>
          <w:sz w:val="32"/>
          <w:szCs w:val="32"/>
        </w:rPr>
        <w:t>给予</w:t>
      </w:r>
      <w:r>
        <w:rPr>
          <w:rFonts w:hint="default" w:ascii="Times New Roman" w:hAnsi="Times New Roman" w:eastAsia="仿宋_GB2312" w:cs="Times New Roman"/>
          <w:snapToGrid w:val="0"/>
          <w:kern w:val="0"/>
          <w:sz w:val="32"/>
          <w:szCs w:val="32"/>
          <w:lang w:eastAsia="zh-CN"/>
        </w:rPr>
        <w:t>的</w:t>
      </w:r>
      <w:r>
        <w:rPr>
          <w:rFonts w:hint="default" w:ascii="Times New Roman" w:hAnsi="Times New Roman" w:eastAsia="仿宋_GB2312" w:cs="Times New Roman"/>
          <w:snapToGrid w:val="0"/>
          <w:kern w:val="0"/>
          <w:sz w:val="32"/>
          <w:szCs w:val="32"/>
        </w:rPr>
        <w:t>补贴</w:t>
      </w:r>
      <w:r>
        <w:rPr>
          <w:rFonts w:hint="default" w:ascii="Times New Roman" w:hAnsi="Times New Roman" w:eastAsia="仿宋_GB2312" w:cs="Times New Roman"/>
          <w:snapToGrid w:val="0"/>
          <w:kern w:val="0"/>
          <w:sz w:val="32"/>
          <w:szCs w:val="32"/>
          <w:lang w:eastAsia="zh-CN"/>
        </w:rPr>
        <w:t>和奖励</w:t>
      </w:r>
      <w:r>
        <w:rPr>
          <w:rFonts w:hint="default" w:ascii="Times New Roman" w:hAnsi="Times New Roman" w:eastAsia="仿宋_GB2312" w:cs="Times New Roman"/>
          <w:snapToGrid w:val="0"/>
          <w:kern w:val="0"/>
          <w:sz w:val="32"/>
          <w:szCs w:val="32"/>
        </w:rPr>
        <w:t>。</w:t>
      </w:r>
    </w:p>
    <w:p w14:paraId="0C32304B">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b/>
          <w:bCs/>
          <w:snapToGrid w:val="0"/>
          <w:kern w:val="0"/>
          <w:sz w:val="32"/>
          <w:szCs w:val="32"/>
          <w:lang w:val="en-US" w:eastAsia="zh-CN"/>
        </w:rPr>
        <w:t xml:space="preserve">第三条 </w:t>
      </w:r>
      <w:r>
        <w:rPr>
          <w:rFonts w:hint="default" w:ascii="Times New Roman" w:hAnsi="Times New Roman" w:eastAsia="仿宋_GB2312" w:cs="Times New Roman"/>
          <w:snapToGrid w:val="0"/>
          <w:kern w:val="0"/>
          <w:sz w:val="32"/>
          <w:szCs w:val="32"/>
          <w:lang w:val="en-US" w:eastAsia="zh-CN"/>
        </w:rPr>
        <w:t xml:space="preserve"> 本办法适用于本市行政区域内依法设立的人民调解委员会及其聘任的专、兼职人民调解员。</w:t>
      </w:r>
    </w:p>
    <w:p w14:paraId="65B7943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b/>
          <w:bCs/>
          <w:snapToGrid w:val="0"/>
          <w:kern w:val="0"/>
          <w:sz w:val="32"/>
          <w:szCs w:val="32"/>
          <w:lang w:val="en-US" w:eastAsia="zh-CN"/>
        </w:rPr>
        <w:t>第四条</w:t>
      </w:r>
      <w:r>
        <w:rPr>
          <w:rFonts w:hint="default" w:ascii="Times New Roman" w:hAnsi="Times New Roman" w:eastAsia="仿宋_GB2312" w:cs="Times New Roman"/>
          <w:snapToGrid w:val="0"/>
          <w:kern w:val="0"/>
          <w:sz w:val="32"/>
          <w:szCs w:val="32"/>
        </w:rPr>
        <w:t xml:space="preserve"> </w:t>
      </w:r>
      <w:r>
        <w:rPr>
          <w:rFonts w:hint="default" w:ascii="Times New Roman" w:hAnsi="Times New Roman" w:eastAsia="仿宋_GB2312" w:cs="Times New Roman"/>
          <w:snapToGrid w:val="0"/>
          <w:kern w:val="0"/>
          <w:sz w:val="32"/>
          <w:szCs w:val="32"/>
          <w:lang w:val="en-US" w:eastAsia="zh-CN"/>
        </w:rPr>
        <w:t xml:space="preserve"> </w:t>
      </w:r>
      <w:r>
        <w:rPr>
          <w:rFonts w:hint="eastAsia"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一案一补</w:t>
      </w:r>
      <w:r>
        <w:rPr>
          <w:rFonts w:hint="eastAsia"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及月补助奖励经费（以下简称</w:t>
      </w:r>
      <w:r>
        <w:rPr>
          <w:rFonts w:hint="eastAsia"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补贴经费</w:t>
      </w:r>
      <w:r>
        <w:rPr>
          <w:rFonts w:hint="eastAsia"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）应纳入本级财政预算予以保障，实行专款专用。市司法局负责补贴经费的申请、审核、发放和监督管理工作。</w:t>
      </w:r>
      <w:r>
        <w:rPr>
          <w:rFonts w:hint="default" w:ascii="Times New Roman" w:hAnsi="Times New Roman" w:eastAsia="仿宋_GB2312" w:cs="Times New Roman"/>
          <w:snapToGrid w:val="0"/>
          <w:kern w:val="0"/>
          <w:sz w:val="32"/>
          <w:szCs w:val="32"/>
          <w:highlight w:val="none"/>
          <w:lang w:val="en-US" w:eastAsia="zh-CN"/>
        </w:rPr>
        <w:t>市财政局负责根据本办法做好经费预算安排和资金拨付工作。</w:t>
      </w:r>
    </w:p>
    <w:p w14:paraId="16073FD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lang w:eastAsia="zh-CN"/>
        </w:rPr>
      </w:pPr>
      <w:r>
        <w:rPr>
          <w:rFonts w:hint="default" w:ascii="Times New Roman" w:hAnsi="Times New Roman" w:eastAsia="仿宋_GB2312" w:cs="Times New Roman"/>
          <w:b/>
          <w:bCs/>
          <w:snapToGrid w:val="0"/>
          <w:kern w:val="0"/>
          <w:sz w:val="32"/>
          <w:szCs w:val="32"/>
          <w:lang w:val="en-US" w:eastAsia="zh-CN"/>
        </w:rPr>
        <w:t>第五条</w:t>
      </w:r>
      <w:r>
        <w:rPr>
          <w:rFonts w:hint="default" w:ascii="Times New Roman" w:hAnsi="Times New Roman" w:eastAsia="仿宋_GB2312" w:cs="Times New Roman"/>
          <w:snapToGrid w:val="0"/>
          <w:kern w:val="0"/>
          <w:sz w:val="32"/>
          <w:szCs w:val="32"/>
          <w:lang w:eastAsia="zh-CN"/>
        </w:rPr>
        <w:t xml:space="preserve"> 补贴发放遵循</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eastAsia="zh-CN"/>
        </w:rPr>
        <w:t>实事求是、按绩取酬、规范高效、公开透明</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eastAsia="zh-CN"/>
        </w:rPr>
        <w:t>的原则，实行</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eastAsia="zh-CN"/>
        </w:rPr>
        <w:t>谁调解、补贴谁</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eastAsia="zh-CN"/>
        </w:rPr>
        <w:t>，严禁弄虚作假、平均分配。</w:t>
      </w:r>
    </w:p>
    <w:p w14:paraId="570141F3">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lang w:eastAsia="zh-CN"/>
        </w:rPr>
      </w:pPr>
      <w:r>
        <w:rPr>
          <w:rFonts w:hint="default" w:ascii="Times New Roman" w:hAnsi="Times New Roman" w:eastAsia="仿宋_GB2312" w:cs="Times New Roman"/>
          <w:b/>
          <w:bCs/>
          <w:snapToGrid w:val="0"/>
          <w:kern w:val="0"/>
          <w:sz w:val="32"/>
          <w:szCs w:val="32"/>
          <w:lang w:val="en-US" w:eastAsia="zh-CN"/>
        </w:rPr>
        <w:t>第六条</w:t>
      </w:r>
      <w:r>
        <w:rPr>
          <w:rFonts w:hint="default" w:ascii="Times New Roman" w:hAnsi="Times New Roman" w:eastAsia="仿宋_GB2312" w:cs="Times New Roman"/>
          <w:snapToGrid w:val="0"/>
          <w:kern w:val="0"/>
          <w:sz w:val="32"/>
          <w:szCs w:val="32"/>
          <w:lang w:eastAsia="zh-CN"/>
        </w:rPr>
        <w:t xml:space="preserve"> 鼓励和支持符合条件的社会人士、专业人士及退休政法干警等依法担任人民调解员，按规定领取相应补贴。</w:t>
      </w:r>
      <w:r>
        <w:rPr>
          <w:rFonts w:hint="default" w:ascii="Times New Roman" w:hAnsi="Times New Roman" w:eastAsia="方正仿宋简体" w:cs="Times New Roman"/>
          <w:sz w:val="32"/>
          <w:szCs w:val="32"/>
        </w:rPr>
        <w:t>国家机关、事业单位在职工作人员（含市级聘用人员、社区工作者、村及社区</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两委</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成员）不得领取</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一案一补</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及专职人民调解员月奖励</w:t>
      </w:r>
      <w:r>
        <w:rPr>
          <w:rFonts w:hint="default" w:ascii="Times New Roman" w:hAnsi="Times New Roman" w:eastAsia="方正仿宋简体" w:cs="Times New Roman"/>
          <w:sz w:val="32"/>
          <w:szCs w:val="32"/>
        </w:rPr>
        <w:t>补贴。</w:t>
      </w:r>
    </w:p>
    <w:p w14:paraId="6536A233">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方正黑体_GBK" w:cs="Times New Roman"/>
          <w:snapToGrid w:val="0"/>
          <w:kern w:val="0"/>
          <w:sz w:val="32"/>
          <w:szCs w:val="32"/>
        </w:rPr>
        <w:t xml:space="preserve">第二章  </w:t>
      </w:r>
      <w:r>
        <w:rPr>
          <w:rFonts w:hint="default" w:ascii="Times New Roman" w:hAnsi="Times New Roman" w:eastAsia="方正黑体_GBK" w:cs="Times New Roman"/>
          <w:snapToGrid w:val="0"/>
          <w:kern w:val="0"/>
          <w:sz w:val="32"/>
          <w:szCs w:val="32"/>
          <w:lang w:eastAsia="zh-CN"/>
        </w:rPr>
        <w:t>补贴类别与标准</w:t>
      </w:r>
    </w:p>
    <w:p w14:paraId="35B6082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b/>
          <w:bCs/>
          <w:snapToGrid w:val="0"/>
          <w:kern w:val="0"/>
          <w:sz w:val="32"/>
          <w:szCs w:val="32"/>
          <w:lang w:val="en-US" w:eastAsia="zh-CN"/>
        </w:rPr>
        <w:t>第七条</w:t>
      </w:r>
      <w:r>
        <w:rPr>
          <w:rFonts w:hint="default" w:ascii="Times New Roman" w:hAnsi="Times New Roman" w:eastAsia="仿宋_GB2312" w:cs="Times New Roman"/>
          <w:snapToGrid w:val="0"/>
          <w:kern w:val="0"/>
          <w:sz w:val="32"/>
          <w:szCs w:val="32"/>
        </w:rPr>
        <w:t xml:space="preserve"> 本办法包含“一案一补”补贴和专职人民调解员月补助奖励两类。</w:t>
      </w:r>
    </w:p>
    <w:p w14:paraId="44AD1AA2">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b/>
          <w:bCs/>
          <w:snapToGrid w:val="0"/>
          <w:kern w:val="0"/>
          <w:sz w:val="32"/>
          <w:szCs w:val="32"/>
          <w:lang w:val="en-US" w:eastAsia="zh-CN"/>
        </w:rPr>
        <w:t>第八条</w:t>
      </w:r>
      <w:r>
        <w:rPr>
          <w:rFonts w:hint="default" w:ascii="Times New Roman" w:hAnsi="Times New Roman" w:eastAsia="仿宋_GB2312" w:cs="Times New Roman"/>
          <w:snapToGrid w:val="0"/>
          <w:kern w:val="0"/>
          <w:sz w:val="32"/>
          <w:szCs w:val="32"/>
        </w:rPr>
        <w:t xml:space="preserve"> </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一案一补</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补贴根据调解案件的难易程度、涉案人数、金额、社会影响等因素，划分为以下四个等级：</w:t>
      </w:r>
    </w:p>
    <w:p w14:paraId="583E4B9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（一）简易（口头）纠纷案件：事实清楚、权利义务关系明确、争议不大，经口头调解</w:t>
      </w:r>
      <w:r>
        <w:rPr>
          <w:rFonts w:hint="eastAsia" w:ascii="Times New Roman" w:hAnsi="Times New Roman" w:eastAsia="仿宋_GB2312" w:cs="Times New Roman"/>
          <w:snapToGrid w:val="0"/>
          <w:kern w:val="0"/>
          <w:sz w:val="32"/>
          <w:szCs w:val="32"/>
          <w:lang w:val="en-US" w:eastAsia="zh-CN"/>
        </w:rPr>
        <w:t>即时</w:t>
      </w:r>
      <w:r>
        <w:rPr>
          <w:rFonts w:hint="default" w:ascii="Times New Roman" w:hAnsi="Times New Roman" w:eastAsia="仿宋_GB2312" w:cs="Times New Roman"/>
          <w:snapToGrid w:val="0"/>
          <w:kern w:val="0"/>
          <w:sz w:val="32"/>
          <w:szCs w:val="32"/>
        </w:rPr>
        <w:t>履行或达成和解，并规范记录备案的，每件补贴60元。</w:t>
      </w:r>
    </w:p>
    <w:p w14:paraId="7A6BEFA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（二）一般纠纷案件：有一定复杂性，涉案人数5人以下（含5人）或涉案金额5万元以下（含5万元），经调解达成书面协议并按期履行的，每件补贴120元。</w:t>
      </w:r>
    </w:p>
    <w:p w14:paraId="29F046D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（三）复杂纠纷案件：符合下列情形之一，经调解达成书面协议的，每件补贴200元：</w:t>
      </w:r>
    </w:p>
    <w:p w14:paraId="17F65AC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1.涉案人数5人以上10人以下，或涉案金额5万元以上50万元以下的；</w:t>
      </w:r>
    </w:p>
    <w:p w14:paraId="56DCF7D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2.案件具有典型性、代表性，或在本地区有一定社会影响的；</w:t>
      </w:r>
    </w:p>
    <w:p w14:paraId="23F9CEF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3.调解成功后出现反复，经再次调解成功的；</w:t>
      </w:r>
    </w:p>
    <w:p w14:paraId="2AC56D4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4.经乡镇（街道）以上部门交办、移送的。</w:t>
      </w:r>
    </w:p>
    <w:p w14:paraId="78DF2F2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（四）重大疑难复杂纠纷案件：符合下列情形之一，经调解达成书面协议并有效化解矛盾的，每件补贴300元：</w:t>
      </w:r>
    </w:p>
    <w:p w14:paraId="06BA9C66">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1.</w:t>
      </w:r>
      <w:r>
        <w:rPr>
          <w:rFonts w:hint="default" w:ascii="Times New Roman" w:hAnsi="Times New Roman" w:eastAsia="仿宋_GB2312" w:cs="Times New Roman"/>
          <w:snapToGrid w:val="0"/>
          <w:kern w:val="0"/>
          <w:sz w:val="32"/>
          <w:szCs w:val="32"/>
        </w:rPr>
        <w:t>涉案人数10人以上，或涉案金额50万元以上的；</w:t>
      </w:r>
    </w:p>
    <w:p w14:paraId="76DB8C4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2.</w:t>
      </w:r>
      <w:r>
        <w:rPr>
          <w:rFonts w:hint="default" w:ascii="Times New Roman" w:hAnsi="Times New Roman" w:eastAsia="仿宋_GB2312" w:cs="Times New Roman"/>
          <w:snapToGrid w:val="0"/>
          <w:kern w:val="0"/>
          <w:sz w:val="32"/>
          <w:szCs w:val="32"/>
        </w:rPr>
        <w:t>上级机关挂牌督办的矛盾纠纷；</w:t>
      </w:r>
    </w:p>
    <w:p w14:paraId="2C333C5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rPr>
        <w:t>多年积累、长期未解决的信访积案；</w:t>
      </w:r>
    </w:p>
    <w:p w14:paraId="17AF912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rPr>
        <w:t>重特大安全事故、突发事件引发的矛盾纠纷；</w:t>
      </w:r>
    </w:p>
    <w:p w14:paraId="4A6D256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在本市范围内引发广泛社会关注的矛盾纠纷。</w:t>
      </w:r>
    </w:p>
    <w:p w14:paraId="2134D0E0">
      <w:pPr>
        <w:keepNext w:val="0"/>
        <w:keepLines w:val="0"/>
        <w:pageBreakBefore w:val="0"/>
        <w:kinsoku/>
        <w:wordWrap/>
        <w:overflowPunct/>
        <w:topLinePunct w:val="0"/>
        <w:autoSpaceDE/>
        <w:autoSpaceDN/>
        <w:bidi w:val="0"/>
        <w:adjustRightInd w:val="0"/>
        <w:snapToGrid w:val="0"/>
        <w:spacing w:line="600" w:lineRule="exact"/>
        <w:jc w:val="left"/>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6.可能引发群体性事件、刑事案件或越级上访的重大矛盾纠纷；</w:t>
      </w:r>
    </w:p>
    <w:p w14:paraId="3D41DDF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b/>
          <w:bCs/>
          <w:snapToGrid w:val="0"/>
          <w:kern w:val="0"/>
          <w:sz w:val="32"/>
          <w:szCs w:val="32"/>
          <w:lang w:val="en-US" w:eastAsia="zh-CN"/>
        </w:rPr>
        <w:t>第九条</w:t>
      </w:r>
      <w:r>
        <w:rPr>
          <w:rFonts w:hint="default" w:ascii="Times New Roman" w:hAnsi="Times New Roman" w:eastAsia="仿宋_GB2312" w:cs="Times New Roman"/>
          <w:snapToGrid w:val="0"/>
          <w:kern w:val="0"/>
          <w:sz w:val="32"/>
          <w:szCs w:val="32"/>
        </w:rPr>
        <w:t xml:space="preserve"> 对成功调解符合以下条件的特大纠纷案件，除按第八条第四项标准补贴外，可另行给予每件1000元的专项奖励：</w:t>
      </w:r>
    </w:p>
    <w:p w14:paraId="7EC59DA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（一）涉及人数10人</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val="en-US" w:eastAsia="zh-CN"/>
        </w:rPr>
        <w:t>不含</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以上，或单案涉案标的额500万元以上的；</w:t>
      </w:r>
    </w:p>
    <w:p w14:paraId="22E01DD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（二）有效避免特别重大群体性事件、恶性刑事案件或极端个人事件的；</w:t>
      </w:r>
    </w:p>
    <w:p w14:paraId="093A3741">
      <w:pPr>
        <w:keepNext w:val="0"/>
        <w:keepLines w:val="0"/>
        <w:pageBreakBefore w:val="0"/>
        <w:kinsoku/>
        <w:wordWrap/>
        <w:overflowPunct/>
        <w:topLinePunct w:val="0"/>
        <w:autoSpaceDE/>
        <w:autoSpaceDN/>
        <w:bidi w:val="0"/>
        <w:adjustRightInd w:val="0"/>
        <w:snapToGrid w:val="0"/>
        <w:spacing w:line="600" w:lineRule="exact"/>
        <w:jc w:val="left"/>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color w:val="auto"/>
          <w:kern w:val="0"/>
          <w:sz w:val="32"/>
          <w:szCs w:val="32"/>
          <w:lang w:val="en-US" w:eastAsia="zh-CN"/>
        </w:rPr>
        <w:t xml:space="preserve">  </w:t>
      </w:r>
      <w:r>
        <w:rPr>
          <w:rFonts w:hint="default" w:ascii="Times New Roman" w:hAnsi="Times New Roman" w:eastAsia="仿宋_GB2312" w:cs="Times New Roman"/>
          <w:snapToGrid w:val="0"/>
          <w:color w:val="auto"/>
          <w:kern w:val="0"/>
          <w:sz w:val="32"/>
          <w:szCs w:val="32"/>
        </w:rPr>
        <w:t>（三）调解</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lang w:val="en-US" w:eastAsia="zh-CN"/>
        </w:rPr>
        <w:t>调解案件）</w:t>
      </w:r>
      <w:r>
        <w:rPr>
          <w:rFonts w:hint="default" w:ascii="Times New Roman" w:hAnsi="Times New Roman" w:eastAsia="仿宋_GB2312" w:cs="Times New Roman"/>
          <w:snapToGrid w:val="0"/>
          <w:color w:val="auto"/>
          <w:kern w:val="0"/>
          <w:sz w:val="32"/>
          <w:szCs w:val="32"/>
        </w:rPr>
        <w:t>经</w:t>
      </w:r>
      <w:r>
        <w:rPr>
          <w:rFonts w:hint="default" w:ascii="Times New Roman" w:hAnsi="Times New Roman" w:eastAsia="仿宋_GB2312" w:cs="Times New Roman"/>
          <w:snapToGrid w:val="0"/>
          <w:kern w:val="0"/>
          <w:sz w:val="32"/>
          <w:szCs w:val="32"/>
        </w:rPr>
        <w:t>验、做法获得州级以上表彰或推广的。</w:t>
      </w:r>
    </w:p>
    <w:p w14:paraId="1C89A97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b/>
          <w:bCs/>
          <w:snapToGrid w:val="0"/>
          <w:kern w:val="0"/>
          <w:sz w:val="32"/>
          <w:szCs w:val="32"/>
        </w:rPr>
        <w:t>第十条</w:t>
      </w:r>
      <w:r>
        <w:rPr>
          <w:rFonts w:hint="default" w:ascii="Times New Roman" w:hAnsi="Times New Roman" w:eastAsia="仿宋_GB2312" w:cs="Times New Roman"/>
          <w:snapToGrid w:val="0"/>
          <w:kern w:val="0"/>
          <w:sz w:val="32"/>
          <w:szCs w:val="32"/>
        </w:rPr>
        <w:t xml:space="preserve"> 专职人民调解员在享受</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一案一补</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补贴基础上，根据月调解案件量，享受以下月补助奖励</w:t>
      </w:r>
      <w:r>
        <w:rPr>
          <w:rFonts w:hint="eastAsia" w:ascii="Times New Roman" w:hAnsi="Times New Roman" w:eastAsia="仿宋_GB2312" w:cs="Times New Roman"/>
          <w:snapToGrid w:val="0"/>
          <w:kern w:val="0"/>
          <w:sz w:val="32"/>
          <w:szCs w:val="32"/>
          <w:lang w:eastAsia="zh-CN"/>
        </w:rPr>
        <w:t>。</w:t>
      </w:r>
      <w:r>
        <w:rPr>
          <w:rFonts w:hint="eastAsia" w:ascii="Times New Roman" w:hAnsi="Times New Roman" w:eastAsia="仿宋_GB2312" w:cs="Times New Roman"/>
          <w:snapToGrid w:val="0"/>
          <w:kern w:val="0"/>
          <w:sz w:val="32"/>
          <w:szCs w:val="32"/>
          <w:lang w:val="en-US" w:eastAsia="zh-CN"/>
        </w:rPr>
        <w:t>简易案件和口头案件不计入月补助奖励案件统计范围</w:t>
      </w:r>
      <w:r>
        <w:rPr>
          <w:rFonts w:hint="default" w:ascii="Times New Roman" w:hAnsi="Times New Roman" w:eastAsia="仿宋_GB2312" w:cs="Times New Roman"/>
          <w:snapToGrid w:val="0"/>
          <w:kern w:val="0"/>
          <w:sz w:val="32"/>
          <w:szCs w:val="32"/>
        </w:rPr>
        <w:t>：</w:t>
      </w:r>
    </w:p>
    <w:p w14:paraId="0FBA45C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lang w:eastAsia="zh-CN"/>
        </w:rPr>
      </w:pPr>
      <w:r>
        <w:rPr>
          <w:rFonts w:hint="default" w:ascii="Times New Roman" w:hAnsi="Times New Roman" w:eastAsia="仿宋_GB2312" w:cs="Times New Roman"/>
          <w:snapToGrid w:val="0"/>
          <w:kern w:val="0"/>
          <w:sz w:val="32"/>
          <w:szCs w:val="32"/>
        </w:rPr>
        <w:t>（一）月调解案件量达到20件</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val="en-US" w:eastAsia="zh-CN"/>
        </w:rPr>
        <w:t>含</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及以上的，每月补助3500</w:t>
      </w:r>
      <w:r>
        <w:rPr>
          <w:rFonts w:hint="eastAsia" w:ascii="Times New Roman" w:hAnsi="Times New Roman" w:eastAsia="仿宋_GB2312" w:cs="Times New Roman"/>
          <w:snapToGrid w:val="0"/>
          <w:kern w:val="0"/>
          <w:sz w:val="32"/>
          <w:szCs w:val="32"/>
          <w:lang w:val="en-US" w:eastAsia="zh-CN"/>
        </w:rPr>
        <w:t>元</w:t>
      </w:r>
      <w:r>
        <w:rPr>
          <w:rFonts w:hint="default" w:ascii="Times New Roman" w:hAnsi="Times New Roman" w:eastAsia="仿宋_GB2312" w:cs="Times New Roman"/>
          <w:snapToGrid w:val="0"/>
          <w:kern w:val="0"/>
          <w:sz w:val="32"/>
          <w:szCs w:val="32"/>
          <w:lang w:eastAsia="zh-CN"/>
        </w:rPr>
        <w:t>；</w:t>
      </w:r>
    </w:p>
    <w:p w14:paraId="0A04165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（二）月调解案件量达到10件不足20件的</w:t>
      </w:r>
      <w:r>
        <w:rPr>
          <w:rFonts w:hint="default" w:ascii="Times New Roman" w:hAnsi="Times New Roman" w:eastAsia="仿宋_GB2312" w:cs="Times New Roman"/>
          <w:snapToGrid w:val="0"/>
          <w:color w:val="auto"/>
          <w:kern w:val="0"/>
          <w:sz w:val="32"/>
          <w:szCs w:val="32"/>
        </w:rPr>
        <w:t>，</w:t>
      </w:r>
      <w:r>
        <w:rPr>
          <w:rFonts w:hint="default" w:ascii="Times New Roman" w:hAnsi="Times New Roman" w:eastAsia="仿宋_GB2312" w:cs="Times New Roman"/>
          <w:snapToGrid w:val="0"/>
          <w:kern w:val="0"/>
          <w:sz w:val="32"/>
          <w:szCs w:val="32"/>
        </w:rPr>
        <w:t>每月补助2000元；</w:t>
      </w:r>
    </w:p>
    <w:p w14:paraId="3D8F7F5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（三）月调解案件量达到5件不足10件的</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lang w:val="en-US" w:eastAsia="zh-CN"/>
        </w:rPr>
        <w:t>不含10件）</w:t>
      </w:r>
      <w:r>
        <w:rPr>
          <w:rFonts w:hint="default" w:ascii="Times New Roman" w:hAnsi="Times New Roman" w:eastAsia="仿宋_GB2312" w:cs="Times New Roman"/>
          <w:snapToGrid w:val="0"/>
          <w:kern w:val="0"/>
          <w:sz w:val="32"/>
          <w:szCs w:val="32"/>
        </w:rPr>
        <w:t>，每月补助1000元。</w:t>
      </w:r>
    </w:p>
    <w:p w14:paraId="6E42D66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val="en-US" w:eastAsia="zh-CN"/>
        </w:rPr>
        <w:t>四</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月调解案件量不足5件的，不享受当月补助奖励。案件量统计以规范录入系统并审核通过的为准。</w:t>
      </w:r>
    </w:p>
    <w:p w14:paraId="20E9FC7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b/>
          <w:bCs/>
          <w:snapToGrid w:val="0"/>
          <w:kern w:val="0"/>
          <w:sz w:val="32"/>
          <w:szCs w:val="32"/>
        </w:rPr>
        <w:t>第十一条</w:t>
      </w:r>
      <w:r>
        <w:rPr>
          <w:rFonts w:hint="default" w:ascii="Times New Roman" w:hAnsi="Times New Roman" w:eastAsia="仿宋_GB2312" w:cs="Times New Roman"/>
          <w:snapToGrid w:val="0"/>
          <w:kern w:val="0"/>
          <w:sz w:val="32"/>
          <w:szCs w:val="32"/>
        </w:rPr>
        <w:t xml:space="preserve"> 同一纠纷涉及多名当事人，原则上按一件纠纷进行补贴。群体性纠纷或因履行需要制作多份内容相同协议书的，仍按一件纠纷补贴。</w:t>
      </w:r>
      <w:r>
        <w:rPr>
          <w:rFonts w:hint="default" w:ascii="Times New Roman" w:hAnsi="Times New Roman" w:eastAsia="仿宋_GB2312" w:cs="Times New Roman"/>
          <w:snapToGrid w:val="0"/>
          <w:kern w:val="0"/>
          <w:sz w:val="32"/>
          <w:szCs w:val="32"/>
          <w:lang w:val="en-US" w:eastAsia="zh-CN"/>
        </w:rPr>
        <w:t xml:space="preserve"> </w:t>
      </w:r>
    </w:p>
    <w:p w14:paraId="17500BC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方正黑体_GBK" w:cs="Times New Roman"/>
          <w:snapToGrid w:val="0"/>
          <w:kern w:val="0"/>
          <w:sz w:val="32"/>
          <w:szCs w:val="32"/>
        </w:rPr>
      </w:pPr>
      <w:r>
        <w:rPr>
          <w:rFonts w:hint="default" w:ascii="Times New Roman" w:hAnsi="Times New Roman" w:eastAsia="仿宋_GB2312" w:cs="Times New Roman"/>
          <w:b/>
          <w:bCs/>
          <w:snapToGrid w:val="0"/>
          <w:kern w:val="0"/>
          <w:sz w:val="32"/>
          <w:szCs w:val="32"/>
        </w:rPr>
        <w:t>第十二条</w:t>
      </w:r>
      <w:r>
        <w:rPr>
          <w:rFonts w:hint="default" w:ascii="Times New Roman" w:hAnsi="Times New Roman" w:eastAsia="仿宋_GB2312" w:cs="Times New Roman"/>
          <w:snapToGrid w:val="0"/>
          <w:kern w:val="0"/>
          <w:sz w:val="32"/>
          <w:szCs w:val="32"/>
        </w:rPr>
        <w:t xml:space="preserve"> 聘任专职人民调解员的人民调解委员会，</w:t>
      </w:r>
      <w:r>
        <w:rPr>
          <w:rFonts w:hint="default" w:ascii="Times New Roman" w:hAnsi="Times New Roman" w:eastAsia="仿宋_GB2312" w:cs="Times New Roman"/>
          <w:snapToGrid w:val="0"/>
          <w:color w:val="auto"/>
          <w:kern w:val="0"/>
          <w:sz w:val="32"/>
          <w:szCs w:val="32"/>
          <w:lang w:val="en-US" w:eastAsia="zh-CN"/>
        </w:rPr>
        <w:t>应当</w:t>
      </w:r>
      <w:r>
        <w:rPr>
          <w:rFonts w:hint="default" w:ascii="Times New Roman" w:hAnsi="Times New Roman" w:eastAsia="仿宋_GB2312" w:cs="Times New Roman"/>
          <w:snapToGrid w:val="0"/>
          <w:color w:val="auto"/>
          <w:kern w:val="0"/>
          <w:sz w:val="32"/>
          <w:szCs w:val="32"/>
        </w:rPr>
        <w:t>为其购买人身</w:t>
      </w:r>
      <w:r>
        <w:rPr>
          <w:rFonts w:hint="default" w:ascii="Times New Roman" w:hAnsi="Times New Roman" w:eastAsia="仿宋_GB2312" w:cs="Times New Roman"/>
          <w:snapToGrid w:val="0"/>
          <w:kern w:val="0"/>
          <w:sz w:val="32"/>
          <w:szCs w:val="32"/>
        </w:rPr>
        <w:t>意外伤害保险，保险金额不低于人民币50万元/年，覆盖履职期间及往返途中的意外风险。保险费用由聘任单位承担。</w:t>
      </w:r>
    </w:p>
    <w:p w14:paraId="1D796BC6">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方正黑体_GBK" w:cs="Times New Roman"/>
          <w:snapToGrid w:val="0"/>
          <w:kern w:val="0"/>
          <w:sz w:val="32"/>
          <w:szCs w:val="32"/>
          <w:lang w:eastAsia="zh-CN"/>
        </w:rPr>
      </w:pPr>
      <w:r>
        <w:rPr>
          <w:rFonts w:hint="default" w:ascii="Times New Roman" w:hAnsi="Times New Roman" w:eastAsia="方正黑体_GBK" w:cs="Times New Roman"/>
          <w:snapToGrid w:val="0"/>
          <w:kern w:val="0"/>
          <w:sz w:val="32"/>
          <w:szCs w:val="32"/>
        </w:rPr>
        <w:t>第</w:t>
      </w:r>
      <w:r>
        <w:rPr>
          <w:rFonts w:hint="default" w:ascii="Times New Roman" w:hAnsi="Times New Roman" w:eastAsia="方正黑体_GBK" w:cs="Times New Roman"/>
          <w:snapToGrid w:val="0"/>
          <w:kern w:val="0"/>
          <w:sz w:val="32"/>
          <w:szCs w:val="32"/>
          <w:lang w:eastAsia="zh-CN"/>
        </w:rPr>
        <w:t>三</w:t>
      </w:r>
      <w:r>
        <w:rPr>
          <w:rFonts w:hint="default" w:ascii="Times New Roman" w:hAnsi="Times New Roman" w:eastAsia="方正黑体_GBK" w:cs="Times New Roman"/>
          <w:snapToGrid w:val="0"/>
          <w:kern w:val="0"/>
          <w:sz w:val="32"/>
          <w:szCs w:val="32"/>
        </w:rPr>
        <w:t xml:space="preserve">章  </w:t>
      </w:r>
      <w:r>
        <w:rPr>
          <w:rFonts w:hint="default" w:ascii="Times New Roman" w:hAnsi="Times New Roman" w:eastAsia="方正黑体_GBK" w:cs="Times New Roman"/>
          <w:snapToGrid w:val="0"/>
          <w:kern w:val="0"/>
          <w:sz w:val="32"/>
          <w:szCs w:val="32"/>
          <w:lang w:eastAsia="zh-CN"/>
        </w:rPr>
        <w:t>审核认定与发放程序</w:t>
      </w:r>
    </w:p>
    <w:p w14:paraId="23D3C528">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b/>
          <w:bCs/>
          <w:snapToGrid w:val="0"/>
          <w:kern w:val="0"/>
          <w:sz w:val="32"/>
          <w:szCs w:val="32"/>
          <w:lang w:val="en-US" w:eastAsia="zh-CN"/>
        </w:rPr>
        <w:t>第十三条</w:t>
      </w:r>
      <w:r>
        <w:rPr>
          <w:rFonts w:hint="default" w:ascii="Times New Roman" w:hAnsi="Times New Roman" w:eastAsia="仿宋_GB2312" w:cs="Times New Roman"/>
          <w:snapToGrid w:val="0"/>
          <w:kern w:val="0"/>
          <w:sz w:val="32"/>
          <w:szCs w:val="32"/>
          <w:lang w:val="en-US" w:eastAsia="zh-CN"/>
        </w:rPr>
        <w:t xml:space="preserve"> 申请补贴的案件应符合以下基本要求：</w:t>
      </w:r>
    </w:p>
    <w:p w14:paraId="39508B3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（一）属于人民调解委员会受理范围；</w:t>
      </w:r>
    </w:p>
    <w:p w14:paraId="54BA93E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（二）调解程序合法、规范；</w:t>
      </w:r>
    </w:p>
    <w:p w14:paraId="027AE6F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（三）卷宗材料齐全、制作规范，符合《全国人民调解工作规范》要求；</w:t>
      </w:r>
    </w:p>
    <w:p w14:paraId="3E56BE1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（四）纠纷得到有效化解，无因调解员过错导致协议被撤销或引发新矛盾的情形；</w:t>
      </w:r>
    </w:p>
    <w:p w14:paraId="33E64C3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（五）案件信息及电子卷宗已通过</w:t>
      </w:r>
      <w:r>
        <w:rPr>
          <w:rFonts w:hint="eastAsia"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基层司法统一门户</w:t>
      </w:r>
      <w:r>
        <w:rPr>
          <w:rFonts w:hint="eastAsia"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或</w:t>
      </w:r>
      <w:r>
        <w:rPr>
          <w:rFonts w:hint="eastAsia"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疆调解</w:t>
      </w:r>
      <w:r>
        <w:rPr>
          <w:rFonts w:hint="eastAsia"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等指定平台及时、准确录入。</w:t>
      </w:r>
    </w:p>
    <w:p w14:paraId="0545909D">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b/>
          <w:bCs/>
          <w:snapToGrid w:val="0"/>
          <w:kern w:val="0"/>
          <w:sz w:val="32"/>
          <w:szCs w:val="32"/>
          <w:lang w:val="en-US" w:eastAsia="zh-CN"/>
        </w:rPr>
        <w:t>第十四条</w:t>
      </w:r>
      <w:r>
        <w:rPr>
          <w:rFonts w:hint="default" w:ascii="Times New Roman" w:hAnsi="Times New Roman" w:eastAsia="仿宋_GB2312" w:cs="Times New Roman"/>
          <w:snapToGrid w:val="0"/>
          <w:kern w:val="0"/>
          <w:sz w:val="32"/>
          <w:szCs w:val="32"/>
          <w:lang w:val="en-US" w:eastAsia="zh-CN"/>
        </w:rPr>
        <w:t xml:space="preserve"> 补贴发放实行按月审核、按月发放。</w:t>
      </w:r>
    </w:p>
    <w:p w14:paraId="5DC8EF0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（一）申报：各人民调解委员会于每月5日前，汇总上月调解案件，填写《人民调解案件补贴申报汇总表》及《专职调解员月补助申领表》，连同调解卷宗报所在乡镇（街道）司法所初审。</w:t>
      </w:r>
    </w:p>
    <w:p w14:paraId="189BC75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（二）初审：司法所对案件真实性、规范性、补贴等级进行初审，于3个工作日内完成并报市司法局。</w:t>
      </w:r>
    </w:p>
    <w:p w14:paraId="594A2D0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（三）审核认定：市司法局对上报的材料及案卷进行复核并全量评查，必要时进行实地核查或电话回访。</w:t>
      </w:r>
    </w:p>
    <w:p w14:paraId="11BCDAA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四）发放：案卷评查与审核认定完成后，由市司法局汇总形成补贴发放清册，按财务程序向市财政局申请资金拨付。市财政局根据申请将相应补贴经费统一拨付至各乡镇（街道）或相关行业主管部门。各乡镇（街道）或行业主管部门在收到资金后，应实行实名制管理，及时、足额将补贴发放至所属人民调解员个人银行账户，并将发放凭证反馈至市司法局备案。</w:t>
      </w:r>
    </w:p>
    <w:p w14:paraId="05637A3E">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方正黑体_GBK" w:cs="Times New Roman"/>
          <w:snapToGrid w:val="0"/>
          <w:kern w:val="0"/>
          <w:sz w:val="32"/>
          <w:szCs w:val="32"/>
        </w:rPr>
      </w:pPr>
      <w:r>
        <w:rPr>
          <w:rFonts w:hint="default" w:ascii="Times New Roman" w:hAnsi="Times New Roman" w:eastAsia="方正黑体_GBK" w:cs="Times New Roman"/>
          <w:snapToGrid w:val="0"/>
          <w:kern w:val="0"/>
          <w:sz w:val="32"/>
          <w:szCs w:val="32"/>
        </w:rPr>
        <w:t>第</w:t>
      </w:r>
      <w:r>
        <w:rPr>
          <w:rFonts w:hint="default" w:ascii="Times New Roman" w:hAnsi="Times New Roman" w:eastAsia="方正黑体_GBK" w:cs="Times New Roman"/>
          <w:snapToGrid w:val="0"/>
          <w:kern w:val="0"/>
          <w:sz w:val="32"/>
          <w:szCs w:val="32"/>
          <w:lang w:eastAsia="zh-CN"/>
        </w:rPr>
        <w:t>四</w:t>
      </w:r>
      <w:r>
        <w:rPr>
          <w:rFonts w:hint="default" w:ascii="Times New Roman" w:hAnsi="Times New Roman" w:eastAsia="方正黑体_GBK" w:cs="Times New Roman"/>
          <w:snapToGrid w:val="0"/>
          <w:kern w:val="0"/>
          <w:sz w:val="32"/>
          <w:szCs w:val="32"/>
        </w:rPr>
        <w:t>章  监督与责任</w:t>
      </w:r>
    </w:p>
    <w:p w14:paraId="39344CCC">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b/>
          <w:bCs/>
          <w:snapToGrid w:val="0"/>
          <w:kern w:val="0"/>
          <w:sz w:val="32"/>
          <w:szCs w:val="32"/>
          <w:lang w:val="en-US" w:eastAsia="zh-CN"/>
        </w:rPr>
        <w:t>第十五条</w:t>
      </w:r>
      <w:r>
        <w:rPr>
          <w:rFonts w:hint="default" w:ascii="Times New Roman" w:hAnsi="Times New Roman" w:eastAsia="仿宋_GB2312" w:cs="Times New Roman"/>
          <w:snapToGrid w:val="0"/>
          <w:kern w:val="0"/>
          <w:sz w:val="32"/>
          <w:szCs w:val="32"/>
        </w:rPr>
        <w:t xml:space="preserve"> 下列案件不予发放补贴：</w:t>
      </w:r>
    </w:p>
    <w:p w14:paraId="5F571180">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（一）不属于民间纠纷性质的行政、司法调解案件；</w:t>
      </w:r>
    </w:p>
    <w:p w14:paraId="3545FA6C">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（二）法律、法规规定应由专门机关管辖处理的；</w:t>
      </w:r>
    </w:p>
    <w:p w14:paraId="5FC1730A">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（三）调解不成功或未履行完毕的（简易口头调解即时履行的除外）；</w:t>
      </w:r>
    </w:p>
    <w:p w14:paraId="0BA6551E">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（四）卷宗严重不规范、信息虚假或录入不全的；</w:t>
      </w:r>
    </w:p>
    <w:p w14:paraId="213DEED1">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（五）其他不符合补贴范围的情形。</w:t>
      </w:r>
    </w:p>
    <w:p w14:paraId="1D760CA0">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b/>
          <w:bCs/>
          <w:snapToGrid w:val="0"/>
          <w:kern w:val="0"/>
          <w:sz w:val="32"/>
          <w:szCs w:val="32"/>
          <w:lang w:val="en-US" w:eastAsia="zh-CN"/>
        </w:rPr>
        <w:t>第十六条</w:t>
      </w:r>
      <w:r>
        <w:rPr>
          <w:rFonts w:hint="default" w:ascii="Times New Roman" w:hAnsi="Times New Roman" w:eastAsia="仿宋_GB2312" w:cs="Times New Roman"/>
          <w:snapToGrid w:val="0"/>
          <w:kern w:val="0"/>
          <w:sz w:val="32"/>
          <w:szCs w:val="32"/>
        </w:rPr>
        <w:t xml:space="preserve"> </w:t>
      </w:r>
      <w:r>
        <w:rPr>
          <w:rFonts w:hint="default" w:ascii="Times New Roman" w:hAnsi="Times New Roman" w:eastAsia="仿宋_GB2312" w:cs="Times New Roman"/>
          <w:snapToGrid w:val="0"/>
          <w:color w:val="auto"/>
          <w:kern w:val="0"/>
          <w:sz w:val="32"/>
          <w:szCs w:val="32"/>
        </w:rPr>
        <w:t>市司法局</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lang w:val="en-US" w:eastAsia="zh-CN"/>
        </w:rPr>
        <w:t>各乡镇（街道）或行业主管部门均</w:t>
      </w:r>
      <w:r>
        <w:rPr>
          <w:rFonts w:hint="default" w:ascii="Times New Roman" w:hAnsi="Times New Roman" w:eastAsia="仿宋_GB2312" w:cs="Times New Roman"/>
          <w:snapToGrid w:val="0"/>
          <w:color w:val="auto"/>
          <w:kern w:val="0"/>
          <w:sz w:val="32"/>
          <w:szCs w:val="32"/>
        </w:rPr>
        <w:t>应</w:t>
      </w:r>
      <w:r>
        <w:rPr>
          <w:rFonts w:hint="default" w:ascii="Times New Roman" w:hAnsi="Times New Roman" w:eastAsia="仿宋_GB2312" w:cs="Times New Roman"/>
          <w:snapToGrid w:val="0"/>
          <w:kern w:val="0"/>
          <w:sz w:val="32"/>
          <w:szCs w:val="32"/>
        </w:rPr>
        <w:t>建立补贴发放工作台账，定期监督检查，接受财政、审</w:t>
      </w:r>
      <w:r>
        <w:rPr>
          <w:rFonts w:hint="default" w:ascii="Times New Roman" w:hAnsi="Times New Roman" w:eastAsia="仿宋_GB2312" w:cs="Times New Roman"/>
          <w:snapToGrid w:val="0"/>
          <w:kern w:val="0"/>
          <w:sz w:val="32"/>
          <w:szCs w:val="32"/>
          <w:lang w:val="en-US" w:eastAsia="zh-CN"/>
        </w:rPr>
        <w:t>计、</w:t>
      </w:r>
      <w:r>
        <w:rPr>
          <w:rFonts w:hint="default" w:ascii="Times New Roman" w:hAnsi="Times New Roman" w:eastAsia="仿宋_GB2312" w:cs="Times New Roman"/>
          <w:snapToGrid w:val="0"/>
          <w:color w:val="auto"/>
          <w:kern w:val="0"/>
          <w:sz w:val="32"/>
          <w:szCs w:val="32"/>
          <w:lang w:val="en-US" w:eastAsia="zh-CN"/>
        </w:rPr>
        <w:t>司法局</w:t>
      </w:r>
      <w:r>
        <w:rPr>
          <w:rFonts w:hint="default" w:ascii="Times New Roman" w:hAnsi="Times New Roman" w:eastAsia="仿宋_GB2312" w:cs="Times New Roman"/>
          <w:snapToGrid w:val="0"/>
          <w:color w:val="auto"/>
          <w:kern w:val="0"/>
          <w:sz w:val="32"/>
          <w:szCs w:val="32"/>
        </w:rPr>
        <w:t>等部门监督</w:t>
      </w:r>
      <w:r>
        <w:rPr>
          <w:rFonts w:hint="default" w:ascii="Times New Roman" w:hAnsi="Times New Roman" w:eastAsia="仿宋_GB2312" w:cs="Times New Roman"/>
          <w:snapToGrid w:val="0"/>
          <w:kern w:val="0"/>
          <w:sz w:val="32"/>
          <w:szCs w:val="32"/>
        </w:rPr>
        <w:t>。</w:t>
      </w:r>
    </w:p>
    <w:p w14:paraId="6AE75DA3">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b/>
          <w:bCs/>
          <w:snapToGrid w:val="0"/>
          <w:kern w:val="0"/>
          <w:sz w:val="32"/>
          <w:szCs w:val="32"/>
          <w:lang w:val="en-US" w:eastAsia="zh-CN"/>
        </w:rPr>
        <w:t>第十七条</w:t>
      </w:r>
      <w:r>
        <w:rPr>
          <w:rFonts w:hint="default" w:ascii="Times New Roman" w:hAnsi="Times New Roman" w:eastAsia="仿宋_GB2312" w:cs="Times New Roman"/>
          <w:snapToGrid w:val="0"/>
          <w:kern w:val="0"/>
          <w:sz w:val="32"/>
          <w:szCs w:val="32"/>
        </w:rPr>
        <w:t xml:space="preserve"> 人民调解员或相关单位在补贴申报、发放中有下列情形之一的，由市司法局视情节给予处理；构成犯罪的，依法追究刑事责任：</w:t>
      </w:r>
    </w:p>
    <w:p w14:paraId="183A3024">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（一）弄虚作假、伪造卷宗、虚报冒领的；</w:t>
      </w:r>
    </w:p>
    <w:p w14:paraId="7D53398A">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（二）一案多报、重复申报的；</w:t>
      </w:r>
    </w:p>
    <w:p w14:paraId="22C55D7B">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（三）违反规定程序或标准发放、截留、挪用补贴经费的；</w:t>
      </w:r>
    </w:p>
    <w:p w14:paraId="60DC314B">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（四）因故意或重大过失导致调解协议被司法机关撤销或确认无效，造成不良后果的；</w:t>
      </w:r>
    </w:p>
    <w:p w14:paraId="394CFD37">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（五）在调解中存在违纪违规行为，经查证属实的；</w:t>
      </w:r>
    </w:p>
    <w:p w14:paraId="7EAB2227">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（六）其他违反本办法及财务管理规定的行为。</w:t>
      </w:r>
    </w:p>
    <w:p w14:paraId="76A8E024">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eastAsia="zh-CN"/>
        </w:rPr>
      </w:pPr>
      <w:r>
        <w:rPr>
          <w:rFonts w:hint="default" w:ascii="Times New Roman" w:hAnsi="Times New Roman" w:eastAsia="仿宋_GB2312" w:cs="Times New Roman"/>
          <w:snapToGrid w:val="0"/>
          <w:kern w:val="0"/>
          <w:sz w:val="32"/>
          <w:szCs w:val="32"/>
        </w:rPr>
        <w:t>对上述行为，除追回已发放的补贴外，还将依法依规追究相关人员责任。</w:t>
      </w:r>
    </w:p>
    <w:p w14:paraId="4006503B">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方正黑体_GBK" w:cs="Times New Roman"/>
          <w:snapToGrid w:val="0"/>
          <w:kern w:val="0"/>
          <w:sz w:val="32"/>
          <w:szCs w:val="32"/>
        </w:rPr>
      </w:pPr>
      <w:r>
        <w:rPr>
          <w:rFonts w:hint="default" w:ascii="Times New Roman" w:hAnsi="Times New Roman" w:eastAsia="方正黑体_GBK" w:cs="Times New Roman"/>
          <w:snapToGrid w:val="0"/>
          <w:kern w:val="0"/>
          <w:sz w:val="32"/>
          <w:szCs w:val="32"/>
        </w:rPr>
        <w:t>第</w:t>
      </w:r>
      <w:r>
        <w:rPr>
          <w:rFonts w:hint="default" w:ascii="Times New Roman" w:hAnsi="Times New Roman" w:eastAsia="方正黑体_GBK" w:cs="Times New Roman"/>
          <w:snapToGrid w:val="0"/>
          <w:kern w:val="0"/>
          <w:sz w:val="32"/>
          <w:szCs w:val="32"/>
          <w:lang w:eastAsia="zh-CN"/>
        </w:rPr>
        <w:t>五</w:t>
      </w:r>
      <w:r>
        <w:rPr>
          <w:rFonts w:hint="default" w:ascii="Times New Roman" w:hAnsi="Times New Roman" w:eastAsia="方正黑体_GBK" w:cs="Times New Roman"/>
          <w:snapToGrid w:val="0"/>
          <w:kern w:val="0"/>
          <w:sz w:val="32"/>
          <w:szCs w:val="32"/>
        </w:rPr>
        <w:t>章  附  则</w:t>
      </w:r>
    </w:p>
    <w:p w14:paraId="6F77522E">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b/>
          <w:bCs/>
          <w:snapToGrid w:val="0"/>
          <w:kern w:val="0"/>
          <w:sz w:val="32"/>
          <w:szCs w:val="32"/>
          <w:lang w:val="en-US" w:eastAsia="zh-CN"/>
        </w:rPr>
        <w:t>第十八条</w:t>
      </w:r>
      <w:r>
        <w:rPr>
          <w:rFonts w:hint="default" w:ascii="Times New Roman" w:hAnsi="Times New Roman" w:eastAsia="仿宋_GB2312" w:cs="Times New Roman"/>
          <w:snapToGrid w:val="0"/>
          <w:kern w:val="0"/>
          <w:sz w:val="32"/>
          <w:szCs w:val="32"/>
          <w:highlight w:val="none"/>
        </w:rPr>
        <w:t xml:space="preserve"> 本办法由伊宁市司法局负责解释。</w:t>
      </w:r>
    </w:p>
    <w:p w14:paraId="58120EE5">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b/>
          <w:bCs/>
          <w:snapToGrid w:val="0"/>
          <w:kern w:val="0"/>
          <w:sz w:val="32"/>
          <w:szCs w:val="32"/>
          <w:highlight w:val="none"/>
        </w:rPr>
        <w:t>第</w:t>
      </w:r>
      <w:r>
        <w:rPr>
          <w:rFonts w:hint="eastAsia" w:ascii="Times New Roman" w:hAnsi="Times New Roman" w:eastAsia="仿宋_GB2312" w:cs="Times New Roman"/>
          <w:b/>
          <w:bCs/>
          <w:snapToGrid w:val="0"/>
          <w:kern w:val="0"/>
          <w:sz w:val="32"/>
          <w:szCs w:val="32"/>
          <w:highlight w:val="none"/>
          <w:lang w:val="en-US" w:eastAsia="zh-CN"/>
        </w:rPr>
        <w:t>十九</w:t>
      </w:r>
      <w:r>
        <w:rPr>
          <w:rFonts w:hint="default" w:ascii="Times New Roman" w:hAnsi="Times New Roman" w:eastAsia="仿宋_GB2312" w:cs="Times New Roman"/>
          <w:b/>
          <w:bCs/>
          <w:snapToGrid w:val="0"/>
          <w:kern w:val="0"/>
          <w:sz w:val="32"/>
          <w:szCs w:val="32"/>
          <w:highlight w:val="none"/>
        </w:rPr>
        <w:t>条</w:t>
      </w:r>
      <w:r>
        <w:rPr>
          <w:rFonts w:hint="default" w:ascii="Times New Roman" w:hAnsi="Times New Roman" w:eastAsia="仿宋_GB2312" w:cs="Times New Roman"/>
          <w:snapToGrid w:val="0"/>
          <w:kern w:val="0"/>
          <w:sz w:val="32"/>
          <w:szCs w:val="32"/>
          <w:highlight w:val="none"/>
        </w:rPr>
        <w:t xml:space="preserve"> 本市此前发布的有关人民调解员补贴的规定与本办法不一致的，以本办法为准。本办法如与上级或国家最新法律法规及政策规定不一致的，以上级或国家规定为准。</w:t>
      </w:r>
    </w:p>
    <w:p w14:paraId="4E7039E5">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napToGrid w:val="0"/>
          <w:kern w:val="0"/>
          <w:sz w:val="32"/>
          <w:szCs w:val="32"/>
          <w:highlight w:val="yellow"/>
          <w:lang w:eastAsia="zh-CN"/>
        </w:rPr>
      </w:pPr>
      <w:r>
        <w:rPr>
          <w:rFonts w:hint="eastAsia" w:ascii="Times New Roman" w:hAnsi="Times New Roman" w:eastAsia="仿宋_GB2312" w:cs="Times New Roman"/>
          <w:b/>
          <w:bCs/>
          <w:snapToGrid w:val="0"/>
          <w:kern w:val="0"/>
          <w:sz w:val="32"/>
          <w:szCs w:val="32"/>
          <w:highlight w:val="none"/>
          <w:lang w:val="en-US" w:eastAsia="zh-CN"/>
        </w:rPr>
        <w:t xml:space="preserve">第二十条 </w:t>
      </w:r>
      <w:r>
        <w:rPr>
          <w:rFonts w:hint="default" w:ascii="Times New Roman" w:hAnsi="Times New Roman" w:eastAsia="仿宋_GB2312" w:cs="Times New Roman"/>
          <w:snapToGrid w:val="0"/>
          <w:kern w:val="0"/>
          <w:sz w:val="32"/>
          <w:szCs w:val="32"/>
          <w:highlight w:val="none"/>
        </w:rPr>
        <w:t>本办法实行动态调整机制。本办法有效期一年，自2026年1月1日起至2026年12月31日止。</w:t>
      </w:r>
      <w:r>
        <w:rPr>
          <w:rFonts w:hint="default" w:ascii="Times New Roman" w:hAnsi="Times New Roman" w:eastAsia="仿宋_GB2312" w:cs="Times New Roman"/>
          <w:snapToGrid w:val="0"/>
          <w:kern w:val="0"/>
          <w:sz w:val="32"/>
          <w:szCs w:val="32"/>
          <w:highlight w:val="none"/>
          <w:lang w:val="en-US" w:eastAsia="zh-CN" w:bidi="ar-SA"/>
        </w:rPr>
        <w:t>期满后，</w:t>
      </w:r>
      <w:r>
        <w:rPr>
          <w:rFonts w:hint="eastAsia" w:ascii="Times New Roman" w:hAnsi="Times New Roman" w:eastAsia="仿宋_GB2312" w:cs="Times New Roman"/>
          <w:snapToGrid w:val="0"/>
          <w:kern w:val="0"/>
          <w:sz w:val="32"/>
          <w:szCs w:val="32"/>
          <w:highlight w:val="none"/>
          <w:lang w:val="en-US" w:eastAsia="zh-CN" w:bidi="ar-SA"/>
        </w:rPr>
        <w:t>市司法局会同市财政根据年度财政状况</w:t>
      </w:r>
      <w:r>
        <w:rPr>
          <w:rFonts w:hint="default" w:ascii="Times New Roman" w:hAnsi="Times New Roman" w:eastAsia="仿宋_GB2312" w:cs="Times New Roman"/>
          <w:snapToGrid w:val="0"/>
          <w:kern w:val="0"/>
          <w:sz w:val="32"/>
          <w:szCs w:val="32"/>
          <w:highlight w:val="none"/>
          <w:lang w:val="en-US" w:eastAsia="zh-CN" w:bidi="ar-SA"/>
        </w:rPr>
        <w:t>会商确定</w:t>
      </w:r>
      <w:r>
        <w:rPr>
          <w:rFonts w:hint="eastAsia" w:ascii="Times New Roman" w:hAnsi="Times New Roman" w:eastAsia="仿宋_GB2312" w:cs="Times New Roman"/>
          <w:snapToGrid w:val="0"/>
          <w:kern w:val="0"/>
          <w:sz w:val="32"/>
          <w:szCs w:val="32"/>
          <w:highlight w:val="none"/>
          <w:lang w:val="en-US" w:eastAsia="zh-CN" w:bidi="ar-SA"/>
        </w:rPr>
        <w:t>新的补贴标准”。</w:t>
      </w:r>
    </w:p>
    <w:p w14:paraId="534D1DA1">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eastAsia="zh-CN"/>
        </w:rPr>
      </w:pPr>
    </w:p>
    <w:p w14:paraId="59103C6D">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eastAsia="zh-CN"/>
        </w:rPr>
      </w:pPr>
    </w:p>
    <w:p w14:paraId="0830BA83">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960" w:firstLineChars="300"/>
        <w:jc w:val="both"/>
        <w:textAlignment w:val="auto"/>
        <w:outlineLvl w:val="9"/>
        <w:rPr>
          <w:rFonts w:hint="default" w:ascii="Times New Roman" w:hAnsi="Times New Roman" w:eastAsia="仿宋_GB2312" w:cs="Times New Roman"/>
          <w:snapToGrid w:val="0"/>
          <w:kern w:val="0"/>
          <w:sz w:val="32"/>
          <w:szCs w:val="32"/>
          <w:u w:val="none"/>
          <w:lang w:val="en-US" w:eastAsia="zh-CN"/>
        </w:rPr>
      </w:pPr>
    </w:p>
    <w:p w14:paraId="1065AD3D">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960" w:firstLineChars="300"/>
        <w:jc w:val="both"/>
        <w:textAlignment w:val="auto"/>
        <w:outlineLvl w:val="9"/>
        <w:rPr>
          <w:rFonts w:hint="default" w:ascii="Times New Roman" w:hAnsi="Times New Roman" w:eastAsia="仿宋_GB2312" w:cs="Times New Roman"/>
          <w:snapToGrid w:val="0"/>
          <w:kern w:val="0"/>
          <w:sz w:val="32"/>
          <w:szCs w:val="32"/>
          <w:u w:val="none"/>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4200D"/>
    <w:multiLevelType w:val="singleLevel"/>
    <w:tmpl w:val="5544200D"/>
    <w:lvl w:ilvl="0" w:tentative="0">
      <w:start w:val="1"/>
      <w:numFmt w:val="chineseCounting"/>
      <w:suff w:val="space"/>
      <w:lvlText w:val="第%1条"/>
      <w:lvlJc w:val="left"/>
      <w:rPr>
        <w:rFonts w:hint="eastAsia"/>
        <w:b/>
        <w:bCs/>
      </w:rPr>
    </w:lvl>
  </w:abstractNum>
  <w:abstractNum w:abstractNumId="1">
    <w:nsid w:val="6A10CA82"/>
    <w:multiLevelType w:val="singleLevel"/>
    <w:tmpl w:val="6A10CA82"/>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E0153"/>
    <w:rsid w:val="1FE06FDA"/>
    <w:rsid w:val="24001E9D"/>
    <w:rsid w:val="382305B6"/>
    <w:rsid w:val="383D0E41"/>
    <w:rsid w:val="3C7668B7"/>
    <w:rsid w:val="3F620FE8"/>
    <w:rsid w:val="49E839D9"/>
    <w:rsid w:val="49F533F7"/>
    <w:rsid w:val="4A865774"/>
    <w:rsid w:val="51213C07"/>
    <w:rsid w:val="5F0164BE"/>
    <w:rsid w:val="62C470B7"/>
    <w:rsid w:val="62E97DA7"/>
    <w:rsid w:val="635B3574"/>
    <w:rsid w:val="66445C2F"/>
    <w:rsid w:val="70D847BC"/>
    <w:rsid w:val="782B5CFE"/>
    <w:rsid w:val="7DDF4864"/>
    <w:rsid w:val="7F934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rPr>
  </w:style>
  <w:style w:type="paragraph" w:styleId="3">
    <w:name w:val="Body Text Indent"/>
    <w:basedOn w:val="1"/>
    <w:next w:val="2"/>
    <w:unhideWhenUsed/>
    <w:qFormat/>
    <w:uiPriority w:val="99"/>
    <w:pPr>
      <w:spacing w:after="120"/>
      <w:ind w:left="420" w:leftChars="200"/>
    </w:pPr>
  </w:style>
  <w:style w:type="paragraph" w:styleId="4">
    <w:name w:val="Body Text First Indent 2"/>
    <w:basedOn w:val="3"/>
    <w:next w:val="1"/>
    <w:unhideWhenUsed/>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2784</Words>
  <Characters>2844</Characters>
  <Lines>0</Lines>
  <Paragraphs>0</Paragraphs>
  <TotalTime>0</TotalTime>
  <ScaleCrop>false</ScaleCrop>
  <LinksUpToDate>false</LinksUpToDate>
  <CharactersWithSpaces>2909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2025-12-24T09:38:00Z</dcterms:created>
  <dc:creator>admin</dc:creator>
  <cp:lastModifiedBy>，</cp:lastModifiedBy>
  <cp:lastPrinted>2026-03-11T03:45:00Z</cp:lastPrinted>
  <dcterms:modified xsi:type="dcterms:W3CDTF">2026-03-23T09:41:32Z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eyJoZGlkIjoiZWY4MDI0MmQ0ODhlOGM5ZGQ5OTZkYTA4ODNmM2M1NzIiLCJ1c2VySWQiOiI2NTAxNjM4MjIifQ==</vt:lpwstr>
  </property>
  <property fmtid="{D5CDD505-2E9C-101B-9397-08002B2CF9AE}" pid="4" name="ICV">
    <vt:lpwstr>B1532574445D46E9A0FA1A0E85963812_13</vt:lpwstr>
  </property>
</Properties>
</file>