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360" w:lineRule="auto"/>
        <w:jc w:val="both"/>
        <w:rPr>
          <w:rFonts w:hint="default" w:ascii="Times New Roman" w:hAnsi="Times New Roman" w:eastAsia="黑体" w:cs="Times New Roman"/>
          <w:sz w:val="28"/>
          <w:szCs w:val="28"/>
        </w:rPr>
      </w:pPr>
      <w:bookmarkStart w:id="0" w:name="_GoBack"/>
      <w:bookmarkEnd w:id="0"/>
      <w:r>
        <w:rPr>
          <w:rFonts w:hint="default" w:ascii="Times New Roman" w:hAnsi="Times New Roman" w:eastAsia="黑体" w:cs="Times New Roman"/>
          <w:sz w:val="28"/>
          <w:szCs w:val="28"/>
        </w:rPr>
        <w:t>附件1</w:t>
      </w:r>
    </w:p>
    <w:p>
      <w:pPr>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eastAsia="方正小标宋简体" w:cs="Times New Roman"/>
          <w:b/>
          <w:sz w:val="44"/>
          <w:szCs w:val="44"/>
        </w:rPr>
      </w:pPr>
    </w:p>
    <w:p>
      <w:pPr>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关于开展伊宁市车位使用权公证备案工作</w:t>
      </w:r>
    </w:p>
    <w:p>
      <w:pPr>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sz w:val="44"/>
          <w:szCs w:val="44"/>
        </w:rPr>
        <w:t>的通告（征求意见稿）</w:t>
      </w:r>
    </w:p>
    <w:p>
      <w:pPr>
        <w:spacing w:before="0" w:after="0" w:line="360" w:lineRule="auto"/>
        <w:ind w:firstLine="480"/>
        <w:jc w:val="both"/>
        <w:rPr>
          <w:rFonts w:hint="default" w:ascii="Times New Roman" w:hAnsi="Times New Roman" w:eastAsia="宋体" w:cs="Times New Roman"/>
          <w:sz w:val="24"/>
        </w:rPr>
      </w:pP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为逐步规范本市车位使用权管理，预防和化解因车位权属不清、合同管理不规范、</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一位多卖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等问题引发的矛盾纠纷，更好地保障车位使用权人的合法权益，根据《中华人民共和国民法典》《中华人民共和国公证法》《新疆维吾尔自治区物业管理条例》等相关法律法规，现就开展伊宁市车位使用权公证备案工作有关事项通告如下：</w:t>
      </w:r>
    </w:p>
    <w:p>
      <w:pPr>
        <w:keepNext w:val="0"/>
        <w:keepLines w:val="0"/>
        <w:pageBreakBefore w:val="0"/>
        <w:widowControl/>
        <w:numPr>
          <w:ilvl w:val="0"/>
          <w:numId w:val="7"/>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为规范本市车位使用权管理，维护车位使用权人的合法权益，预防和减少因车位权属不清引发的矛盾纠纷，依据《中华人民共和国民法典》第二百四十条关于所有权人对自己的不动产依法享有占有、使用、收益和处分权利的规定，车位使用权人对其依法取得使用权的车位享有占有、使用等合法权利，该权利应当受到法律保护。依据《中华人民共和国公证法》第十一条关于公证机构可以办理自然人、法人或者其他组织自愿申请办理的其他公证事项之规定，以及第三十六条关于经公证的民事法律行为、有法律意义的事实和文书应当作为认定事实的根据之规定，车位使用权人可自愿就其车位使用权向公证机构申请办理公证备案，经公证备案的车位使用权信息具有法定的证据效力。依据《新疆维吾尔自治区物业管理条例》关于车库、车位应当优先满足业主需要之规定，车位使用权公证备案工作有助于规范车位管理秩序。</w:t>
      </w:r>
    </w:p>
    <w:p>
      <w:pPr>
        <w:keepNext w:val="0"/>
        <w:keepLines w:val="0"/>
        <w:pageBreakBefore w:val="0"/>
        <w:widowControl/>
        <w:numPr>
          <w:ilvl w:val="0"/>
          <w:numId w:val="7"/>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本市行政区域内已取得合法使用依据的地下平面车位，其使用权人可自愿向公证机构申请办理车位使用权公证备案。</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下列车位使用权不纳入本次备案服务范围：</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（一）已取得不动产权证书的车位；</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（二）住宅小区内属于全体业主的敞开式地上车位；</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（三）计入公摊面积的地下车位；</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（四）公共道路、公共场所的车位。</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第三条 备案工作按照循序渐进、稳步推进的原则组织实施，先行受理已与开发企业签订合法有效的车位使用权转让协议、有偿使用合同或租赁合同的车位备案申请。后续根据工作开展情况逐步扩大受理范围，具体事项另行通告。</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已取得不动产权证书的车位因已通过不动产登记制度明确了权属，无需重复备案；地上敞开式车位因缺乏明确的物理边界和独立的使用权范围，暂不具备备案条件；计入公摊面积的地下车位属于业主共有部分，其使用权不属于特定业主单独享有，故不纳入本次备案范围。</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第四条 伊宁市公证处为本市车位使用权公证备案工作的具体实施机构，负责备案申请受理、材料审核、信息登记及备案证明出具等工作。市自然资源局</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市不动产登记中心依据相关规定，配合核查车位规划、建设及权属登记等相关信息。</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公证机构受理备案申请后，应当告知当事人办理备案的法律意义和可能产生的法律后果，告知其在办理备案过程中享有的权利、承担的义务。告知内容、方式和时间，应当记录存档。</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第五条 自然人申请办理车位使用权备案，应当提交下列材料：</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（一）申请人的身份证明；</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（二）取得车位使用权的证明材料，包括车位使用权转让协议、有偿使用合同或租赁合同等；</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（三）交款票据或付款凭证；</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（四）与申请备案有关的其他材料。</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对申报材料与实际情况不符、车位使用权存在争议的，公证机构不予办理。</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第六条 经公证备案的车位使用权信息，由公证机构进行证据固定与统一登记存档，并向使用权人出具具有法律证明力的备案证明。</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备案证明可作为权利人主张权利的有效证明材料，在发生车位使用权纠纷进入诉讼或仲裁程序时，备案证明可作为关键书证提交，其证明力一般大于其他书证；在车位日常使用、交易前权属核实、维权举证等多个场景中，备案证明均可作为有效的权利佐证材料。</w:t>
      </w:r>
    </w:p>
    <w:p>
      <w:pPr>
        <w:keepNext w:val="0"/>
        <w:keepLines w:val="0"/>
        <w:pageBreakBefore w:val="0"/>
        <w:widowControl/>
        <w:numPr>
          <w:ilvl w:val="0"/>
          <w:numId w:val="8"/>
        </w:numPr>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已备案车位发生使用权转让、继承、赠与等权属变更的，当事人应当及时到公证机构办理备案变更手续；车位使用权消灭的，应当及时办理备案注销。</w:t>
      </w:r>
    </w:p>
    <w:p>
      <w:pPr>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firstLine="960" w:firstLineChars="3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未及时办理变更或注销手续的，备案信息可能与实际权利状态不符，可能影响备案证明的证据效力，由此产生的法律后果由当事人自行承担。</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第八条 车位使用权备案后，有确凿证据证明备案内容与事实不符的，公证机构经调查核实后应当撤销备案。</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第九条 车位使用权公证备案是保障自身合法权益的重要举措，备案信息是对车位使用权状态的公证确认，具有公示效力。当权利状态发生变化时，及时办理备案变更或注销手续，有助于维护备案信息的真实性和准确性，保障交易安全</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鼓励</w:t>
      </w:r>
      <w:r>
        <w:rPr>
          <w:rFonts w:hint="default" w:ascii="Times New Roman" w:hAnsi="Times New Roman" w:eastAsia="方正仿宋简体" w:cs="Times New Roman"/>
          <w:sz w:val="32"/>
          <w:szCs w:val="32"/>
        </w:rPr>
        <w:t>广大市民结合自身实际积极办理。</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第十条 本通告由伊宁市司法局负责解释。</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第十一条 本通告自发布之日起施行。</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特此通告。</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eastAsia"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伊宁市司法局</w:t>
      </w:r>
    </w:p>
    <w:p>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2026年</w:t>
      </w:r>
      <w:r>
        <w:rPr>
          <w:rFonts w:hint="default" w:ascii="Times New Roman" w:hAnsi="Times New Roman" w:eastAsia="方正仿宋简体" w:cs="Times New Roman"/>
          <w:sz w:val="32"/>
          <w:szCs w:val="32"/>
          <w:lang w:val="en-US" w:eastAsia="zh-CN"/>
        </w:rPr>
        <w:t xml:space="preserve"> </w:t>
      </w:r>
      <w:r>
        <w:rPr>
          <w:rFonts w:hint="eastAsia" w:ascii="Times New Roman" w:hAnsi="Times New Roman" w:eastAsia="方正仿宋简体" w:cs="Times New Roman"/>
          <w:sz w:val="32"/>
          <w:szCs w:val="32"/>
          <w:lang w:val="en-US" w:eastAsia="zh-CN"/>
        </w:rPr>
        <w:t>10</w:t>
      </w:r>
      <w:r>
        <w:rPr>
          <w:rFonts w:hint="default" w:ascii="Times New Roman" w:hAnsi="Times New Roman" w:eastAsia="方正仿宋简体" w:cs="Times New Roman"/>
          <w:sz w:val="32"/>
          <w:szCs w:val="32"/>
        </w:rPr>
        <w:t>月</w:t>
      </w:r>
      <w:r>
        <w:rPr>
          <w:rFonts w:hint="default" w:ascii="Times New Roman" w:hAnsi="Times New Roman" w:eastAsia="方正仿宋简体" w:cs="Times New Roman"/>
          <w:sz w:val="32"/>
          <w:szCs w:val="32"/>
          <w:lang w:val="en-US" w:eastAsia="zh-CN"/>
        </w:rPr>
        <w:t xml:space="preserve"> </w:t>
      </w:r>
      <w:r>
        <w:rPr>
          <w:rFonts w:hint="eastAsia" w:ascii="Times New Roman" w:hAnsi="Times New Roman" w:eastAsia="方正仿宋简体" w:cs="Times New Roman"/>
          <w:sz w:val="32"/>
          <w:szCs w:val="32"/>
          <w:lang w:val="en-US" w:eastAsia="zh-CN"/>
        </w:rPr>
        <w:t>8</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br w:type="page"/>
      </w:r>
    </w:p>
    <w:p>
      <w:pPr>
        <w:spacing w:before="0" w:after="0" w:line="360" w:lineRule="auto"/>
        <w:jc w:val="both"/>
        <w:rPr>
          <w:rFonts w:hint="default" w:ascii="Times New Roman" w:hAnsi="Times New Roman" w:cs="Times New Roman"/>
        </w:rPr>
      </w:pPr>
      <w:r>
        <w:rPr>
          <w:rFonts w:hint="default" w:ascii="Times New Roman" w:hAnsi="Times New Roman" w:eastAsia="宋体" w:cs="Times New Roman"/>
          <w:sz w:val="28"/>
        </w:rPr>
        <w:t>附件2</w:t>
      </w:r>
    </w:p>
    <w:p>
      <w:pPr>
        <w:spacing w:before="240" w:after="240" w:line="360" w:lineRule="auto"/>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sz w:val="44"/>
          <w:szCs w:val="44"/>
        </w:rPr>
        <w:t>行政规范性文件制定依据和参考对照表</w:t>
      </w:r>
    </w:p>
    <w:tbl>
      <w:tblPr>
        <w:tblStyle w:val="33"/>
        <w:tblW w:w="88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5"/>
        <w:gridCol w:w="4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shd w:val="clear" w:color="auto" w:fill="D9E2F3"/>
          </w:tcPr>
          <w:p>
            <w:pPr>
              <w:spacing w:before="40" w:after="40" w:line="360" w:lineRule="auto"/>
              <w:jc w:val="center"/>
              <w:rPr>
                <w:rFonts w:hint="default" w:ascii="Times New Roman" w:hAnsi="Times New Roman" w:cs="Times New Roman"/>
              </w:rPr>
            </w:pPr>
            <w:r>
              <w:rPr>
                <w:rFonts w:hint="default" w:ascii="Times New Roman" w:hAnsi="Times New Roman" w:eastAsia="宋体" w:cs="Times New Roman"/>
                <w:b/>
                <w:sz w:val="21"/>
              </w:rPr>
              <w:t>条款内容</w:t>
            </w:r>
          </w:p>
        </w:tc>
        <w:tc>
          <w:tcPr>
            <w:tcW w:w="4915" w:type="dxa"/>
            <w:tcBorders>
              <w:top w:val="single" w:color="000000" w:sz="4" w:space="0"/>
              <w:left w:val="single" w:color="000000" w:sz="4" w:space="0"/>
              <w:bottom w:val="single" w:color="000000" w:sz="4" w:space="0"/>
              <w:right w:val="single" w:color="000000" w:sz="4" w:space="0"/>
            </w:tcBorders>
            <w:shd w:val="clear" w:color="auto" w:fill="D9E2F3"/>
          </w:tcPr>
          <w:p>
            <w:pPr>
              <w:spacing w:before="40" w:after="40" w:line="360" w:lineRule="auto"/>
              <w:jc w:val="center"/>
              <w:rPr>
                <w:rFonts w:hint="default" w:ascii="Times New Roman" w:hAnsi="Times New Roman" w:cs="Times New Roman"/>
              </w:rPr>
            </w:pPr>
            <w:r>
              <w:rPr>
                <w:rFonts w:hint="default" w:ascii="Times New Roman" w:hAnsi="Times New Roman" w:eastAsia="宋体" w:cs="Times New Roman"/>
                <w:b/>
                <w:sz w:val="21"/>
              </w:rPr>
              <w:t>制定依据和参考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第一条 为规范本市车位使用权管理，维护车位使用权人的合法权益，预防和减少因车位权属不清引发的矛盾纠纷，依据《中华人民共和国民法典》第二百四十条、第二百七十五条、第二百七十六条，《中华人民共和国公证法》第十一条、第三十六条，《新疆维吾尔自治区物业管理条例》第六十七条，决定开展车位使用权公证备案工作。</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（1）第二百四十条（所有权基本内容）：所有权人对自己的不动产或者动产，依法享有占有、使用、收益和处分的权利。</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（2）第二百七十五条（车位归属约定）：建筑区划内，规划用于停放汽车的车位、车库的归属，由当事人通过出售、附赠或者出租等方式约定。</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（3）第二百七十六条（车位优先满足业主）：建筑区划内，规划用于停放汽车的车位、车库应当首先满足业主的需要。</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（1）第十一条第（十一）项（自愿申请公证）：根据自然人、法人或者其他组织的申请，公证机构可以办理其自愿申请办理的其他公证事项。</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（2）第三十六条（公证证据效力）：经公证的民事法律行为、有法律意义的事实和文书，应当作为认定事实的根据，但有相反证据足以推翻该项公证的除外。</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 地方性法规：《新疆维吾尔自治区物业管理条例》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第六十七条第一款：物业管理区域内按照规划设置的车库、车位应当优先满足业主的需要。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第二条 本市行政区域内已取得合法使用依据的地下平面车位，其使用权人可自愿向公证机构申请办理车位使用权公证备案。已取得不动产权证书的车位、属于全体业主的敞开式地上车位、计入公摊面积的地下车位、公共道路公共场所的车位不纳入本次备案范围。</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（1）第二百七十四条（道路等公共部分共有）：建筑区划内的道路，属于业主共有，但是属于城镇公共道路的除外。建筑区划内的其他公共场所、公用设施和物业服务用房，属于业主共有。</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（2）第二百七十五条第二款（共有车位归属）：占用业主共有的道路或者其他场地用于停放汽车的车位，属于业主共有。</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地方性法规：《新疆维吾尔自治区物业管理条例》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第十五条：计入建筑物共有部分分摊的车库、车位属于业主共有，建设单位不得单独处分。</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 参照法理：不动产登记制度</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已办理不动产权证书的车位，物权已通过不动产登记公示，无需重复进行使用权公证备案。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第三条 备案工作按照循序渐进、稳步推进的原则组织实施，先行受理已与开发企业签订合法有效的车位使用权转让协议、有偿使用合同或租赁合同的车位备案申请。后续根据工作开展情况逐步扩大受理范围。</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第二百七十五条，允许建设单位通过出售、附赠、出租等方式约定规划车位的归属与使用。</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第十一条，公证机构受理自愿申请的公证事项，可结合实际情况分阶段、分范围受理业务。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第四条 伊宁市公证处为实施机构，负责受理、审核、登记及出证。市自然资源局/不动产登记中心配合核查车位规划、权属信息。公证机构受理后应告知当事人备案的法律意义、后果及权利义务，告知内容记录存档。</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（1）第六条（公证机构性质）：公证机构是依法设立，独立行使公证职能、承担民事责任的证明机构。</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（2）第二十七条第二款（告知义务）：公证机构受理公证申请后，应当告知当事人申请公证事项的法律意义和可能产生的法律后果，并将告知内容记录存档。</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第二十一条：公证机构受理公证申请后，应当告知当事人申请公证事项的法律意义和可能产生的法律后果，告知其在办理公证过程中享有的权利、承担的义务。告知内容、方式和时间，应当记录归档。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第五条 自然人申请办理备案，应当提交身份证明、车位使用权协议合同、付款凭证及其他材料。对申报材料与事实不符、车位使用权存在争议的，公证机构不予办理。</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（1）第二十七条第一款（如实举证）：申请办理公证的当事人应当向公证机构如实说明申请公证的事项的有关情况，提供真实、合法、充分的证明材料。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（2）第二十八条（核实义务）：公证机构对申请公证的事项以及当事人提供的证明材料，按照有关办证规则需要核实或者对其有疑义的，应当进行核实。</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第四十八条第（四）（五）项（不予办理情形）：当事人之间对申请公证事项有争议的，或当事人虚构、隐瞒事实，提供虚假证明材料的，公证机构应当不予办理公证。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第六条 经公证备案的车位使用权信息，由公证机构进行证据固定与统一登记存档，并向使用权人出具备案证明。备案证明可作为权利人主张权利的有效证明材料。</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第三十六条（公证证据效力）：经公证的民事法律行为、有法律意义的事实和文书，应当作为认定事实的根据。</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司法解释：《最高人民法院关于民事诉讼证据的若干规定》</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（1）经过公证的书证，证明力一般大于其他书证。</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（2）已为有效公证文书所证明的事实，当事人有相反证据足以推翻的除外。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第七条 已备案车位发生使用权转让、继承、赠与等权属变更的，应当及时办理备案变更；使用权消灭的，应当及时办理备案注销。未及时办理的，自行承担法律后果。</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参照法理及诚信原则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1.《中华人民共和国民法典》合同编诚实信用原则及物权公示公信原则的法理要求。</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备案信息作为公证证明，旨在反映权利真实状态，当权利状态发生变化时，及时办理变更或注销，是维护备案公示效力和交易安全的必然要求。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第八条 车位使用权备案后，有确凿证据证明备案内容与事实不符的，公证机构经调查核实后应当撤销备案。</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参照公证机构对错误公证书进行撤销的相关程序规定及法理。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第九条 车位使用权公证备案是保障自身合法权益的重要举措，建议广大市民结合自身实际积极办理。</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本条文为倡导性条款</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无直接上位法依据，系基于《公证法》及《民法典》保护合法权益的立法精神，结合本地治理实际作出的政策倡导。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第十条 本通告由伊宁市司法局负责解释。</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参照惯例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参照行政规范性文件由制定机关或其指定部门负责解释的通行做法。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第十一条 本通告自发布之日起施行。</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参照惯例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参照行政规范性文件施行日期的通行规定。</w:t>
            </w:r>
          </w:p>
        </w:tc>
      </w:tr>
    </w:tbl>
    <w:p>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方正仿宋简体" w:cs="Times New Roman"/>
          <w:sz w:val="21"/>
          <w:szCs w:val="21"/>
        </w:rPr>
      </w:pPr>
    </w:p>
    <w:sectPr>
      <w:footerReference r:id="rId3" w:type="default"/>
      <w:pgSz w:w="12240" w:h="15840"/>
      <w:pgMar w:top="2098" w:right="1474" w:bottom="1984" w:left="1587"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1820BC"/>
    <w:multiLevelType w:val="singleLevel"/>
    <w:tmpl w:val="F21820BC"/>
    <w:lvl w:ilvl="0" w:tentative="0">
      <w:start w:val="1"/>
      <w:numFmt w:val="chineseCounting"/>
      <w:suff w:val="space"/>
      <w:lvlText w:val="第%1条"/>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19BBD1DC"/>
    <w:multiLevelType w:val="singleLevel"/>
    <w:tmpl w:val="19BBD1DC"/>
    <w:lvl w:ilvl="0" w:tentative="0">
      <w:start w:val="7"/>
      <w:numFmt w:val="chineseCounting"/>
      <w:suff w:val="space"/>
      <w:lvlText w:val="第%1条"/>
      <w:lvlJc w:val="left"/>
      <w:rPr>
        <w:rFonts w:hint="eastAsia"/>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386B43"/>
    <w:rsid w:val="16E44113"/>
    <w:rsid w:val="1A0130D0"/>
    <w:rsid w:val="29253706"/>
    <w:rsid w:val="37EF08CA"/>
    <w:rsid w:val="51CC3A20"/>
    <w:rsid w:val="6AC84333"/>
    <w:rsid w:val="7B43197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2026-09-14T06:28:00Z</cp:lastPrinted>
  <dcterms:modified xsi:type="dcterms:W3CDTF">2026-10-08T03:20:18Z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E98DC1AFDDCB4B3FB265F88540178EF2</vt:lpwstr>
  </property>
</Properties>
</file>