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Times New Roman" w:hAnsi="Times New Roman" w:eastAsia="宋体" w:cs="Times New Roman"/>
          <w:lang w:eastAsia="zh-CN"/>
        </w:rPr>
      </w:pPr>
      <w:r>
        <w:rPr>
          <w:rFonts w:hint="default" w:ascii="Times New Roman" w:hAnsi="Times New Roman" w:eastAsia="宋体" w:cs="Times New Roman"/>
          <w:sz w:val="28"/>
        </w:rPr>
        <w:t>附件</w:t>
      </w:r>
      <w:r>
        <w:rPr>
          <w:rFonts w:hint="eastAsia" w:ascii="Times New Roman" w:hAnsi="Times New Roman" w:cs="Times New Roman"/>
          <w:sz w:val="28"/>
          <w:lang w:val="en-US" w:eastAsia="zh-CN"/>
        </w:rPr>
        <w:t>二</w:t>
      </w:r>
      <w:bookmarkStart w:id="0" w:name="_GoBack"/>
      <w:bookmarkEnd w:id="0"/>
    </w:p>
    <w:p>
      <w:pPr>
        <w:spacing w:before="240" w:after="240" w:line="360" w:lineRule="auto"/>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b/>
          <w:sz w:val="44"/>
          <w:szCs w:val="44"/>
        </w:rPr>
        <w:t>行政规范性文件制定依据和参考对照表</w:t>
      </w:r>
    </w:p>
    <w:tbl>
      <w:tblPr>
        <w:tblStyle w:val="33"/>
        <w:tblW w:w="885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35"/>
        <w:gridCol w:w="49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35" w:type="dxa"/>
            <w:tcBorders>
              <w:top w:val="single" w:color="000000" w:sz="4" w:space="0"/>
              <w:left w:val="single" w:color="000000" w:sz="4" w:space="0"/>
              <w:bottom w:val="single" w:color="000000" w:sz="4" w:space="0"/>
              <w:right w:val="single" w:color="000000" w:sz="4" w:space="0"/>
            </w:tcBorders>
            <w:shd w:val="clear" w:color="auto" w:fill="D9E2F3"/>
          </w:tcPr>
          <w:p>
            <w:pPr>
              <w:spacing w:before="40" w:after="40" w:line="360" w:lineRule="auto"/>
              <w:jc w:val="center"/>
              <w:rPr>
                <w:rFonts w:hint="default" w:ascii="Times New Roman" w:hAnsi="Times New Roman" w:cs="Times New Roman"/>
              </w:rPr>
            </w:pPr>
            <w:r>
              <w:rPr>
                <w:rFonts w:hint="default" w:ascii="Times New Roman" w:hAnsi="Times New Roman" w:eastAsia="宋体" w:cs="Times New Roman"/>
                <w:b/>
                <w:sz w:val="21"/>
              </w:rPr>
              <w:t>条款内容</w:t>
            </w:r>
          </w:p>
        </w:tc>
        <w:tc>
          <w:tcPr>
            <w:tcW w:w="4915" w:type="dxa"/>
            <w:tcBorders>
              <w:top w:val="single" w:color="000000" w:sz="4" w:space="0"/>
              <w:left w:val="single" w:color="000000" w:sz="4" w:space="0"/>
              <w:bottom w:val="single" w:color="000000" w:sz="4" w:space="0"/>
              <w:right w:val="single" w:color="000000" w:sz="4" w:space="0"/>
            </w:tcBorders>
            <w:shd w:val="clear" w:color="auto" w:fill="D9E2F3"/>
          </w:tcPr>
          <w:p>
            <w:pPr>
              <w:spacing w:before="40" w:after="40" w:line="360" w:lineRule="auto"/>
              <w:jc w:val="center"/>
              <w:rPr>
                <w:rFonts w:hint="default" w:ascii="Times New Roman" w:hAnsi="Times New Roman" w:cs="Times New Roman"/>
              </w:rPr>
            </w:pPr>
            <w:r>
              <w:rPr>
                <w:rFonts w:hint="default" w:ascii="Times New Roman" w:hAnsi="Times New Roman" w:eastAsia="宋体" w:cs="Times New Roman"/>
                <w:b/>
                <w:sz w:val="21"/>
              </w:rPr>
              <w:t>制定依据和参考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3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第一条 为规范本市车位使用权管理，维护车位使用权人的合法权益，预防和减少因车位权属不清引发的矛盾纠纷，依据《中华人民共和国民法典》第二百四十条、第二百七十五条、第二百七十六条，《中华人民共和国公证法》第十一条、第三十六条，《新疆维吾尔自治区物业管理条例》第六十七条，决定开展车位使用权公证备案工作。</w:t>
            </w:r>
          </w:p>
        </w:tc>
        <w:tc>
          <w:tcPr>
            <w:tcW w:w="49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1. 法律：《中华人民共和国民法典》</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（1）第二百四十条（所有权基本内容）：所有权人对自己的不动产或者动产，依法享有占有、使用、收益和处分的权利。</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（2）第二百七十五条（车位归属约定）：建筑区划内，规划用于停放汽车的车位、车库的归属，由当事人通过出售、附赠或者出租等方式约定。</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（3）第二百七十六条（车位优先满足业主）：建筑区划内，规划用于停放汽车的车位、车库应当首先满足业主的需要。</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2. 法律：《中华人民共和国公证法》</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（1）第十一条第（十一）项（自愿申请公证）：根据自然人、法人或者其他组织的申请，公证机构可以办理其自愿申请办理的其他公证事项。</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（2）第三十六条（公证证据效力）：经公证的民事法律行为、有法律意义的事实和文书，应当作为认定事实的根据，但有相反证据足以推翻该项公证的除外。</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3. 地方性法规：《新疆维吾尔自治区物业管理条例》</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第六十七条第一款：物业管理区域内按照规划设置的车库、车位应当优先满足业主的需要。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3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第二条 本市行政区域内已取得合法使用依据的地下平面车位，其使用权人可自愿向公证机构申请办理车位使用权公证备案。已取得不动产权证书的车位、属于全体业主的敞开式地上车位、计入公摊面积的地下车位、公共道路公共场所的车位不纳入本次备案范围。</w:t>
            </w:r>
          </w:p>
        </w:tc>
        <w:tc>
          <w:tcPr>
            <w:tcW w:w="49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1. 法律：《中华人民共和国民法典》</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（1）第二百七十四条（道路等公共部分共有）：建筑区划内的道路，属于业主共有，但是属于城镇公共道路的除外。建筑区划内的其他公共场所、公用设施和物业服务用房，属于业主共有。</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（2）第二百七十五条第二款（共有车位归属）：占用业主共有的道路或者其他场地用于停放汽车的车位，属于业主共有。</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2. 地方性法规：《新疆维吾尔自治区物业管理条例》</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第十五条：计入建筑物共有部分分摊的车库、车位属于业主共有，建设单位不得单独处分。</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3. 参照法理：不动产登记制度</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已办理不动产权证书的车位，物权已通过不动产登记公示，无需重复进行使用权公证备案。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3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第三条 备案工作按照循序渐进、稳步推进的原则组织实施，先行受理已与开发企业签订合法有效的车位使用权转让协议、有偿使用合同或租赁合同的车位备案申请。后续根据工作开展情况逐步扩大受理范围。</w:t>
            </w:r>
          </w:p>
        </w:tc>
        <w:tc>
          <w:tcPr>
            <w:tcW w:w="49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1. 法律：《中华人民共和国民法典》</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第二百七十五条，允许建设单位通过出售、附赠、出租等方式约定规划车位的归属与使用。</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2. 法律：《中华人民共和国公证法》</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第十一条，公证机构受理自愿申请的公证事项，可结合实际情况分阶段、分范围受理业务。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3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第四条 伊宁市公证处为实施机构，负责受理、审核、登记及出证。市自然资源局/不动产登记中心配合核查车位规划、权属信息。公证机构受理后应告知当事人备案的法律意义、后果及权利义务，告知内容记录存档。</w:t>
            </w:r>
          </w:p>
        </w:tc>
        <w:tc>
          <w:tcPr>
            <w:tcW w:w="49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1. 法律：《中华人民共和国公证法》</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（1）第六条（公证机构性质）：公证机构是依法设立，独立行使公证职能、承担民事责任的证明机构。</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（2）第二十七条第二款（告知义务）：公证机构受理公证申请后，应当告知当事人申请公证事项的法律意义和可能产生的法律后果，并将告知内容记录存档。</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2. 部门规章：《公证程序规则》</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第二十一条：公证机构受理公证申请后，应当告知当事人申请公证事项的法律意义和可能产生的法律后果，告知其在办理公证过程中享有的权利、承担的义务。告知内容、方式和时间，应当记录归档。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3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第五条 自然人申请办理备案，应当提交身份证明、车位使用权协议合同、付款凭证及其他材料。对申报材料与事实不符、车位使用权存在争议的，公证机构不予办理。</w:t>
            </w:r>
          </w:p>
        </w:tc>
        <w:tc>
          <w:tcPr>
            <w:tcW w:w="49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1. 法律：《中华人民共和国公证法》</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（1）第二十七条第一款（如实举证）：申请办理公证的当事人应当向公证机构如实说明申请公证的事项的有关情况，提供真实、合法、充分的证明材料。</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（2）第二十八条（核实义务）：公证机构对申请公证的事项以及当事人提供的证明材料，按照有关办证规则需要核实或者对其有疑义的，应当进行核实。</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2. 部门规章：《公证程序规则》</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第四十八条第（四）（五）项（不予办理情形）：当事人之间对申请公证事项有争议的，或当事人虚构、隐瞒事实，提供虚假证明材料的，公证机构应当不予办理公证。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3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第六条 经公证备案的车位使用权信息，由公证机构进行证据固定与统一登记存档，并向使用权人出具备案证明。备案证明可作为权利人主张权利的有效证明材料。</w:t>
            </w:r>
          </w:p>
        </w:tc>
        <w:tc>
          <w:tcPr>
            <w:tcW w:w="49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1. 法律：《中华人民共和国公证法》</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第三十六条（公证证据效力）：经公证的民事法律行为、有法律意义的事实和文书，应当作为认定事实的根据。</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2. 司法解释：《最高人民法院关于民事诉讼证据的若干规定》</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（1）经过公证的书证，证明力一般大于其他书证。</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（2）已为有效公证文书所证明的事实，当事人有相反证据足以推翻的除外。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3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第七条 已备案车位发生使用权转让、继承、赠与等权属变更的，应当及时办理备案变更；使用权消灭的，应当及时办理备案注销。未及时办理的，自行承担法律后果。</w:t>
            </w:r>
          </w:p>
        </w:tc>
        <w:tc>
          <w:tcPr>
            <w:tcW w:w="49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参照法理及诚信原则</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1.《中华人民共和国民法典》合同编诚实信用原则及物权公示公信原则的法理要求。</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2. 备案信息作为公证证明，旨在反映权利真实状态，当权利状态发生变化时，及时办理变更或注销，是维护备案公示效力和交易安全的必然要求。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3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第八条 车位使用权备案后，有确凿证据证明备案内容与事实不符的，公证机构经调查核实后应当撤销备案。</w:t>
            </w:r>
          </w:p>
        </w:tc>
        <w:tc>
          <w:tcPr>
            <w:tcW w:w="49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部门规章：《公证程序规则》</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参照公证机构对错误公证书进行撤销的相关程序规定及法理。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3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第九条 车位使用权公证备案是保障自身合法权益的重要举措，建议广大市民结合自身实际积极办理。</w:t>
            </w:r>
          </w:p>
        </w:tc>
        <w:tc>
          <w:tcPr>
            <w:tcW w:w="49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本条文为倡导性条款</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无直接上位法依据，系基于《公证法》及《民法典》保护合法权益的立法精神，结合本地治理实际作出的政策倡导。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3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第十条 本通告由伊宁市司法局负责解释。</w:t>
            </w:r>
          </w:p>
        </w:tc>
        <w:tc>
          <w:tcPr>
            <w:tcW w:w="49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参照惯例</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参照行政规范性文件由制定机关或其指定部门负责解释的通行做法。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93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第十一条 本通告自发布之日起施行。</w:t>
            </w:r>
          </w:p>
        </w:tc>
        <w:tc>
          <w:tcPr>
            <w:tcW w:w="491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adjustRightInd/>
              <w:snapToGrid/>
              <w:spacing w:before="40" w:after="40" w:line="400" w:lineRule="exact"/>
              <w:jc w:val="left"/>
              <w:textAlignment w:val="auto"/>
              <w:rPr>
                <w:rFonts w:hint="default" w:ascii="Times New Roman" w:hAnsi="Times New Roman" w:eastAsia="方正仿宋简体" w:cs="Times New Roman"/>
                <w:sz w:val="21"/>
                <w:szCs w:val="21"/>
              </w:rPr>
            </w:pPr>
            <w:r>
              <w:rPr>
                <w:rFonts w:hint="default" w:ascii="Times New Roman" w:hAnsi="Times New Roman" w:eastAsia="方正仿宋简体" w:cs="Times New Roman"/>
                <w:b w:val="0"/>
                <w:sz w:val="21"/>
                <w:szCs w:val="21"/>
              </w:rPr>
              <w:t>参照惯例</w:t>
            </w:r>
            <w:r>
              <w:rPr>
                <w:rFonts w:hint="default" w:ascii="Times New Roman" w:hAnsi="Times New Roman" w:eastAsia="方正仿宋简体" w:cs="Times New Roman"/>
                <w:b w:val="0"/>
                <w:sz w:val="21"/>
                <w:szCs w:val="21"/>
              </w:rPr>
              <w:br w:type="textWrapping"/>
            </w:r>
            <w:r>
              <w:rPr>
                <w:rFonts w:hint="default" w:ascii="Times New Roman" w:hAnsi="Times New Roman" w:eastAsia="方正仿宋简体" w:cs="Times New Roman"/>
                <w:b w:val="0"/>
                <w:sz w:val="21"/>
                <w:szCs w:val="21"/>
              </w:rPr>
              <w:t>参照行政规范性文件施行日期的通行规定。</w:t>
            </w:r>
          </w:p>
        </w:tc>
      </w:tr>
    </w:tbl>
    <w:p>
      <w:pPr>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eastAsia="方正仿宋简体" w:cs="Times New Roman"/>
          <w:sz w:val="21"/>
          <w:szCs w:val="21"/>
        </w:rPr>
      </w:pPr>
    </w:p>
    <w:sectPr>
      <w:footerReference r:id="rId3" w:type="default"/>
      <w:pgSz w:w="12240" w:h="15840"/>
      <w:pgMar w:top="2098" w:right="1474" w:bottom="1984" w:left="1587" w:header="720" w:footer="720"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panose1 w:val="02010601030101010101"/>
    <w:charset w:val="86"/>
    <w:family w:val="auto"/>
    <w:pitch w:val="default"/>
    <w:sig w:usb0="00000001" w:usb1="080E0000" w:usb2="00000000" w:usb3="00000000" w:csb0="00040000" w:csb1="00000000"/>
  </w:font>
  <w:font w:name="方正仿宋简体">
    <w:panose1 w:val="03000509000000000000"/>
    <w:charset w:val="86"/>
    <w:family w:val="auto"/>
    <w:pitch w:val="default"/>
    <w:sig w:usb0="00000001" w:usb1="080E0000" w:usb2="00000000" w:usb3="00000000" w:csb0="0004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4"/>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3386B43"/>
    <w:rsid w:val="16E44113"/>
    <w:rsid w:val="1A0130D0"/>
    <w:rsid w:val="28A47E7C"/>
    <w:rsid w:val="29253706"/>
    <w:rsid w:val="37EF08CA"/>
    <w:rsid w:val="43C81193"/>
    <w:rsid w:val="51CC3A20"/>
    <w:rsid w:val="5F8636BA"/>
    <w:rsid w:val="6AC84333"/>
    <w:rsid w:val="7B43197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0" w:line="360" w:lineRule="auto"/>
    </w:pPr>
    <w:rPr>
      <w:rFonts w:ascii="宋体" w:hAnsi="宋体" w:eastAsia="宋体"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Layout w:type="fixed"/>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000000" w:themeFill="text1"/>
      </w:tcPr>
    </w:tblStylePr>
    <w:tblStylePr w:type="lastRow">
      <w:pPr>
        <w:spacing w:before="0" w:after="0" w:line="240" w:lineRule="auto"/>
      </w:pPr>
      <w:rPr>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F81BD" w:themeFill="accent1"/>
      </w:tcPr>
    </w:tblStylePr>
    <w:tblStylePr w:type="lastRow">
      <w:pPr>
        <w:spacing w:before="0" w:after="0" w:line="240" w:lineRule="auto"/>
      </w:pPr>
      <w:rPr>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C0504D" w:themeFill="accent2"/>
      </w:tcPr>
    </w:tblStylePr>
    <w:tblStylePr w:type="lastRow">
      <w:pPr>
        <w:spacing w:before="0" w:after="0" w:line="240" w:lineRule="auto"/>
      </w:pPr>
      <w:rPr>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9BBB59" w:themeFill="accent3"/>
      </w:tcPr>
    </w:tblStylePr>
    <w:tblStylePr w:type="lastRow">
      <w:pPr>
        <w:spacing w:before="0" w:after="0" w:line="240" w:lineRule="auto"/>
      </w:pPr>
      <w:rPr>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8064A2" w:themeFill="accent4"/>
      </w:tcPr>
    </w:tblStylePr>
    <w:tblStylePr w:type="lastRow">
      <w:pPr>
        <w:spacing w:before="0" w:after="0" w:line="240" w:lineRule="auto"/>
      </w:pPr>
      <w:rPr>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BACC6" w:themeFill="accent5"/>
      </w:tcPr>
    </w:tblStylePr>
    <w:tblStylePr w:type="lastRow">
      <w:pPr>
        <w:spacing w:before="0" w:after="0" w:line="240" w:lineRule="auto"/>
      </w:pPr>
      <w:rPr>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F79646" w:themeFill="accent6"/>
      </w:tcPr>
    </w:tblStylePr>
    <w:tblStylePr w:type="lastRow">
      <w:pPr>
        <w:spacing w:before="0" w:after="0" w:line="240" w:lineRule="auto"/>
      </w:pPr>
      <w:rPr>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blLayout w:type="fixed"/>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BFBFBF" w:themeFill="text1" w:themeFillTint="3F"/>
      </w:tcPr>
    </w:tblStylePr>
    <w:tblStylePr w:type="band1Horz">
      <w:tblPr>
        <w:tblLayout w:type="fixed"/>
      </w:tblPr>
      <w:tcPr>
        <w:tcBorders>
          <w:insideH w:val="nil"/>
          <w:insideV w:val="nil"/>
        </w:tcBorders>
        <w:shd w:val="clear" w:color="auto" w:fill="BFBFBF" w:themeFill="text1" w:themeFillTint="3F"/>
      </w:tcPr>
    </w:tblStylePr>
    <w:tblStylePr w:type="band2Horz">
      <w:tblPr>
        <w:tblLayout w:type="fixed"/>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blLayout w:type="fixed"/>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3DFEE" w:themeFill="accent1" w:themeFillTint="3F"/>
      </w:tcPr>
    </w:tblStylePr>
    <w:tblStylePr w:type="band1Horz">
      <w:tblPr>
        <w:tblLayout w:type="fixed"/>
      </w:tblPr>
      <w:tcPr>
        <w:tcBorders>
          <w:insideH w:val="nil"/>
          <w:insideV w:val="nil"/>
        </w:tcBorders>
        <w:shd w:val="clear" w:color="auto" w:fill="D3DFEE" w:themeFill="accent1" w:themeFillTint="3F"/>
      </w:tcPr>
    </w:tblStylePr>
    <w:tblStylePr w:type="band2Horz">
      <w:tblPr>
        <w:tblLayout w:type="fixed"/>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blLayout w:type="fixed"/>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FD3D3" w:themeFill="accent2" w:themeFillTint="3F"/>
      </w:tcPr>
    </w:tblStylePr>
    <w:tblStylePr w:type="band1Horz">
      <w:tblPr>
        <w:tblLayout w:type="fixed"/>
      </w:tblPr>
      <w:tcPr>
        <w:tcBorders>
          <w:insideH w:val="nil"/>
          <w:insideV w:val="nil"/>
        </w:tcBorders>
        <w:shd w:val="clear" w:color="auto" w:fill="EFD3D3" w:themeFill="accent2" w:themeFillTint="3F"/>
      </w:tcPr>
    </w:tblStylePr>
    <w:tblStylePr w:type="band2Horz">
      <w:tblPr>
        <w:tblLayout w:type="fixed"/>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blLayout w:type="fixed"/>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6EED5" w:themeFill="accent3" w:themeFillTint="3F"/>
      </w:tcPr>
    </w:tblStylePr>
    <w:tblStylePr w:type="band1Horz">
      <w:tblPr>
        <w:tblLayout w:type="fixed"/>
      </w:tblPr>
      <w:tcPr>
        <w:tcBorders>
          <w:insideH w:val="nil"/>
          <w:insideV w:val="nil"/>
        </w:tcBorders>
        <w:shd w:val="clear" w:color="auto" w:fill="E6EED5" w:themeFill="accent3" w:themeFillTint="3F"/>
      </w:tcPr>
    </w:tblStylePr>
    <w:tblStylePr w:type="band2Horz">
      <w:tblPr>
        <w:tblLayout w:type="fixed"/>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blLayout w:type="fixed"/>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FD8E8" w:themeFill="accent4" w:themeFillTint="3F"/>
      </w:tcPr>
    </w:tblStylePr>
    <w:tblStylePr w:type="band1Horz">
      <w:tblPr>
        <w:tblLayout w:type="fixed"/>
      </w:tblPr>
      <w:tcPr>
        <w:tcBorders>
          <w:insideH w:val="nil"/>
          <w:insideV w:val="nil"/>
        </w:tcBorders>
        <w:shd w:val="clear" w:color="auto" w:fill="DFD8E8" w:themeFill="accent4" w:themeFillTint="3F"/>
      </w:tcPr>
    </w:tblStylePr>
    <w:tblStylePr w:type="band2Horz">
      <w:tblPr>
        <w:tblLayout w:type="fixed"/>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blLayout w:type="fixed"/>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2EAF0" w:themeFill="accent5" w:themeFillTint="3F"/>
      </w:tcPr>
    </w:tblStylePr>
    <w:tblStylePr w:type="band1Horz">
      <w:tblPr>
        <w:tblLayout w:type="fixed"/>
      </w:tblPr>
      <w:tcPr>
        <w:tcBorders>
          <w:insideH w:val="nil"/>
          <w:insideV w:val="nil"/>
        </w:tcBorders>
        <w:shd w:val="clear" w:color="auto" w:fill="D2EAF0" w:themeFill="accent5" w:themeFillTint="3F"/>
      </w:tcPr>
    </w:tblStylePr>
    <w:tblStylePr w:type="band2Horz">
      <w:tblPr>
        <w:tblLayout w:type="fixed"/>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blLayout w:type="fixed"/>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FDE5D1" w:themeFill="accent6" w:themeFillTint="3F"/>
      </w:tcPr>
    </w:tblStylePr>
    <w:tblStylePr w:type="band1Horz">
      <w:tblPr>
        <w:tblLayout w:type="fixed"/>
      </w:tblPr>
      <w:tcPr>
        <w:tcBorders>
          <w:insideH w:val="nil"/>
          <w:insideV w:val="nil"/>
        </w:tcBorders>
        <w:shd w:val="clear" w:color="auto" w:fill="FDE5D1" w:themeFill="accent6" w:themeFillTint="3F"/>
      </w:tcPr>
    </w:tblStylePr>
    <w:tblStylePr w:type="band2Horz">
      <w:tblPr>
        <w:tblLayout w:type="fixed"/>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000000" w:themeFill="tex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F81BD" w:themeFill="accen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C0504D" w:themeFill="accent2"/>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9BBB59" w:themeFill="accent3"/>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8064A2" w:themeFill="accent4"/>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BACC6" w:themeFill="accent5"/>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F79646" w:themeFill="accent6"/>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blLayout w:type="fixed"/>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blLayout w:type="fixed"/>
      </w:tblPr>
      <w:tcPr>
        <w:tcBorders>
          <w:top w:val="single" w:color="000000" w:themeColor="text1" w:sz="8" w:space="0"/>
          <w:bottom w:val="single" w:color="000000" w:themeColor="text1" w:sz="8" w:space="0"/>
        </w:tcBorders>
      </w:tcPr>
    </w:tblStylePr>
    <w:tblStylePr w:type="band1Vert">
      <w:tblPr>
        <w:tblLayout w:type="fixed"/>
      </w:tblPr>
      <w:tcPr>
        <w:shd w:val="clear" w:color="auto" w:fill="BFBFBF" w:themeFill="text1" w:themeFillTint="3F"/>
      </w:tcPr>
    </w:tblStylePr>
    <w:tblStylePr w:type="band1Horz">
      <w:tblPr>
        <w:tblLayout w:type="fixed"/>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blLayout w:type="fixed"/>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blLayout w:type="fixed"/>
      </w:tblPr>
      <w:tcPr>
        <w:tcBorders>
          <w:top w:val="single" w:color="4F81BD" w:themeColor="accent1" w:sz="8" w:space="0"/>
          <w:bottom w:val="single" w:color="4F81BD" w:themeColor="accent1" w:sz="8" w:space="0"/>
        </w:tcBorders>
      </w:tcPr>
    </w:tblStylePr>
    <w:tblStylePr w:type="band1Vert">
      <w:tblPr>
        <w:tblLayout w:type="fixed"/>
      </w:tblPr>
      <w:tcPr>
        <w:shd w:val="clear" w:color="auto" w:fill="D3DFEE" w:themeFill="accent1" w:themeFillTint="3F"/>
      </w:tcPr>
    </w:tblStylePr>
    <w:tblStylePr w:type="band1Horz">
      <w:tblPr>
        <w:tblLayout w:type="fixed"/>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blLayout w:type="fixed"/>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blLayout w:type="fixed"/>
      </w:tblPr>
      <w:tcPr>
        <w:tcBorders>
          <w:top w:val="single" w:color="C0504D" w:themeColor="accent2" w:sz="8" w:space="0"/>
          <w:bottom w:val="single" w:color="C0504D" w:themeColor="accent2" w:sz="8" w:space="0"/>
        </w:tcBorders>
      </w:tcPr>
    </w:tblStylePr>
    <w:tblStylePr w:type="band1Vert">
      <w:tblPr>
        <w:tblLayout w:type="fixed"/>
      </w:tblPr>
      <w:tcPr>
        <w:shd w:val="clear" w:color="auto" w:fill="EFD3D3" w:themeFill="accent2" w:themeFillTint="3F"/>
      </w:tcPr>
    </w:tblStylePr>
    <w:tblStylePr w:type="band1Horz">
      <w:tblPr>
        <w:tblLayout w:type="fixed"/>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blLayout w:type="fixed"/>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blLayout w:type="fixed"/>
      </w:tblPr>
      <w:tcPr>
        <w:tcBorders>
          <w:top w:val="single" w:color="9BBB59" w:themeColor="accent3" w:sz="8" w:space="0"/>
          <w:bottom w:val="single" w:color="9BBB59" w:themeColor="accent3" w:sz="8" w:space="0"/>
        </w:tcBorders>
      </w:tcPr>
    </w:tblStylePr>
    <w:tblStylePr w:type="band1Vert">
      <w:tblPr>
        <w:tblLayout w:type="fixed"/>
      </w:tblPr>
      <w:tcPr>
        <w:shd w:val="clear" w:color="auto" w:fill="E6EED5" w:themeFill="accent3" w:themeFillTint="3F"/>
      </w:tcPr>
    </w:tblStylePr>
    <w:tblStylePr w:type="band1Horz">
      <w:tblPr>
        <w:tblLayout w:type="fixed"/>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blLayout w:type="fixed"/>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blLayout w:type="fixed"/>
      </w:tblPr>
      <w:tcPr>
        <w:tcBorders>
          <w:top w:val="single" w:color="8064A2" w:themeColor="accent4" w:sz="8" w:space="0"/>
          <w:bottom w:val="single" w:color="8064A2" w:themeColor="accent4" w:sz="8" w:space="0"/>
        </w:tcBorders>
      </w:tcPr>
    </w:tblStylePr>
    <w:tblStylePr w:type="band1Vert">
      <w:tblPr>
        <w:tblLayout w:type="fixed"/>
      </w:tblPr>
      <w:tcPr>
        <w:shd w:val="clear" w:color="auto" w:fill="DFD8E8" w:themeFill="accent4" w:themeFillTint="3F"/>
      </w:tcPr>
    </w:tblStylePr>
    <w:tblStylePr w:type="band1Horz">
      <w:tblPr>
        <w:tblLayout w:type="fixed"/>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blLayout w:type="fixed"/>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blLayout w:type="fixed"/>
      </w:tblPr>
      <w:tcPr>
        <w:tcBorders>
          <w:top w:val="single" w:color="4BACC6" w:themeColor="accent5" w:sz="8" w:space="0"/>
          <w:bottom w:val="single" w:color="4BACC6" w:themeColor="accent5" w:sz="8" w:space="0"/>
        </w:tcBorders>
      </w:tcPr>
    </w:tblStylePr>
    <w:tblStylePr w:type="band1Vert">
      <w:tblPr>
        <w:tblLayout w:type="fixed"/>
      </w:tblPr>
      <w:tcPr>
        <w:shd w:val="clear" w:color="auto" w:fill="D2EAF0" w:themeFill="accent5" w:themeFillTint="3F"/>
      </w:tcPr>
    </w:tblStylePr>
    <w:tblStylePr w:type="band1Horz">
      <w:tblPr>
        <w:tblLayout w:type="fixed"/>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blLayout w:type="fixed"/>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blLayout w:type="fixed"/>
      </w:tblPr>
      <w:tcPr>
        <w:tcBorders>
          <w:top w:val="single" w:color="F79646" w:themeColor="accent6" w:sz="8" w:space="0"/>
          <w:bottom w:val="single" w:color="F79646" w:themeColor="accent6" w:sz="8" w:space="0"/>
        </w:tcBorders>
      </w:tcPr>
    </w:tblStylePr>
    <w:tblStylePr w:type="band1Vert">
      <w:tblPr>
        <w:tblLayout w:type="fixed"/>
      </w:tblPr>
      <w:tcPr>
        <w:shd w:val="clear" w:color="auto" w:fill="FDE5D1" w:themeFill="accent6" w:themeFillTint="3F"/>
      </w:tcPr>
    </w:tblStylePr>
    <w:tblStylePr w:type="band1Horz">
      <w:tblPr>
        <w:tblLayout w:type="fixed"/>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blLayout w:type="fixed"/>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blLayout w:type="fixed"/>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top w:val="nil"/>
          <w:bottom w:val="nil"/>
          <w:insideH w:val="nil"/>
          <w:insideV w:val="nil"/>
        </w:tcBorders>
        <w:shd w:val="clear" w:color="auto" w:fill="BFBFBF" w:themeFill="tex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blLayout w:type="fixed"/>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blLayout w:type="fixed"/>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top w:val="nil"/>
          <w:bottom w:val="nil"/>
          <w:insideH w:val="nil"/>
          <w:insideV w:val="nil"/>
        </w:tcBorders>
        <w:shd w:val="clear" w:color="auto" w:fill="D3DFEE" w:themeFill="accen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blLayout w:type="fixed"/>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blLayout w:type="fixed"/>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top w:val="nil"/>
          <w:bottom w:val="nil"/>
          <w:insideH w:val="nil"/>
          <w:insideV w:val="nil"/>
        </w:tcBorders>
        <w:shd w:val="clear" w:color="auto" w:fill="EFD3D3" w:themeFill="accent2"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blLayout w:type="fixed"/>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blLayout w:type="fixed"/>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top w:val="nil"/>
          <w:bottom w:val="nil"/>
          <w:insideH w:val="nil"/>
          <w:insideV w:val="nil"/>
        </w:tcBorders>
        <w:shd w:val="clear" w:color="auto" w:fill="E6EED5" w:themeFill="accent3"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blLayout w:type="fixed"/>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blLayout w:type="fixed"/>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top w:val="nil"/>
          <w:bottom w:val="nil"/>
          <w:insideH w:val="nil"/>
          <w:insideV w:val="nil"/>
        </w:tcBorders>
        <w:shd w:val="clear" w:color="auto" w:fill="DFD8E8" w:themeFill="accent4"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blLayout w:type="fixed"/>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blLayout w:type="fixed"/>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top w:val="nil"/>
          <w:bottom w:val="nil"/>
          <w:insideH w:val="nil"/>
          <w:insideV w:val="nil"/>
        </w:tcBorders>
        <w:shd w:val="clear" w:color="auto" w:fill="D2EAF0" w:themeFill="accent5"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blLayout w:type="fixed"/>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blLayout w:type="fixed"/>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top w:val="nil"/>
          <w:bottom w:val="nil"/>
          <w:insideH w:val="nil"/>
          <w:insideV w:val="nil"/>
        </w:tcBorders>
        <w:shd w:val="clear" w:color="auto" w:fill="FDE5D1" w:themeFill="accent6"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blLayout w:type="fixed"/>
      </w:tblPr>
      <w:tcPr>
        <w:tcBorders>
          <w:top w:val="single" w:color="3F3F3F" w:themeColor="text1" w:themeTint="BF" w:sz="18" w:space="0"/>
        </w:tcBorders>
      </w:tcPr>
    </w:tblStylePr>
    <w:tblStylePr w:type="firstCol">
      <w:rPr>
        <w:b/>
        <w:bCs/>
      </w:rPr>
    </w:tblStylePr>
    <w:tblStylePr w:type="lastCol">
      <w:rPr>
        <w:b/>
        <w:bCs/>
      </w:r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blLayout w:type="fixed"/>
      </w:tblPr>
      <w:tcPr>
        <w:tcBorders>
          <w:top w:val="single" w:color="7BA0CD" w:themeColor="accent1" w:themeTint="BF" w:sz="18" w:space="0"/>
        </w:tcBorders>
      </w:tcPr>
    </w:tblStylePr>
    <w:tblStylePr w:type="firstCol">
      <w:rPr>
        <w:b/>
        <w:bCs/>
      </w:rPr>
    </w:tblStylePr>
    <w:tblStylePr w:type="lastCol">
      <w:rPr>
        <w:b/>
        <w:bCs/>
      </w:r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blLayout w:type="fixed"/>
      </w:tblPr>
      <w:tcPr>
        <w:tcBorders>
          <w:top w:val="single" w:color="CF7B79" w:themeColor="accent2" w:themeTint="BF" w:sz="18" w:space="0"/>
        </w:tcBorders>
      </w:tcPr>
    </w:tblStylePr>
    <w:tblStylePr w:type="firstCol">
      <w:rPr>
        <w:b/>
        <w:bCs/>
      </w:rPr>
    </w:tblStylePr>
    <w:tblStylePr w:type="lastCol">
      <w:rPr>
        <w:b/>
        <w:bCs/>
      </w:r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blLayout w:type="fixed"/>
      </w:tblPr>
      <w:tcPr>
        <w:tcBorders>
          <w:top w:val="single" w:color="B4CC82" w:themeColor="accent3" w:themeTint="BF" w:sz="18" w:space="0"/>
        </w:tcBorders>
      </w:tcPr>
    </w:tblStylePr>
    <w:tblStylePr w:type="firstCol">
      <w:rPr>
        <w:b/>
        <w:bCs/>
      </w:rPr>
    </w:tblStylePr>
    <w:tblStylePr w:type="lastCol">
      <w:rPr>
        <w:b/>
        <w:bCs/>
      </w:r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blLayout w:type="fixed"/>
      </w:tblPr>
      <w:tcPr>
        <w:tcBorders>
          <w:top w:val="single" w:color="9F8AB9" w:themeColor="accent4" w:themeTint="BF" w:sz="18" w:space="0"/>
        </w:tcBorders>
      </w:tcPr>
    </w:tblStylePr>
    <w:tblStylePr w:type="firstCol">
      <w:rPr>
        <w:b/>
        <w:bCs/>
      </w:rPr>
    </w:tblStylePr>
    <w:tblStylePr w:type="lastCol">
      <w:rPr>
        <w:b/>
        <w:bCs/>
      </w:r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blLayout w:type="fixed"/>
      </w:tblPr>
      <w:tcPr>
        <w:tcBorders>
          <w:top w:val="single" w:color="78C0D4" w:themeColor="accent5" w:themeTint="BF" w:sz="18" w:space="0"/>
        </w:tcBorders>
      </w:tcPr>
    </w:tblStylePr>
    <w:tblStylePr w:type="firstCol">
      <w:rPr>
        <w:b/>
        <w:bCs/>
      </w:rPr>
    </w:tblStylePr>
    <w:tblStylePr w:type="lastCol">
      <w:rPr>
        <w:b/>
        <w:bCs/>
      </w:r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blLayout w:type="fixed"/>
      </w:tblPr>
      <w:tcPr>
        <w:tcBorders>
          <w:top w:val="single" w:color="F9B074" w:themeColor="accent6" w:themeTint="BF" w:sz="18" w:space="0"/>
        </w:tcBorders>
      </w:tcPr>
    </w:tblStylePr>
    <w:tblStylePr w:type="firstCol">
      <w:rPr>
        <w:b/>
        <w:bCs/>
      </w:rPr>
    </w:tblStylePr>
    <w:tblStylePr w:type="lastCol">
      <w:rPr>
        <w:b/>
        <w:bCs/>
      </w:r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blLayout w:type="fixed"/>
      </w:tblPr>
      <w:tcPr>
        <w:shd w:val="clear" w:color="auto" w:fill="E5E5E5" w:themeFill="tex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CCCCCC" w:themeFill="text1" w:themeFillTint="33"/>
      </w:tcPr>
    </w:tblStylePr>
    <w:tblStylePr w:type="band1Vert">
      <w:tblPr>
        <w:tblLayout w:type="fixed"/>
      </w:tblPr>
      <w:tcPr>
        <w:shd w:val="clear" w:color="auto" w:fill="7F7F7F" w:themeFill="text1" w:themeFillTint="7F"/>
      </w:tcPr>
    </w:tblStylePr>
    <w:tblStylePr w:type="band1Horz">
      <w:tblPr>
        <w:tblLayout w:type="fixed"/>
      </w:tblPr>
      <w:tcPr>
        <w:tcBorders>
          <w:insideH w:val="single" w:sz="6" w:space="0"/>
          <w:insideV w:val="single" w:sz="6" w:space="0"/>
        </w:tcBorders>
        <w:shd w:val="clear" w:color="auto" w:fill="7F7F7F" w:themeFill="text1" w:themeFillTint="7F"/>
      </w:tcPr>
    </w:tblStylePr>
    <w:tblStylePr w:type="nwCell">
      <w:tblPr>
        <w:tblLayout w:type="fixed"/>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blLayout w:type="fixed"/>
      </w:tblPr>
      <w:tcPr>
        <w:shd w:val="clear" w:color="auto" w:fill="EDF2F8" w:themeFill="accen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BE5F1" w:themeFill="accent1" w:themeFillTint="33"/>
      </w:tcPr>
    </w:tblStylePr>
    <w:tblStylePr w:type="band1Vert">
      <w:tblPr>
        <w:tblLayout w:type="fixed"/>
      </w:tblPr>
      <w:tcPr>
        <w:shd w:val="clear" w:color="auto" w:fill="A7C0DE" w:themeFill="accent1" w:themeFillTint="7F"/>
      </w:tcPr>
    </w:tblStylePr>
    <w:tblStylePr w:type="band1Horz">
      <w:tblPr>
        <w:tblLayout w:type="fixed"/>
      </w:tblPr>
      <w:tcPr>
        <w:tcBorders>
          <w:insideH w:val="single" w:sz="6" w:space="0"/>
          <w:insideV w:val="single" w:sz="6" w:space="0"/>
        </w:tcBorders>
        <w:shd w:val="clear" w:color="auto" w:fill="A7C0DE" w:themeFill="accent1" w:themeFillTint="7F"/>
      </w:tcPr>
    </w:tblStylePr>
    <w:tblStylePr w:type="nwCell">
      <w:tblPr>
        <w:tblLayout w:type="fixed"/>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blLayout w:type="fixed"/>
      </w:tblPr>
      <w:tcPr>
        <w:shd w:val="clear" w:color="auto" w:fill="F8EDED" w:themeFill="accent2"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2DBDB" w:themeFill="accent2" w:themeFillTint="33"/>
      </w:tcPr>
    </w:tblStylePr>
    <w:tblStylePr w:type="band1Vert">
      <w:tblPr>
        <w:tblLayout w:type="fixed"/>
      </w:tblPr>
      <w:tcPr>
        <w:shd w:val="clear" w:color="auto" w:fill="DFA7A6" w:themeFill="accent2" w:themeFillTint="7F"/>
      </w:tcPr>
    </w:tblStylePr>
    <w:tblStylePr w:type="band1Horz">
      <w:tblPr>
        <w:tblLayout w:type="fixed"/>
      </w:tblPr>
      <w:tcPr>
        <w:tcBorders>
          <w:insideH w:val="single" w:sz="6" w:space="0"/>
          <w:insideV w:val="single" w:sz="6" w:space="0"/>
        </w:tcBorders>
        <w:shd w:val="clear" w:color="auto" w:fill="DFA7A6" w:themeFill="accent2" w:themeFillTint="7F"/>
      </w:tcPr>
    </w:tblStylePr>
    <w:tblStylePr w:type="nwCell">
      <w:tblPr>
        <w:tblLayout w:type="fixed"/>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blLayout w:type="fixed"/>
      </w:tblPr>
      <w:tcPr>
        <w:shd w:val="clear" w:color="auto" w:fill="F5F8EE" w:themeFill="accent3"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AF1DD" w:themeFill="accent3" w:themeFillTint="33"/>
      </w:tcPr>
    </w:tblStylePr>
    <w:tblStylePr w:type="band1Vert">
      <w:tblPr>
        <w:tblLayout w:type="fixed"/>
      </w:tblPr>
      <w:tcPr>
        <w:shd w:val="clear" w:color="auto" w:fill="CDDDAC" w:themeFill="accent3" w:themeFillTint="7F"/>
      </w:tcPr>
    </w:tblStylePr>
    <w:tblStylePr w:type="band1Horz">
      <w:tblPr>
        <w:tblLayout w:type="fixed"/>
      </w:tblPr>
      <w:tcPr>
        <w:tcBorders>
          <w:insideH w:val="single" w:sz="6" w:space="0"/>
          <w:insideV w:val="single" w:sz="6" w:space="0"/>
        </w:tcBorders>
        <w:shd w:val="clear" w:color="auto" w:fill="CDDDAC" w:themeFill="accent3" w:themeFillTint="7F"/>
      </w:tcPr>
    </w:tblStylePr>
    <w:tblStylePr w:type="nwCell">
      <w:tblPr>
        <w:tblLayout w:type="fixed"/>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blLayout w:type="fixed"/>
      </w:tblPr>
      <w:tcPr>
        <w:shd w:val="clear" w:color="auto" w:fill="F2EFF5" w:themeFill="accent4"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5DFEC" w:themeFill="accent4" w:themeFillTint="33"/>
      </w:tcPr>
    </w:tblStylePr>
    <w:tblStylePr w:type="band1Vert">
      <w:tblPr>
        <w:tblLayout w:type="fixed"/>
      </w:tblPr>
      <w:tcPr>
        <w:shd w:val="clear" w:color="auto" w:fill="BFB1D0" w:themeFill="accent4" w:themeFillTint="7F"/>
      </w:tcPr>
    </w:tblStylePr>
    <w:tblStylePr w:type="band1Horz">
      <w:tblPr>
        <w:tblLayout w:type="fixed"/>
      </w:tblPr>
      <w:tcPr>
        <w:tcBorders>
          <w:insideH w:val="single" w:sz="6" w:space="0"/>
          <w:insideV w:val="single" w:sz="6" w:space="0"/>
        </w:tcBorders>
        <w:shd w:val="clear" w:color="auto" w:fill="BFB1D0" w:themeFill="accent4" w:themeFillTint="7F"/>
      </w:tcPr>
    </w:tblStylePr>
    <w:tblStylePr w:type="nwCell">
      <w:tblPr>
        <w:tblLayout w:type="fixed"/>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blLayout w:type="fixed"/>
      </w:tblPr>
      <w:tcPr>
        <w:shd w:val="clear" w:color="auto" w:fill="EDF6F9" w:themeFill="accent5"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AEEF3" w:themeFill="accent5" w:themeFillTint="33"/>
      </w:tcPr>
    </w:tblStylePr>
    <w:tblStylePr w:type="band1Vert">
      <w:tblPr>
        <w:tblLayout w:type="fixed"/>
      </w:tblPr>
      <w:tcPr>
        <w:shd w:val="clear" w:color="auto" w:fill="A5D5E2" w:themeFill="accent5" w:themeFillTint="7F"/>
      </w:tcPr>
    </w:tblStylePr>
    <w:tblStylePr w:type="band1Horz">
      <w:tblPr>
        <w:tblLayout w:type="fixed"/>
      </w:tblPr>
      <w:tcPr>
        <w:tcBorders>
          <w:insideH w:val="single" w:sz="6" w:space="0"/>
          <w:insideV w:val="single" w:sz="6" w:space="0"/>
        </w:tcBorders>
        <w:shd w:val="clear" w:color="auto" w:fill="A5D5E2" w:themeFill="accent5" w:themeFillTint="7F"/>
      </w:tcPr>
    </w:tblStylePr>
    <w:tblStylePr w:type="nwCell">
      <w:tblPr>
        <w:tblLayout w:type="fixed"/>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blLayout w:type="fixed"/>
      </w:tblPr>
      <w:tcPr>
        <w:shd w:val="clear" w:color="auto" w:fill="FEF4EC" w:themeFill="accent6"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DE9D9" w:themeFill="accent6" w:themeFillTint="33"/>
      </w:tcPr>
    </w:tblStylePr>
    <w:tblStylePr w:type="band1Vert">
      <w:tblPr>
        <w:tblLayout w:type="fixed"/>
      </w:tblPr>
      <w:tcPr>
        <w:shd w:val="clear" w:color="auto" w:fill="FBCAA2" w:themeFill="accent6" w:themeFillTint="7F"/>
      </w:tcPr>
    </w:tblStylePr>
    <w:tblStylePr w:type="band1Horz">
      <w:tblPr>
        <w:tblLayout w:type="fixed"/>
      </w:tblPr>
      <w:tcPr>
        <w:tcBorders>
          <w:insideH w:val="single" w:sz="6" w:space="0"/>
          <w:insideV w:val="single" w:sz="6" w:space="0"/>
        </w:tcBorders>
        <w:shd w:val="clear" w:color="auto" w:fill="FBCAA2" w:themeFill="accent6" w:themeFillTint="7F"/>
      </w:tcPr>
    </w:tblStylePr>
    <w:tblStylePr w:type="nwCell">
      <w:tblPr>
        <w:tblLayout w:type="fixed"/>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000000" w:themeFill="tex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blLayout w:type="fixed"/>
      </w:tblPr>
      <w:tcPr>
        <w:tcBorders>
          <w:top w:val="nil"/>
          <w:left w:val="nil"/>
          <w:bottom w:val="nil"/>
          <w:right w:val="nil"/>
          <w:insideH w:val="nil"/>
          <w:insideV w:val="nil"/>
        </w:tcBorders>
        <w:shd w:val="clear" w:color="auto" w:fill="000000" w:themeFill="text1" w:themeFillShade="BF"/>
      </w:tcPr>
    </w:tblStylePr>
    <w:tblStylePr w:type="band1Horz">
      <w:tblPr>
        <w:tblLayout w:type="fixed"/>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F81BD" w:themeFill="accen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blLayout w:type="fixed"/>
      </w:tblPr>
      <w:tcPr>
        <w:tcBorders>
          <w:top w:val="nil"/>
          <w:left w:val="nil"/>
          <w:bottom w:val="nil"/>
          <w:right w:val="nil"/>
          <w:insideH w:val="nil"/>
          <w:insideV w:val="nil"/>
        </w:tcBorders>
        <w:shd w:val="clear" w:color="auto" w:fill="366091" w:themeFill="accent1" w:themeFillShade="BF"/>
      </w:tcPr>
    </w:tblStylePr>
    <w:tblStylePr w:type="band1Horz">
      <w:tblPr>
        <w:tblLayout w:type="fixed"/>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C0504D" w:themeFill="accent2"/>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blLayout w:type="fixed"/>
      </w:tblPr>
      <w:tcPr>
        <w:tcBorders>
          <w:top w:val="nil"/>
          <w:left w:val="nil"/>
          <w:bottom w:val="nil"/>
          <w:right w:val="nil"/>
          <w:insideH w:val="nil"/>
          <w:insideV w:val="nil"/>
        </w:tcBorders>
        <w:shd w:val="clear" w:color="auto" w:fill="943734" w:themeFill="accent2" w:themeFillShade="BF"/>
      </w:tcPr>
    </w:tblStylePr>
    <w:tblStylePr w:type="band1Horz">
      <w:tblPr>
        <w:tblLayout w:type="fixed"/>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9BBB59" w:themeFill="accent3"/>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blLayout w:type="fixed"/>
      </w:tblPr>
      <w:tcPr>
        <w:tcBorders>
          <w:top w:val="nil"/>
          <w:left w:val="nil"/>
          <w:bottom w:val="nil"/>
          <w:right w:val="nil"/>
          <w:insideH w:val="nil"/>
          <w:insideV w:val="nil"/>
        </w:tcBorders>
        <w:shd w:val="clear" w:color="auto" w:fill="76923C" w:themeFill="accent3" w:themeFillShade="BF"/>
      </w:tcPr>
    </w:tblStylePr>
    <w:tblStylePr w:type="band1Horz">
      <w:tblPr>
        <w:tblLayout w:type="fixed"/>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8064A2" w:themeFill="accent4"/>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blLayout w:type="fixed"/>
      </w:tblPr>
      <w:tcPr>
        <w:tcBorders>
          <w:top w:val="nil"/>
          <w:left w:val="nil"/>
          <w:bottom w:val="nil"/>
          <w:right w:val="nil"/>
          <w:insideH w:val="nil"/>
          <w:insideV w:val="nil"/>
        </w:tcBorders>
        <w:shd w:val="clear" w:color="auto" w:fill="5F497A" w:themeFill="accent4" w:themeFillShade="BF"/>
      </w:tcPr>
    </w:tblStylePr>
    <w:tblStylePr w:type="band1Horz">
      <w:tblPr>
        <w:tblLayout w:type="fixed"/>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BACC6" w:themeFill="accent5"/>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blLayout w:type="fixed"/>
      </w:tblPr>
      <w:tcPr>
        <w:tcBorders>
          <w:top w:val="nil"/>
          <w:left w:val="nil"/>
          <w:bottom w:val="nil"/>
          <w:right w:val="nil"/>
          <w:insideH w:val="nil"/>
          <w:insideV w:val="nil"/>
        </w:tcBorders>
        <w:shd w:val="clear" w:color="auto" w:fill="31849B" w:themeFill="accent5" w:themeFillShade="BF"/>
      </w:tcPr>
    </w:tblStylePr>
    <w:tblStylePr w:type="band1Horz">
      <w:tblPr>
        <w:tblLayout w:type="fixed"/>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F79646" w:themeFill="accent6"/>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blLayout w:type="fixed"/>
      </w:tblPr>
      <w:tcPr>
        <w:tcBorders>
          <w:top w:val="nil"/>
          <w:left w:val="nil"/>
          <w:bottom w:val="nil"/>
          <w:right w:val="nil"/>
          <w:insideH w:val="nil"/>
          <w:insideV w:val="nil"/>
        </w:tcBorders>
        <w:shd w:val="clear" w:color="auto" w:fill="E36C09" w:themeFill="accent6" w:themeFillShade="BF"/>
      </w:tcPr>
    </w:tblStylePr>
    <w:tblStylePr w:type="band1Horz">
      <w:tblPr>
        <w:tblLayout w:type="fixed"/>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5E5E5" w:themeFill="tex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000000" w:themeFill="text1" w:themeFillShade="BF"/>
      </w:tcPr>
    </w:tblStylePr>
    <w:tblStylePr w:type="band1Vert">
      <w:tblPr>
        <w:tblLayout w:type="fixed"/>
      </w:tblPr>
      <w:tcPr>
        <w:shd w:val="clear" w:color="auto" w:fill="999999" w:themeFill="text1" w:themeFillTint="66"/>
      </w:tcPr>
    </w:tblStylePr>
    <w:tblStylePr w:type="band1Horz">
      <w:tblPr>
        <w:tblLayout w:type="fixed"/>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2F8" w:themeFill="accen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B4D74" w:themeFill="accent1" w:themeFillShade="99"/>
      </w:tcPr>
    </w:tblStylePr>
    <w:tblStylePr w:type="band1Vert">
      <w:tblPr>
        <w:tblLayout w:type="fixed"/>
      </w:tblPr>
      <w:tcPr>
        <w:shd w:val="clear" w:color="auto" w:fill="B8CCE4" w:themeFill="accent1" w:themeFillTint="66"/>
      </w:tcPr>
    </w:tblStylePr>
    <w:tblStylePr w:type="band1Horz">
      <w:tblPr>
        <w:tblLayout w:type="fixed"/>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8EDED" w:themeFill="accent2"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772C2A" w:themeFill="accent2" w:themeFillShade="99"/>
      </w:tcPr>
    </w:tblStylePr>
    <w:tblStylePr w:type="band1Vert">
      <w:tblPr>
        <w:tblLayout w:type="fixed"/>
      </w:tblPr>
      <w:tcPr>
        <w:shd w:val="clear" w:color="auto" w:fill="E5B8B7" w:themeFill="accent2" w:themeFillTint="66"/>
      </w:tcPr>
    </w:tblStylePr>
    <w:tblStylePr w:type="band1Horz">
      <w:tblPr>
        <w:tblLayout w:type="fixed"/>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5F8EE" w:themeFill="accent3" w:themeFillTint="19"/>
    </w:tcPr>
    <w:tblStylePr w:type="firstRow">
      <w:rPr>
        <w:b/>
        <w:bCs/>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5E7530" w:themeFill="accent3" w:themeFillShade="99"/>
      </w:tcPr>
    </w:tblStylePr>
    <w:tblStylePr w:type="band1Vert">
      <w:tblPr>
        <w:tblLayout w:type="fixed"/>
      </w:tblPr>
      <w:tcPr>
        <w:shd w:val="clear" w:color="auto" w:fill="D6E3BC" w:themeFill="accent3" w:themeFillTint="66"/>
      </w:tcPr>
    </w:tblStylePr>
    <w:tblStylePr w:type="band1Horz">
      <w:tblPr>
        <w:tblLayout w:type="fixed"/>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2EFF5" w:themeFill="accent4" w:themeFillTint="19"/>
    </w:tcPr>
    <w:tblStylePr w:type="firstRow">
      <w:rPr>
        <w:b/>
        <w:bCs/>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4C3A62" w:themeFill="accent4" w:themeFillShade="99"/>
      </w:tcPr>
    </w:tblStylePr>
    <w:tblStylePr w:type="band1Vert">
      <w:tblPr>
        <w:tblLayout w:type="fixed"/>
      </w:tblPr>
      <w:tcPr>
        <w:shd w:val="clear" w:color="auto" w:fill="CCC0D9" w:themeFill="accent4" w:themeFillTint="66"/>
      </w:tcPr>
    </w:tblStylePr>
    <w:tblStylePr w:type="band1Horz">
      <w:tblPr>
        <w:tblLayout w:type="fixed"/>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6F9" w:themeFill="accent5" w:themeFillTint="19"/>
    </w:tcPr>
    <w:tblStylePr w:type="firstRow">
      <w:rPr>
        <w:b/>
        <w:bCs/>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76A7C" w:themeFill="accent5" w:themeFillShade="99"/>
      </w:tcPr>
    </w:tblStylePr>
    <w:tblStylePr w:type="band1Vert">
      <w:tblPr>
        <w:tblLayout w:type="fixed"/>
      </w:tblPr>
      <w:tcPr>
        <w:shd w:val="clear" w:color="auto" w:fill="B6DDE8" w:themeFill="accent5" w:themeFillTint="66"/>
      </w:tcPr>
    </w:tblStylePr>
    <w:tblStylePr w:type="band1Horz">
      <w:tblPr>
        <w:tblLayout w:type="fixed"/>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EF4EC" w:themeFill="accent6" w:themeFillTint="19"/>
    </w:tcPr>
    <w:tblStylePr w:type="firstRow">
      <w:rPr>
        <w:b/>
        <w:bCs/>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B65607" w:themeFill="accent6" w:themeFillShade="99"/>
      </w:tcPr>
    </w:tblStylePr>
    <w:tblStylePr w:type="band1Vert">
      <w:tblPr>
        <w:tblLayout w:type="fixed"/>
      </w:tblPr>
      <w:tcPr>
        <w:shd w:val="clear" w:color="auto" w:fill="FBD4B4" w:themeFill="accent6" w:themeFillTint="66"/>
      </w:tcPr>
    </w:tblStylePr>
    <w:tblStylePr w:type="band1Horz">
      <w:tblPr>
        <w:tblLayout w:type="fixed"/>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BFBFBF" w:themeFill="text1" w:themeFillTint="3F"/>
      </w:tcPr>
    </w:tblStylePr>
    <w:tblStylePr w:type="band1Horz">
      <w:tblPr>
        <w:tblLayout w:type="fixed"/>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3DFEE" w:themeFill="accent1" w:themeFillTint="3F"/>
      </w:tcPr>
    </w:tblStylePr>
    <w:tblStylePr w:type="band1Horz">
      <w:tblPr>
        <w:tblLayout w:type="fixed"/>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FD3D3" w:themeFill="accent2" w:themeFillTint="3F"/>
      </w:tcPr>
    </w:tblStylePr>
    <w:tblStylePr w:type="band1Horz">
      <w:tblPr>
        <w:tblLayout w:type="fixed"/>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6EED5" w:themeFill="accent3" w:themeFillTint="3F"/>
      </w:tcPr>
    </w:tblStylePr>
    <w:tblStylePr w:type="band1Horz">
      <w:tblPr>
        <w:tblLayout w:type="fixed"/>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FD8E8" w:themeFill="accent4" w:themeFillTint="3F"/>
      </w:tcPr>
    </w:tblStylePr>
    <w:tblStylePr w:type="band1Horz">
      <w:tblPr>
        <w:tblLayout w:type="fixed"/>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2EAF0" w:themeFill="accent5" w:themeFillTint="3F"/>
      </w:tcPr>
    </w:tblStylePr>
    <w:tblStylePr w:type="band1Horz">
      <w:tblPr>
        <w:tblLayout w:type="fixed"/>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FDE5D1" w:themeFill="accent6" w:themeFillTint="3F"/>
      </w:tcPr>
    </w:tblStylePr>
    <w:tblStylePr w:type="band1Horz">
      <w:tblPr>
        <w:tblLayout w:type="fixed"/>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CCCCCC" w:themeFill="text1" w:themeFillTint="33"/>
    </w:tcPr>
    <w:tblStylePr w:type="firstRow">
      <w:rPr>
        <w:b/>
        <w:bCs/>
      </w:rPr>
      <w:tblPr>
        <w:tblLayout w:type="fixed"/>
      </w:tblPr>
      <w:tcPr>
        <w:shd w:val="clear" w:color="auto" w:fill="999999" w:themeFill="text1" w:themeFillTint="66"/>
      </w:tcPr>
    </w:tblStylePr>
    <w:tblStylePr w:type="lastRow">
      <w:rPr>
        <w:b/>
        <w:bCs/>
        <w:color w:val="000000" w:themeColor="text1"/>
        <w14:textFill>
          <w14:solidFill>
            <w14:schemeClr w14:val="tx1"/>
          </w14:solidFill>
        </w14:textFill>
      </w:rPr>
      <w:tblPr>
        <w:tblLayout w:type="fixed"/>
      </w:tblPr>
      <w:tcPr>
        <w:shd w:val="clear" w:color="auto" w:fill="999999" w:themeFill="text1" w:themeFillTint="66"/>
      </w:tcPr>
    </w:tblStylePr>
    <w:tblStylePr w:type="firstCol">
      <w:rPr>
        <w:color w:val="FFFFFF" w:themeColor="background1"/>
        <w14:textFill>
          <w14:solidFill>
            <w14:schemeClr w14:val="bg1"/>
          </w14:solidFill>
        </w14:textFill>
      </w:rPr>
      <w:tblPr>
        <w:tblLayout w:type="fixed"/>
      </w:tblPr>
      <w:tcPr>
        <w:shd w:val="clear" w:color="auto" w:fill="000000" w:themeFill="text1" w:themeFillShade="BF"/>
      </w:tcPr>
    </w:tblStylePr>
    <w:tblStylePr w:type="lastCol">
      <w:rPr>
        <w:color w:val="FFFFFF" w:themeColor="background1"/>
        <w14:textFill>
          <w14:solidFill>
            <w14:schemeClr w14:val="bg1"/>
          </w14:solidFill>
        </w14:textFill>
      </w:rPr>
      <w:tblPr>
        <w:tblLayout w:type="fixed"/>
      </w:tblPr>
      <w:tcPr>
        <w:shd w:val="clear" w:color="auto" w:fill="000000" w:themeFill="text1" w:themeFillShade="BF"/>
      </w:tc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BE5F1" w:themeFill="accent1" w:themeFillTint="33"/>
    </w:tcPr>
    <w:tblStylePr w:type="firstRow">
      <w:rPr>
        <w:b/>
        <w:bCs/>
      </w:rPr>
      <w:tblPr>
        <w:tblLayout w:type="fixed"/>
      </w:tblPr>
      <w:tcPr>
        <w:shd w:val="clear" w:color="auto" w:fill="B8CCE4" w:themeFill="accent1" w:themeFillTint="66"/>
      </w:tcPr>
    </w:tblStylePr>
    <w:tblStylePr w:type="lastRow">
      <w:rPr>
        <w:b/>
        <w:bCs/>
        <w:color w:val="000000" w:themeColor="text1"/>
        <w14:textFill>
          <w14:solidFill>
            <w14:schemeClr w14:val="tx1"/>
          </w14:solidFill>
        </w14:textFill>
      </w:rPr>
      <w:tblPr>
        <w:tblLayout w:type="fixed"/>
      </w:tblPr>
      <w:tcPr>
        <w:shd w:val="clear" w:color="auto" w:fill="B8CCE4" w:themeFill="accent1" w:themeFillTint="66"/>
      </w:tcPr>
    </w:tblStylePr>
    <w:tblStylePr w:type="fir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la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2DBDB" w:themeFill="accent2" w:themeFillTint="33"/>
    </w:tcPr>
    <w:tblStylePr w:type="firstRow">
      <w:rPr>
        <w:b/>
        <w:bCs/>
      </w:rPr>
      <w:tblPr>
        <w:tblLayout w:type="fixed"/>
      </w:tblPr>
      <w:tcPr>
        <w:shd w:val="clear" w:color="auto" w:fill="E5B8B7" w:themeFill="accent2" w:themeFillTint="66"/>
      </w:tcPr>
    </w:tblStylePr>
    <w:tblStylePr w:type="lastRow">
      <w:rPr>
        <w:b/>
        <w:bCs/>
        <w:color w:val="000000" w:themeColor="text1"/>
        <w14:textFill>
          <w14:solidFill>
            <w14:schemeClr w14:val="tx1"/>
          </w14:solidFill>
        </w14:textFill>
      </w:rPr>
      <w:tblPr>
        <w:tblLayout w:type="fixed"/>
      </w:tblPr>
      <w:tcPr>
        <w:shd w:val="clear" w:color="auto" w:fill="E5B8B7" w:themeFill="accent2" w:themeFillTint="66"/>
      </w:tcPr>
    </w:tblStylePr>
    <w:tblStylePr w:type="fir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la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AF1DD" w:themeFill="accent3" w:themeFillTint="33"/>
    </w:tcPr>
    <w:tblStylePr w:type="firstRow">
      <w:rPr>
        <w:b/>
        <w:bCs/>
      </w:rPr>
      <w:tblPr>
        <w:tblLayout w:type="fixed"/>
      </w:tblPr>
      <w:tcPr>
        <w:shd w:val="clear" w:color="auto" w:fill="D6E3BC" w:themeFill="accent3" w:themeFillTint="66"/>
      </w:tcPr>
    </w:tblStylePr>
    <w:tblStylePr w:type="lastRow">
      <w:rPr>
        <w:b/>
        <w:bCs/>
        <w:color w:val="000000" w:themeColor="text1"/>
        <w14:textFill>
          <w14:solidFill>
            <w14:schemeClr w14:val="tx1"/>
          </w14:solidFill>
        </w14:textFill>
      </w:rPr>
      <w:tblPr>
        <w:tblLayout w:type="fixed"/>
      </w:tblPr>
      <w:tcPr>
        <w:shd w:val="clear" w:color="auto" w:fill="D6E3BC" w:themeFill="accent3" w:themeFillTint="66"/>
      </w:tcPr>
    </w:tblStylePr>
    <w:tblStylePr w:type="fir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la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5DFEC" w:themeFill="accent4" w:themeFillTint="33"/>
    </w:tcPr>
    <w:tblStylePr w:type="firstRow">
      <w:rPr>
        <w:b/>
        <w:bCs/>
      </w:rPr>
      <w:tblPr>
        <w:tblLayout w:type="fixed"/>
      </w:tblPr>
      <w:tcPr>
        <w:shd w:val="clear" w:color="auto" w:fill="CCC0D9" w:themeFill="accent4" w:themeFillTint="66"/>
      </w:tcPr>
    </w:tblStylePr>
    <w:tblStylePr w:type="lastRow">
      <w:rPr>
        <w:b/>
        <w:bCs/>
        <w:color w:val="000000" w:themeColor="text1"/>
        <w14:textFill>
          <w14:solidFill>
            <w14:schemeClr w14:val="tx1"/>
          </w14:solidFill>
        </w14:textFill>
      </w:rPr>
      <w:tblPr>
        <w:tblLayout w:type="fixed"/>
      </w:tblPr>
      <w:tcPr>
        <w:shd w:val="clear" w:color="auto" w:fill="CCC0D9" w:themeFill="accent4" w:themeFillTint="66"/>
      </w:tcPr>
    </w:tblStylePr>
    <w:tblStylePr w:type="fir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la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AEEF3" w:themeFill="accent5" w:themeFillTint="33"/>
    </w:tcPr>
    <w:tblStylePr w:type="firstRow">
      <w:rPr>
        <w:b/>
        <w:bCs/>
      </w:rPr>
      <w:tblPr>
        <w:tblLayout w:type="fixed"/>
      </w:tblPr>
      <w:tcPr>
        <w:shd w:val="clear" w:color="auto" w:fill="B6DDE8" w:themeFill="accent5" w:themeFillTint="66"/>
      </w:tcPr>
    </w:tblStylePr>
    <w:tblStylePr w:type="lastRow">
      <w:rPr>
        <w:b/>
        <w:bCs/>
        <w:color w:val="000000" w:themeColor="text1"/>
        <w14:textFill>
          <w14:solidFill>
            <w14:schemeClr w14:val="tx1"/>
          </w14:solidFill>
        </w14:textFill>
      </w:rPr>
      <w:tblPr>
        <w:tblLayout w:type="fixed"/>
      </w:tblPr>
      <w:tcPr>
        <w:shd w:val="clear" w:color="auto" w:fill="B6DDE8" w:themeFill="accent5" w:themeFillTint="66"/>
      </w:tcPr>
    </w:tblStylePr>
    <w:tblStylePr w:type="fir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la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DE9D9" w:themeFill="accent6" w:themeFillTint="33"/>
    </w:tcPr>
    <w:tblStylePr w:type="firstRow">
      <w:rPr>
        <w:b/>
        <w:bCs/>
      </w:rPr>
      <w:tblPr>
        <w:tblLayout w:type="fixed"/>
      </w:tblPr>
      <w:tcPr>
        <w:shd w:val="clear" w:color="auto" w:fill="FBD4B4" w:themeFill="accent6" w:themeFillTint="66"/>
      </w:tcPr>
    </w:tblStylePr>
    <w:tblStylePr w:type="lastRow">
      <w:rPr>
        <w:b/>
        <w:bCs/>
        <w:color w:val="000000" w:themeColor="text1"/>
        <w14:textFill>
          <w14:solidFill>
            <w14:schemeClr w14:val="tx1"/>
          </w14:solidFill>
        </w14:textFill>
      </w:rPr>
      <w:tblPr>
        <w:tblLayout w:type="fixed"/>
      </w:tblPr>
      <w:tcPr>
        <w:shd w:val="clear" w:color="auto" w:fill="FBD4B4" w:themeFill="accent6" w:themeFillTint="66"/>
      </w:tcPr>
    </w:tblStylePr>
    <w:tblStylePr w:type="fir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la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Administrator</cp:lastModifiedBy>
  <cp:lastPrinted>2026-09-14T06:28:00Z</cp:lastPrinted>
  <dcterms:modified xsi:type="dcterms:W3CDTF">2026-10-08T03:26:13Z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y fmtid="{D5CDD505-2E9C-101B-9397-08002B2CF9AE}" pid="3" name="ICV">
    <vt:lpwstr>E98DC1AFDDCB4B3FB265F88540178EF2</vt:lpwstr>
  </property>
</Properties>
</file>